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5347"/>
        <w:gridCol w:w="2815"/>
      </w:tblGrid>
      <w:tr w:rsidR="00167391" w:rsidRPr="000E1536" w14:paraId="000795DC" w14:textId="77777777" w:rsidTr="007F2793">
        <w:trPr>
          <w:cantSplit/>
          <w:trHeight w:val="850"/>
          <w:jc w:val="right"/>
        </w:trPr>
        <w:tc>
          <w:tcPr>
            <w:tcW w:w="1550" w:type="dxa"/>
          </w:tcPr>
          <w:p w14:paraId="69B9AAAE" w14:textId="77777777" w:rsidR="00167391" w:rsidRPr="000E1536" w:rsidRDefault="00167391" w:rsidP="005F0C62">
            <w:pPr>
              <w:rPr>
                <w:rFonts w:ascii="Univers" w:hAnsi="Univers"/>
                <w:b/>
                <w:noProof/>
                <w:sz w:val="27"/>
                <w:szCs w:val="27"/>
                <w:lang w:val="en-GB"/>
              </w:rPr>
            </w:pPr>
            <w:bookmarkStart w:id="0" w:name="_GoBack"/>
            <w:bookmarkEnd w:id="0"/>
            <w:r w:rsidRPr="000E1536">
              <w:rPr>
                <w:rFonts w:ascii="Arial" w:hAnsi="Arial" w:cs="Arial"/>
                <w:b/>
                <w:noProof/>
                <w:sz w:val="27"/>
                <w:szCs w:val="27"/>
                <w:lang w:val="en-GB"/>
              </w:rPr>
              <w:t>UNITED</w:t>
            </w:r>
            <w:r w:rsidRPr="000E1536">
              <w:rPr>
                <w:rFonts w:ascii="Arial" w:hAnsi="Arial" w:cs="Arial"/>
                <w:b/>
                <w:noProof/>
                <w:sz w:val="27"/>
                <w:szCs w:val="27"/>
                <w:lang w:val="en-GB"/>
              </w:rPr>
              <w:br/>
              <w:t>NATIONS</w:t>
            </w:r>
          </w:p>
        </w:tc>
        <w:tc>
          <w:tcPr>
            <w:tcW w:w="5347" w:type="dxa"/>
          </w:tcPr>
          <w:p w14:paraId="12D5C1B6" w14:textId="77777777" w:rsidR="00167391" w:rsidRPr="000E1536" w:rsidRDefault="00167391" w:rsidP="005F0C62">
            <w:pPr>
              <w:rPr>
                <w:rFonts w:ascii="Univers" w:hAnsi="Univers"/>
                <w:b/>
                <w:sz w:val="27"/>
                <w:szCs w:val="27"/>
                <w:lang w:val="en-GB"/>
              </w:rPr>
            </w:pPr>
          </w:p>
        </w:tc>
        <w:tc>
          <w:tcPr>
            <w:tcW w:w="2815" w:type="dxa"/>
          </w:tcPr>
          <w:p w14:paraId="2D751732" w14:textId="77777777" w:rsidR="00167391" w:rsidRPr="000E1536" w:rsidRDefault="00167391" w:rsidP="005F0C62">
            <w:pPr>
              <w:jc w:val="right"/>
              <w:rPr>
                <w:rFonts w:ascii="Arial" w:hAnsi="Arial" w:cs="Arial"/>
                <w:b/>
                <w:sz w:val="64"/>
                <w:szCs w:val="64"/>
                <w:lang w:val="en-GB"/>
              </w:rPr>
            </w:pPr>
            <w:r w:rsidRPr="000E1536">
              <w:rPr>
                <w:rFonts w:ascii="Arial" w:hAnsi="Arial" w:cs="Arial"/>
                <w:b/>
                <w:sz w:val="64"/>
                <w:szCs w:val="64"/>
                <w:lang w:val="en-GB"/>
              </w:rPr>
              <w:t>EP</w:t>
            </w:r>
          </w:p>
        </w:tc>
      </w:tr>
      <w:tr w:rsidR="00167391" w:rsidRPr="000E1536" w14:paraId="27E6BF70" w14:textId="77777777" w:rsidTr="007F2793">
        <w:trPr>
          <w:cantSplit/>
          <w:trHeight w:val="281"/>
          <w:jc w:val="right"/>
        </w:trPr>
        <w:tc>
          <w:tcPr>
            <w:tcW w:w="1550" w:type="dxa"/>
            <w:tcBorders>
              <w:bottom w:val="single" w:sz="4" w:space="0" w:color="auto"/>
            </w:tcBorders>
          </w:tcPr>
          <w:p w14:paraId="3E0CD158" w14:textId="77777777" w:rsidR="00167391" w:rsidRPr="000E1536" w:rsidRDefault="00167391" w:rsidP="005F0C62">
            <w:pPr>
              <w:rPr>
                <w:noProof/>
                <w:sz w:val="18"/>
                <w:szCs w:val="18"/>
                <w:lang w:val="en-GB"/>
              </w:rPr>
            </w:pPr>
          </w:p>
        </w:tc>
        <w:tc>
          <w:tcPr>
            <w:tcW w:w="5347" w:type="dxa"/>
            <w:tcBorders>
              <w:bottom w:val="single" w:sz="4" w:space="0" w:color="auto"/>
            </w:tcBorders>
          </w:tcPr>
          <w:p w14:paraId="0CC7EE32" w14:textId="77777777" w:rsidR="00167391" w:rsidRPr="000E1536" w:rsidRDefault="00167391" w:rsidP="005F0C62">
            <w:pPr>
              <w:rPr>
                <w:rFonts w:ascii="Univers" w:hAnsi="Univers"/>
                <w:b/>
                <w:sz w:val="18"/>
                <w:szCs w:val="18"/>
                <w:lang w:val="en-GB"/>
              </w:rPr>
            </w:pPr>
          </w:p>
        </w:tc>
        <w:tc>
          <w:tcPr>
            <w:tcW w:w="2815" w:type="dxa"/>
            <w:tcBorders>
              <w:bottom w:val="single" w:sz="4" w:space="0" w:color="auto"/>
            </w:tcBorders>
          </w:tcPr>
          <w:p w14:paraId="6D09B161" w14:textId="6716D6C2" w:rsidR="00167391" w:rsidRPr="000E1536" w:rsidRDefault="00EF688E" w:rsidP="00A56735">
            <w:pPr>
              <w:rPr>
                <w:noProof/>
                <w:sz w:val="18"/>
                <w:szCs w:val="18"/>
                <w:lang w:val="en-GB"/>
              </w:rPr>
            </w:pPr>
            <w:r>
              <w:rPr>
                <w:b/>
                <w:sz w:val="28"/>
                <w:szCs w:val="28"/>
              </w:rPr>
              <w:t>UNEP</w:t>
            </w:r>
            <w:r>
              <w:t>/</w:t>
            </w:r>
            <w:r>
              <w:rPr>
                <w:rFonts w:eastAsia="Malgun Gothic"/>
                <w:lang w:eastAsia="ko-KR"/>
              </w:rPr>
              <w:t>EA.2/</w:t>
            </w:r>
            <w:r w:rsidRPr="006365AD">
              <w:rPr>
                <w:rFonts w:eastAsia="Malgun Gothic"/>
                <w:lang w:eastAsia="ko-KR"/>
              </w:rPr>
              <w:t>INF</w:t>
            </w:r>
            <w:r w:rsidR="00827EEE" w:rsidRPr="00827EEE">
              <w:rPr>
                <w:rFonts w:eastAsia="Malgun Gothic"/>
                <w:lang w:eastAsia="ko-KR"/>
              </w:rPr>
              <w:t>/</w:t>
            </w:r>
            <w:r>
              <w:rPr>
                <w:rFonts w:eastAsia="Malgun Gothic"/>
                <w:lang w:eastAsia="ko-KR"/>
              </w:rPr>
              <w:t>18</w:t>
            </w:r>
          </w:p>
        </w:tc>
      </w:tr>
      <w:tr w:rsidR="00167391" w:rsidRPr="00FF44DF" w14:paraId="72B73B56" w14:textId="77777777" w:rsidTr="007F2793">
        <w:trPr>
          <w:cantSplit/>
          <w:trHeight w:val="2549"/>
          <w:jc w:val="right"/>
        </w:trPr>
        <w:tc>
          <w:tcPr>
            <w:tcW w:w="1550" w:type="dxa"/>
            <w:tcBorders>
              <w:top w:val="single" w:sz="4" w:space="0" w:color="auto"/>
              <w:bottom w:val="single" w:sz="24" w:space="0" w:color="auto"/>
            </w:tcBorders>
          </w:tcPr>
          <w:p w14:paraId="5A4B066D" w14:textId="77777777" w:rsidR="00167391" w:rsidRPr="000E1536" w:rsidRDefault="006E0ECE" w:rsidP="005F0C62">
            <w:pPr>
              <w:rPr>
                <w:noProof/>
                <w:lang w:val="en-GB"/>
              </w:rPr>
            </w:pPr>
            <w:bookmarkStart w:id="1" w:name="_MON_1021710510"/>
            <w:bookmarkStart w:id="2" w:name="_MON_1021710482"/>
            <w:bookmarkEnd w:id="1"/>
            <w:bookmarkEnd w:id="2"/>
            <w:r>
              <w:rPr>
                <w:noProof/>
                <w:lang w:val="en-GB"/>
              </w:rPr>
              <w:pict w14:anchorId="0EAE4E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1.25pt" fillcolor="window">
                  <v:imagedata r:id="rId9" o:title=""/>
                </v:shape>
              </w:pict>
            </w:r>
            <w:r w:rsidR="00DD087E">
              <w:rPr>
                <w:noProof/>
                <w:lang w:val="en-US"/>
              </w:rPr>
              <w:drawing>
                <wp:inline distT="0" distB="0" distL="0" distR="0" wp14:anchorId="50088403" wp14:editId="71BD580B">
                  <wp:extent cx="723265" cy="763270"/>
                  <wp:effectExtent l="0" t="0" r="63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0B425C2B" w14:textId="77777777" w:rsidR="00167391" w:rsidRPr="000E1536" w:rsidRDefault="00F97F2F" w:rsidP="00E32EC0">
            <w:pPr>
              <w:spacing w:before="1400" w:after="120"/>
              <w:rPr>
                <w:rFonts w:ascii="Univers" w:hAnsi="Univers"/>
                <w:b/>
                <w:sz w:val="28"/>
                <w:szCs w:val="28"/>
                <w:lang w:val="en-GB"/>
              </w:rPr>
            </w:pPr>
            <w:r w:rsidRPr="000E1536">
              <w:rPr>
                <w:rFonts w:ascii="Arial" w:hAnsi="Arial" w:cs="Arial"/>
                <w:b/>
                <w:sz w:val="28"/>
                <w:szCs w:val="28"/>
                <w:lang w:val="en-GB"/>
              </w:rPr>
              <w:t xml:space="preserve">United Nations </w:t>
            </w:r>
            <w:r w:rsidRPr="000E1536">
              <w:rPr>
                <w:rFonts w:ascii="Arial" w:hAnsi="Arial" w:cs="Arial"/>
                <w:b/>
                <w:sz w:val="28"/>
                <w:szCs w:val="28"/>
                <w:lang w:val="en-GB"/>
              </w:rPr>
              <w:br/>
              <w:t xml:space="preserve">Environment Assembly of the </w:t>
            </w:r>
            <w:r w:rsidRPr="000E1536">
              <w:rPr>
                <w:rFonts w:ascii="Arial" w:hAnsi="Arial" w:cs="Arial"/>
                <w:b/>
                <w:sz w:val="28"/>
                <w:szCs w:val="28"/>
                <w:lang w:val="en-GB"/>
              </w:rPr>
              <w:br/>
              <w:t xml:space="preserve">United Nations </w:t>
            </w:r>
            <w:r w:rsidR="00167391" w:rsidRPr="000E1536">
              <w:rPr>
                <w:rFonts w:ascii="Arial" w:hAnsi="Arial" w:cs="Arial"/>
                <w:b/>
                <w:sz w:val="28"/>
                <w:szCs w:val="28"/>
                <w:lang w:val="en-GB"/>
              </w:rPr>
              <w:t>Environment Programme</w:t>
            </w:r>
          </w:p>
        </w:tc>
        <w:tc>
          <w:tcPr>
            <w:tcW w:w="2815" w:type="dxa"/>
            <w:tcBorders>
              <w:top w:val="single" w:sz="4" w:space="0" w:color="auto"/>
              <w:bottom w:val="single" w:sz="24" w:space="0" w:color="auto"/>
            </w:tcBorders>
          </w:tcPr>
          <w:p w14:paraId="0BD68590" w14:textId="7239BF11" w:rsidR="00EA52F2" w:rsidRPr="000E1536" w:rsidRDefault="00EA52F2" w:rsidP="00EA52F2">
            <w:pPr>
              <w:spacing w:before="120"/>
              <w:rPr>
                <w:lang w:val="en-GB"/>
              </w:rPr>
            </w:pPr>
            <w:r w:rsidRPr="000E1536">
              <w:rPr>
                <w:lang w:val="en-GB"/>
              </w:rPr>
              <w:t>Distr.: General</w:t>
            </w:r>
            <w:r w:rsidRPr="000E1536">
              <w:rPr>
                <w:lang w:val="en-GB"/>
              </w:rPr>
              <w:br/>
            </w:r>
            <w:r w:rsidR="00827EEE" w:rsidRPr="006365AD">
              <w:rPr>
                <w:lang w:val="en-US"/>
              </w:rPr>
              <w:t>22 March</w:t>
            </w:r>
            <w:r w:rsidR="00EF688E" w:rsidRPr="006365AD">
              <w:rPr>
                <w:lang w:val="en-US"/>
              </w:rPr>
              <w:t xml:space="preserve"> 2016</w:t>
            </w:r>
          </w:p>
          <w:p w14:paraId="3FCE91AC" w14:textId="77777777" w:rsidR="00167391" w:rsidRPr="000E1536" w:rsidRDefault="00EF688E" w:rsidP="00EA52F2">
            <w:pPr>
              <w:spacing w:before="120"/>
              <w:rPr>
                <w:lang w:val="en-GB"/>
              </w:rPr>
            </w:pPr>
            <w:r w:rsidRPr="006365AD">
              <w:rPr>
                <w:lang w:val="en-US"/>
              </w:rPr>
              <w:t>English only</w:t>
            </w:r>
          </w:p>
        </w:tc>
      </w:tr>
    </w:tbl>
    <w:p w14:paraId="7A6C59DC" w14:textId="77777777" w:rsidR="00EA52F2" w:rsidRPr="000E1536" w:rsidRDefault="00EA52F2" w:rsidP="00EA52F2">
      <w:pPr>
        <w:pStyle w:val="AATitle"/>
      </w:pPr>
      <w:r w:rsidRPr="000E1536">
        <w:t>United Nations Environment Assembly of the</w:t>
      </w:r>
    </w:p>
    <w:p w14:paraId="29C0446F" w14:textId="77777777" w:rsidR="00EA52F2" w:rsidRPr="000E1536" w:rsidRDefault="00EA52F2" w:rsidP="00EA52F2">
      <w:pPr>
        <w:pStyle w:val="AATitle"/>
      </w:pPr>
      <w:r w:rsidRPr="000E1536">
        <w:t>United Nations Environment Programme</w:t>
      </w:r>
    </w:p>
    <w:p w14:paraId="500E255F" w14:textId="77777777" w:rsidR="00EA52F2" w:rsidRPr="000E1536" w:rsidRDefault="00EA52F2" w:rsidP="00EA52F2">
      <w:pPr>
        <w:pStyle w:val="AATitle"/>
      </w:pPr>
      <w:r w:rsidRPr="000E1536">
        <w:t>Second session</w:t>
      </w:r>
    </w:p>
    <w:p w14:paraId="49BC9F8D" w14:textId="77777777" w:rsidR="00EA52F2" w:rsidRPr="000E1536" w:rsidRDefault="00EA52F2" w:rsidP="00EA52F2">
      <w:pPr>
        <w:pStyle w:val="AATitle"/>
        <w:keepNext w:val="0"/>
        <w:keepLines w:val="0"/>
        <w:rPr>
          <w:b w:val="0"/>
        </w:rPr>
      </w:pPr>
      <w:r w:rsidRPr="000E1536">
        <w:rPr>
          <w:b w:val="0"/>
        </w:rPr>
        <w:t>Nairobi, 23–27 May 2016</w:t>
      </w:r>
    </w:p>
    <w:p w14:paraId="6441CF98" w14:textId="2C63F347" w:rsidR="00EF688E" w:rsidRPr="00184A6D" w:rsidRDefault="00184A6D" w:rsidP="00EF688E">
      <w:pPr>
        <w:pStyle w:val="AATitle"/>
        <w:rPr>
          <w:b w:val="0"/>
          <w:sz w:val="24"/>
          <w:szCs w:val="24"/>
          <w:highlight w:val="yellow"/>
          <w:lang w:eastAsia="en-GB"/>
        </w:rPr>
      </w:pPr>
      <w:r>
        <w:rPr>
          <w:b w:val="0"/>
        </w:rPr>
        <w:t>I</w:t>
      </w:r>
      <w:r w:rsidR="00EF688E">
        <w:rPr>
          <w:b w:val="0"/>
        </w:rPr>
        <w:t xml:space="preserve">tem </w:t>
      </w:r>
      <w:r w:rsidR="00EF688E" w:rsidRPr="006365AD">
        <w:rPr>
          <w:b w:val="0"/>
          <w:lang w:eastAsia="ko-KR"/>
        </w:rPr>
        <w:t>4</w:t>
      </w:r>
      <w:r>
        <w:rPr>
          <w:b w:val="0"/>
          <w:lang w:eastAsia="ko-KR"/>
        </w:rPr>
        <w:t xml:space="preserve"> </w:t>
      </w:r>
      <w:r w:rsidR="00EF688E" w:rsidRPr="006365AD">
        <w:rPr>
          <w:b w:val="0"/>
          <w:lang w:eastAsia="ko-KR"/>
        </w:rPr>
        <w:t>(c)</w:t>
      </w:r>
      <w:r>
        <w:rPr>
          <w:b w:val="0"/>
          <w:lang w:eastAsia="ko-KR"/>
        </w:rPr>
        <w:t xml:space="preserve"> of the provisional agenda</w:t>
      </w:r>
      <w:r w:rsidRPr="005A4E4D">
        <w:rPr>
          <w:rStyle w:val="FootnoteReference"/>
          <w:b w:val="0"/>
          <w:vertAlign w:val="baseline"/>
          <w:lang w:eastAsia="ko-KR"/>
        </w:rPr>
        <w:footnoteReference w:customMarkFollows="1" w:id="1"/>
        <w:t>*</w:t>
      </w:r>
      <w:r w:rsidR="00EF688E" w:rsidRPr="006365AD">
        <w:rPr>
          <w:b w:val="0"/>
          <w:sz w:val="24"/>
          <w:szCs w:val="24"/>
          <w:lang w:eastAsia="en-GB"/>
        </w:rPr>
        <w:t xml:space="preserve"> </w:t>
      </w:r>
    </w:p>
    <w:p w14:paraId="4BC5DF39" w14:textId="4B0AF4F2" w:rsidR="00EF688E" w:rsidRDefault="00184A6D" w:rsidP="008A70FE">
      <w:pPr>
        <w:pStyle w:val="AATitle2"/>
        <w:spacing w:before="60" w:after="60"/>
      </w:pPr>
      <w:r>
        <w:t>International environmental policy and governance issues: c</w:t>
      </w:r>
      <w:r w:rsidR="00EF688E">
        <w:t>hemicals and waste</w:t>
      </w:r>
    </w:p>
    <w:p w14:paraId="467DC61B" w14:textId="77777777" w:rsidR="00EF688E" w:rsidRPr="00827EEE" w:rsidRDefault="00EF688E">
      <w:pPr>
        <w:pStyle w:val="BBTitle"/>
      </w:pPr>
      <w:r w:rsidRPr="00827EEE">
        <w:t xml:space="preserve">Report on the implementation of the integrated approach to financing </w:t>
      </w:r>
      <w:r w:rsidR="00FC3CA6">
        <w:t xml:space="preserve">the </w:t>
      </w:r>
      <w:r w:rsidRPr="00827EEE">
        <w:t>sound management of chemicals and waste</w:t>
      </w:r>
    </w:p>
    <w:p w14:paraId="6225DD6D" w14:textId="77777777" w:rsidR="00EF688E" w:rsidRDefault="00827EEE" w:rsidP="006365AD">
      <w:pPr>
        <w:pStyle w:val="CH2"/>
      </w:pPr>
      <w:r>
        <w:tab/>
      </w:r>
      <w:r>
        <w:tab/>
      </w:r>
      <w:r w:rsidR="00EF688E">
        <w:t xml:space="preserve">Note by the secretariat </w:t>
      </w:r>
    </w:p>
    <w:tbl>
      <w:tblPr>
        <w:tblStyle w:val="TableGrid"/>
        <w:tblW w:w="0" w:type="auto"/>
        <w:tblInd w:w="108" w:type="dxa"/>
        <w:tblLook w:val="04A0" w:firstRow="1" w:lastRow="0" w:firstColumn="1" w:lastColumn="0" w:noHBand="0" w:noVBand="1"/>
      </w:tblPr>
      <w:tblGrid>
        <w:gridCol w:w="9604"/>
      </w:tblGrid>
      <w:tr w:rsidR="00EF688E" w:rsidRPr="00FF44DF" w14:paraId="549A664F" w14:textId="77777777" w:rsidTr="006365AD">
        <w:tc>
          <w:tcPr>
            <w:tcW w:w="9604" w:type="dxa"/>
          </w:tcPr>
          <w:p w14:paraId="3F59BB5C" w14:textId="77777777" w:rsidR="00EF688E" w:rsidRPr="005F4E43" w:rsidRDefault="00EF688E" w:rsidP="00D870C4">
            <w:pPr>
              <w:rPr>
                <w:rFonts w:asciiTheme="majorBidi" w:hAnsiTheme="majorBidi" w:cstheme="majorBidi"/>
                <w:i/>
                <w:iCs/>
                <w:sz w:val="24"/>
                <w:szCs w:val="24"/>
                <w:lang w:val="en-US"/>
              </w:rPr>
            </w:pPr>
            <w:r w:rsidRPr="005F4E43">
              <w:rPr>
                <w:rFonts w:asciiTheme="majorBidi" w:hAnsiTheme="majorBidi" w:cstheme="majorBidi"/>
                <w:i/>
                <w:iCs/>
                <w:sz w:val="24"/>
                <w:szCs w:val="24"/>
                <w:lang w:val="en-US"/>
              </w:rPr>
              <w:t>Summary</w:t>
            </w:r>
          </w:p>
          <w:p w14:paraId="67737D4A" w14:textId="2D3C0582" w:rsidR="00EF688E" w:rsidRPr="00CD0280" w:rsidRDefault="00EF688E" w:rsidP="006365AD">
            <w:pPr>
              <w:spacing w:after="120"/>
              <w:ind w:left="1247" w:firstLine="624"/>
              <w:rPr>
                <w:lang w:val="en-US"/>
              </w:rPr>
            </w:pPr>
            <w:r w:rsidRPr="006365AD">
              <w:rPr>
                <w:rFonts w:asciiTheme="majorBidi" w:hAnsiTheme="majorBidi" w:cstheme="majorBidi"/>
                <w:bCs/>
                <w:lang w:val="en-US"/>
              </w:rPr>
              <w:t>Th</w:t>
            </w:r>
            <w:r w:rsidR="00FC3CA6">
              <w:rPr>
                <w:rFonts w:asciiTheme="majorBidi" w:hAnsiTheme="majorBidi" w:cstheme="majorBidi"/>
                <w:bCs/>
                <w:lang w:val="en-US"/>
              </w:rPr>
              <w:t>e present</w:t>
            </w:r>
            <w:r w:rsidRPr="006365AD">
              <w:rPr>
                <w:rFonts w:asciiTheme="majorBidi" w:hAnsiTheme="majorBidi" w:cstheme="majorBidi"/>
                <w:bCs/>
                <w:lang w:val="en-US"/>
              </w:rPr>
              <w:t xml:space="preserve"> </w:t>
            </w:r>
            <w:r w:rsidR="00FC3CA6">
              <w:rPr>
                <w:rFonts w:asciiTheme="majorBidi" w:hAnsiTheme="majorBidi" w:cstheme="majorBidi"/>
                <w:bCs/>
                <w:lang w:val="en-US"/>
              </w:rPr>
              <w:t>note</w:t>
            </w:r>
            <w:r w:rsidRPr="006365AD">
              <w:rPr>
                <w:rFonts w:asciiTheme="majorBidi" w:hAnsiTheme="majorBidi" w:cstheme="majorBidi"/>
                <w:bCs/>
                <w:lang w:val="en-US"/>
              </w:rPr>
              <w:t xml:space="preserve"> responds to U</w:t>
            </w:r>
            <w:r w:rsidR="00FC3CA6">
              <w:rPr>
                <w:rFonts w:asciiTheme="majorBidi" w:hAnsiTheme="majorBidi" w:cstheme="majorBidi"/>
                <w:bCs/>
                <w:lang w:val="en-US"/>
              </w:rPr>
              <w:t xml:space="preserve">nited </w:t>
            </w:r>
            <w:r w:rsidRPr="006365AD">
              <w:rPr>
                <w:rFonts w:asciiTheme="majorBidi" w:hAnsiTheme="majorBidi" w:cstheme="majorBidi"/>
                <w:bCs/>
                <w:lang w:val="en-US"/>
              </w:rPr>
              <w:t>N</w:t>
            </w:r>
            <w:r w:rsidR="00FC3CA6">
              <w:rPr>
                <w:rFonts w:asciiTheme="majorBidi" w:hAnsiTheme="majorBidi" w:cstheme="majorBidi"/>
                <w:bCs/>
                <w:lang w:val="en-US"/>
              </w:rPr>
              <w:t xml:space="preserve">ations </w:t>
            </w:r>
            <w:r w:rsidRPr="006365AD">
              <w:rPr>
                <w:rFonts w:asciiTheme="majorBidi" w:hAnsiTheme="majorBidi" w:cstheme="majorBidi"/>
                <w:bCs/>
                <w:lang w:val="en-US"/>
              </w:rPr>
              <w:t>E</w:t>
            </w:r>
            <w:r w:rsidR="00FC3CA6">
              <w:rPr>
                <w:rFonts w:asciiTheme="majorBidi" w:hAnsiTheme="majorBidi" w:cstheme="majorBidi"/>
                <w:bCs/>
                <w:lang w:val="en-US"/>
              </w:rPr>
              <w:t xml:space="preserve">nvironment </w:t>
            </w:r>
            <w:proofErr w:type="spellStart"/>
            <w:r w:rsidRPr="006365AD">
              <w:rPr>
                <w:rFonts w:asciiTheme="majorBidi" w:hAnsiTheme="majorBidi" w:cstheme="majorBidi"/>
                <w:bCs/>
                <w:lang w:val="en-US"/>
              </w:rPr>
              <w:t>P</w:t>
            </w:r>
            <w:r w:rsidR="00FC3CA6">
              <w:rPr>
                <w:rFonts w:asciiTheme="majorBidi" w:hAnsiTheme="majorBidi" w:cstheme="majorBidi"/>
                <w:bCs/>
                <w:lang w:val="en-US"/>
              </w:rPr>
              <w:t>rogramme</w:t>
            </w:r>
            <w:proofErr w:type="spellEnd"/>
            <w:r w:rsidRPr="006365AD">
              <w:rPr>
                <w:rFonts w:asciiTheme="majorBidi" w:hAnsiTheme="majorBidi" w:cstheme="majorBidi"/>
                <w:bCs/>
                <w:lang w:val="en-US"/>
              </w:rPr>
              <w:t xml:space="preserve"> Governing Council decision 27/12 VIII on the consultative process on financing options for chemicals and wastes. It also provides information to supplement and support the information contained in the report of the Executive Director of </w:t>
            </w:r>
            <w:r w:rsidR="00FC3CA6">
              <w:rPr>
                <w:rFonts w:asciiTheme="majorBidi" w:hAnsiTheme="majorBidi" w:cstheme="majorBidi"/>
                <w:bCs/>
                <w:lang w:val="en-US"/>
              </w:rPr>
              <w:t xml:space="preserve">the United Nations Environment </w:t>
            </w:r>
            <w:proofErr w:type="spellStart"/>
            <w:r w:rsidR="00FC3CA6">
              <w:rPr>
                <w:rFonts w:asciiTheme="majorBidi" w:hAnsiTheme="majorBidi" w:cstheme="majorBidi"/>
                <w:bCs/>
                <w:lang w:val="en-US"/>
              </w:rPr>
              <w:t>Programme</w:t>
            </w:r>
            <w:proofErr w:type="spellEnd"/>
            <w:r w:rsidRPr="006365AD">
              <w:rPr>
                <w:rFonts w:asciiTheme="majorBidi" w:hAnsiTheme="majorBidi" w:cstheme="majorBidi"/>
                <w:bCs/>
                <w:lang w:val="en-US"/>
              </w:rPr>
              <w:t xml:space="preserve"> on </w:t>
            </w:r>
            <w:r w:rsidR="00FC3CA6" w:rsidRPr="00E76E78">
              <w:rPr>
                <w:rFonts w:asciiTheme="majorBidi" w:hAnsiTheme="majorBidi" w:cstheme="majorBidi"/>
                <w:bCs/>
                <w:lang w:val="en-US"/>
              </w:rPr>
              <w:t>r</w:t>
            </w:r>
            <w:r w:rsidRPr="006365AD">
              <w:rPr>
                <w:rFonts w:asciiTheme="majorBidi" w:hAnsiTheme="majorBidi" w:cstheme="majorBidi"/>
                <w:bCs/>
                <w:lang w:val="en-US"/>
              </w:rPr>
              <w:t>esolution 1/5</w:t>
            </w:r>
            <w:r w:rsidR="00F5576F" w:rsidRPr="00E76E78">
              <w:rPr>
                <w:rFonts w:asciiTheme="majorBidi" w:hAnsiTheme="majorBidi" w:cstheme="majorBidi"/>
                <w:bCs/>
                <w:lang w:val="en-US"/>
              </w:rPr>
              <w:t xml:space="preserve"> on chemicals and waste</w:t>
            </w:r>
            <w:r w:rsidR="00827EEE" w:rsidRPr="006365AD">
              <w:rPr>
                <w:rFonts w:asciiTheme="majorBidi" w:hAnsiTheme="majorBidi" w:cstheme="majorBidi"/>
                <w:bCs/>
                <w:lang w:val="en-US"/>
              </w:rPr>
              <w:t xml:space="preserve"> </w:t>
            </w:r>
            <w:r w:rsidR="00FC3CA6" w:rsidRPr="00E76E78">
              <w:rPr>
                <w:rFonts w:asciiTheme="majorBidi" w:hAnsiTheme="majorBidi" w:cstheme="majorBidi"/>
                <w:bCs/>
                <w:lang w:val="en-US"/>
              </w:rPr>
              <w:t>of</w:t>
            </w:r>
            <w:r w:rsidRPr="006365AD">
              <w:rPr>
                <w:rFonts w:asciiTheme="majorBidi" w:hAnsiTheme="majorBidi" w:cstheme="majorBidi"/>
                <w:bCs/>
                <w:lang w:val="en-US"/>
              </w:rPr>
              <w:t xml:space="preserve"> the United Nations Environment Assembly at its second session (UNEP/EA.2/</w:t>
            </w:r>
            <w:r w:rsidR="00E76E78" w:rsidRPr="006365AD">
              <w:rPr>
                <w:rFonts w:asciiTheme="majorBidi" w:hAnsiTheme="majorBidi" w:cstheme="majorBidi"/>
                <w:bCs/>
                <w:lang w:val="en-US"/>
              </w:rPr>
              <w:t>4</w:t>
            </w:r>
            <w:r w:rsidRPr="006365AD">
              <w:rPr>
                <w:rFonts w:asciiTheme="majorBidi" w:hAnsiTheme="majorBidi" w:cstheme="majorBidi"/>
                <w:bCs/>
                <w:lang w:val="en-US"/>
              </w:rPr>
              <w:t>).</w:t>
            </w:r>
          </w:p>
        </w:tc>
      </w:tr>
    </w:tbl>
    <w:p w14:paraId="237F11C3" w14:textId="77777777" w:rsidR="00EF688E" w:rsidRDefault="00EF688E" w:rsidP="00EF688E">
      <w:pPr>
        <w:rPr>
          <w:rFonts w:eastAsia="MS Mincho"/>
          <w:bCs/>
          <w:szCs w:val="24"/>
          <w:lang w:val="en-GB"/>
        </w:rPr>
      </w:pPr>
      <w:r w:rsidRPr="006365AD">
        <w:rPr>
          <w:b/>
          <w:bCs/>
          <w:lang w:val="en-US"/>
        </w:rPr>
        <w:br w:type="page"/>
      </w:r>
    </w:p>
    <w:p w14:paraId="119E53BA" w14:textId="02FF2E6C" w:rsidR="00EF688E" w:rsidRPr="00D90AC7" w:rsidRDefault="00827EEE" w:rsidP="006365AD">
      <w:pPr>
        <w:pStyle w:val="CH2"/>
        <w:rPr>
          <w:rFonts w:asciiTheme="majorBidi" w:hAnsiTheme="majorBidi"/>
          <w:sz w:val="28"/>
          <w:szCs w:val="28"/>
        </w:rPr>
      </w:pPr>
      <w:r>
        <w:lastRenderedPageBreak/>
        <w:tab/>
      </w:r>
      <w:r w:rsidR="00EF688E" w:rsidRPr="00D90AC7">
        <w:rPr>
          <w:rFonts w:asciiTheme="majorBidi" w:hAnsiTheme="majorBidi"/>
          <w:sz w:val="28"/>
          <w:szCs w:val="28"/>
        </w:rPr>
        <w:t>I</w:t>
      </w:r>
      <w:r w:rsidR="00EF688E">
        <w:rPr>
          <w:rFonts w:asciiTheme="majorBidi" w:hAnsiTheme="majorBidi"/>
          <w:sz w:val="28"/>
          <w:szCs w:val="28"/>
        </w:rPr>
        <w:t>.</w:t>
      </w:r>
      <w:r w:rsidR="00EF688E" w:rsidRPr="00D90AC7">
        <w:rPr>
          <w:rFonts w:asciiTheme="majorBidi" w:hAnsiTheme="majorBidi"/>
          <w:sz w:val="28"/>
          <w:szCs w:val="28"/>
        </w:rPr>
        <w:tab/>
        <w:t>Introduction</w:t>
      </w:r>
    </w:p>
    <w:p w14:paraId="01FEC98F" w14:textId="2767F11D" w:rsidR="00EF688E" w:rsidRPr="00CA693D" w:rsidRDefault="00EF688E" w:rsidP="006365AD">
      <w:pPr>
        <w:pStyle w:val="Normalnumber"/>
        <w:numPr>
          <w:ilvl w:val="0"/>
          <w:numId w:val="7"/>
        </w:numPr>
        <w:tabs>
          <w:tab w:val="clear" w:pos="1871"/>
          <w:tab w:val="clear" w:pos="2495"/>
        </w:tabs>
        <w:rPr>
          <w:rFonts w:asciiTheme="majorBidi" w:hAnsiTheme="majorBidi" w:cstheme="majorBidi"/>
        </w:rPr>
      </w:pPr>
      <w:r>
        <w:t xml:space="preserve">The </w:t>
      </w:r>
      <w:r w:rsidR="00FC3CA6">
        <w:t>integrated approach to financing the sound management of chemicals and waste</w:t>
      </w:r>
      <w:r w:rsidR="0045738B">
        <w:t>s</w:t>
      </w:r>
      <w:r w:rsidR="00FC3CA6">
        <w:t xml:space="preserve"> </w:t>
      </w:r>
      <w:r>
        <w:t xml:space="preserve">is the result of a country-led consultative process on financing options for chemicals and wastes. </w:t>
      </w:r>
      <w:r w:rsidRPr="00CA693D">
        <w:rPr>
          <w:lang w:val="en-US"/>
        </w:rPr>
        <w:t xml:space="preserve">The process </w:t>
      </w:r>
      <w:r>
        <w:rPr>
          <w:lang w:val="en-US"/>
        </w:rPr>
        <w:t>leading</w:t>
      </w:r>
      <w:r w:rsidR="00FC3CA6">
        <w:rPr>
          <w:lang w:val="en-US"/>
        </w:rPr>
        <w:t xml:space="preserve"> </w:t>
      </w:r>
      <w:r>
        <w:rPr>
          <w:lang w:val="en-US"/>
        </w:rPr>
        <w:t>to the</w:t>
      </w:r>
      <w:r w:rsidR="00FC3CA6">
        <w:rPr>
          <w:lang w:val="en-US"/>
        </w:rPr>
        <w:t xml:space="preserve"> elaboration o</w:t>
      </w:r>
      <w:r w:rsidR="00FC3CA6" w:rsidRPr="00F5576F">
        <w:rPr>
          <w:lang w:val="en-US"/>
        </w:rPr>
        <w:t>f the</w:t>
      </w:r>
      <w:r w:rsidRPr="00F5576F">
        <w:rPr>
          <w:lang w:val="en-US"/>
        </w:rPr>
        <w:t xml:space="preserve"> </w:t>
      </w:r>
      <w:r w:rsidR="00FC3CA6" w:rsidRPr="00F5576F">
        <w:rPr>
          <w:lang w:val="en-US"/>
        </w:rPr>
        <w:t xml:space="preserve">integrated approach </w:t>
      </w:r>
      <w:r w:rsidRPr="00F5576F">
        <w:rPr>
          <w:lang w:val="en-US"/>
        </w:rPr>
        <w:t xml:space="preserve">was first announced </w:t>
      </w:r>
      <w:r w:rsidRPr="00F5576F">
        <w:t xml:space="preserve">by the Executive Director of </w:t>
      </w:r>
      <w:r w:rsidR="00FC3CA6" w:rsidRPr="00F5576F">
        <w:t>the United Nations Environment Programme (</w:t>
      </w:r>
      <w:r w:rsidRPr="00F5576F">
        <w:t>UNEP</w:t>
      </w:r>
      <w:r w:rsidR="00FC3CA6" w:rsidRPr="00F5576F">
        <w:t>)</w:t>
      </w:r>
      <w:r w:rsidRPr="00F5576F">
        <w:t xml:space="preserve"> </w:t>
      </w:r>
      <w:r w:rsidRPr="00F5576F">
        <w:rPr>
          <w:lang w:val="en-US"/>
        </w:rPr>
        <w:t>at the fourth meeting of the Conference of the Parties of the Stockholm Convention on Persistent Organic Pollutants</w:t>
      </w:r>
      <w:r w:rsidR="00FC3CA6" w:rsidRPr="00F5576F">
        <w:rPr>
          <w:lang w:val="en-US"/>
        </w:rPr>
        <w:t>,</w:t>
      </w:r>
      <w:r w:rsidRPr="00F5576F">
        <w:rPr>
          <w:lang w:val="en-US"/>
        </w:rPr>
        <w:t xml:space="preserve"> held in May 2009</w:t>
      </w:r>
      <w:r w:rsidR="00FC3CA6" w:rsidRPr="00F5576F">
        <w:rPr>
          <w:lang w:val="en-US"/>
        </w:rPr>
        <w:t>,</w:t>
      </w:r>
      <w:r w:rsidRPr="00F5576F">
        <w:t xml:space="preserve"> </w:t>
      </w:r>
      <w:r w:rsidRPr="00F5576F">
        <w:rPr>
          <w:lang w:val="en-US"/>
        </w:rPr>
        <w:t xml:space="preserve">in recognition of the need for </w:t>
      </w:r>
      <w:r w:rsidRPr="00F5576F">
        <w:t>sustainable, predictable, adequate and accessible financing for the sound management of chemicals and wastes at all levels. A short summary of key milestones and rel</w:t>
      </w:r>
      <w:r w:rsidR="00FC3CA6" w:rsidRPr="00F5576F">
        <w:t>evant</w:t>
      </w:r>
      <w:r w:rsidRPr="00F5576F">
        <w:t xml:space="preserve"> discussions of governing bodies related</w:t>
      </w:r>
      <w:r>
        <w:t xml:space="preserve"> to the </w:t>
      </w:r>
      <w:r w:rsidR="00FC3CA6">
        <w:t>integrated a</w:t>
      </w:r>
      <w:r>
        <w:t xml:space="preserve">pproach is provided in </w:t>
      </w:r>
      <w:r w:rsidR="00C2718A">
        <w:t xml:space="preserve">the </w:t>
      </w:r>
      <w:r w:rsidR="00FC3CA6">
        <w:t>a</w:t>
      </w:r>
      <w:r>
        <w:t>nnex</w:t>
      </w:r>
      <w:r w:rsidR="00FC3CA6">
        <w:t xml:space="preserve"> to the present note</w:t>
      </w:r>
      <w:r>
        <w:t>.</w:t>
      </w:r>
      <w:r w:rsidR="00A47E05">
        <w:t xml:space="preserve">  </w:t>
      </w:r>
    </w:p>
    <w:p w14:paraId="26873543" w14:textId="77777777" w:rsidR="00EF688E" w:rsidRDefault="00EF688E" w:rsidP="006365AD">
      <w:pPr>
        <w:pStyle w:val="Normalnumber"/>
        <w:numPr>
          <w:ilvl w:val="0"/>
          <w:numId w:val="7"/>
        </w:numPr>
        <w:tabs>
          <w:tab w:val="clear" w:pos="1871"/>
          <w:tab w:val="clear" w:pos="2495"/>
        </w:tabs>
        <w:rPr>
          <w:rFonts w:asciiTheme="majorBidi" w:hAnsiTheme="majorBidi" w:cstheme="majorBidi"/>
        </w:rPr>
      </w:pPr>
      <w:r w:rsidRPr="0024628E">
        <w:rPr>
          <w:rFonts w:asciiTheme="majorBidi" w:hAnsiTheme="majorBidi" w:cstheme="majorBidi"/>
        </w:rPr>
        <w:t xml:space="preserve">The </w:t>
      </w:r>
      <w:r w:rsidR="00FC3CA6">
        <w:rPr>
          <w:rFonts w:asciiTheme="majorBidi" w:hAnsiTheme="majorBidi" w:cstheme="majorBidi"/>
        </w:rPr>
        <w:t>i</w:t>
      </w:r>
      <w:r w:rsidR="00FC3CA6" w:rsidRPr="0024628E">
        <w:rPr>
          <w:rFonts w:asciiTheme="majorBidi" w:hAnsiTheme="majorBidi" w:cstheme="majorBidi"/>
        </w:rPr>
        <w:t xml:space="preserve">ntegrated </w:t>
      </w:r>
      <w:r w:rsidR="00FC3CA6">
        <w:rPr>
          <w:rFonts w:asciiTheme="majorBidi" w:hAnsiTheme="majorBidi" w:cstheme="majorBidi"/>
        </w:rPr>
        <w:t>a</w:t>
      </w:r>
      <w:r w:rsidR="00FC3CA6" w:rsidRPr="0024628E">
        <w:rPr>
          <w:rFonts w:asciiTheme="majorBidi" w:hAnsiTheme="majorBidi" w:cstheme="majorBidi"/>
        </w:rPr>
        <w:t>pproach</w:t>
      </w:r>
      <w:r w:rsidR="00FC3CA6">
        <w:rPr>
          <w:rFonts w:asciiTheme="majorBidi" w:hAnsiTheme="majorBidi" w:cstheme="majorBidi"/>
        </w:rPr>
        <w:t xml:space="preserve"> </w:t>
      </w:r>
      <w:r>
        <w:rPr>
          <w:rFonts w:asciiTheme="majorBidi" w:hAnsiTheme="majorBidi" w:cstheme="majorBidi"/>
        </w:rPr>
        <w:t xml:space="preserve">contains three components that are mutually reinforcing and are all important for the financing of </w:t>
      </w:r>
      <w:r w:rsidR="00FC3CA6">
        <w:rPr>
          <w:rFonts w:asciiTheme="majorBidi" w:hAnsiTheme="majorBidi" w:cstheme="majorBidi"/>
        </w:rPr>
        <w:t xml:space="preserve">the </w:t>
      </w:r>
      <w:r>
        <w:rPr>
          <w:rFonts w:asciiTheme="majorBidi" w:hAnsiTheme="majorBidi" w:cstheme="majorBidi"/>
        </w:rPr>
        <w:t>sound management of chemicals and wastes:</w:t>
      </w:r>
    </w:p>
    <w:p w14:paraId="2C131BAB" w14:textId="28AF50B9" w:rsidR="00EF688E" w:rsidRPr="0024628E" w:rsidRDefault="00EF688E" w:rsidP="006365AD">
      <w:pPr>
        <w:pStyle w:val="Normalnumber"/>
        <w:numPr>
          <w:ilvl w:val="1"/>
          <w:numId w:val="20"/>
        </w:numPr>
        <w:tabs>
          <w:tab w:val="clear" w:pos="624"/>
          <w:tab w:val="clear" w:pos="1871"/>
          <w:tab w:val="clear" w:pos="2495"/>
        </w:tabs>
        <w:ind w:left="1247" w:firstLine="624"/>
        <w:rPr>
          <w:rFonts w:asciiTheme="majorBidi" w:hAnsiTheme="majorBidi" w:cstheme="majorBidi"/>
        </w:rPr>
      </w:pPr>
      <w:r w:rsidRPr="0024628E">
        <w:rPr>
          <w:rFonts w:asciiTheme="majorBidi" w:hAnsiTheme="majorBidi" w:cstheme="majorBidi"/>
        </w:rPr>
        <w:t>Mainstreaming of the sound management of chemicals and w</w:t>
      </w:r>
      <w:r>
        <w:rPr>
          <w:rFonts w:asciiTheme="majorBidi" w:hAnsiTheme="majorBidi" w:cstheme="majorBidi"/>
        </w:rPr>
        <w:t>aste</w:t>
      </w:r>
      <w:r w:rsidR="0045738B">
        <w:rPr>
          <w:rFonts w:asciiTheme="majorBidi" w:hAnsiTheme="majorBidi" w:cstheme="majorBidi"/>
        </w:rPr>
        <w:t>s</w:t>
      </w:r>
      <w:r>
        <w:rPr>
          <w:rFonts w:asciiTheme="majorBidi" w:hAnsiTheme="majorBidi" w:cstheme="majorBidi"/>
        </w:rPr>
        <w:t xml:space="preserve"> into development planning;</w:t>
      </w:r>
      <w:r w:rsidRPr="0024628E">
        <w:rPr>
          <w:rFonts w:asciiTheme="majorBidi" w:hAnsiTheme="majorBidi" w:cstheme="majorBidi"/>
        </w:rPr>
        <w:t xml:space="preserve"> </w:t>
      </w:r>
    </w:p>
    <w:p w14:paraId="74192ECF" w14:textId="77777777" w:rsidR="00EF688E" w:rsidRDefault="00EF688E" w:rsidP="006365AD">
      <w:pPr>
        <w:pStyle w:val="Normalnumber"/>
        <w:numPr>
          <w:ilvl w:val="1"/>
          <w:numId w:val="20"/>
        </w:numPr>
        <w:tabs>
          <w:tab w:val="clear" w:pos="624"/>
          <w:tab w:val="clear" w:pos="1871"/>
          <w:tab w:val="clear" w:pos="2495"/>
        </w:tabs>
        <w:ind w:left="1247" w:firstLine="624"/>
        <w:rPr>
          <w:rFonts w:asciiTheme="majorBidi" w:hAnsiTheme="majorBidi" w:cstheme="majorBidi"/>
        </w:rPr>
      </w:pPr>
      <w:r>
        <w:rPr>
          <w:rFonts w:asciiTheme="majorBidi" w:hAnsiTheme="majorBidi" w:cstheme="majorBidi"/>
        </w:rPr>
        <w:t>Industry involvement;</w:t>
      </w:r>
    </w:p>
    <w:p w14:paraId="0525A42D" w14:textId="3EDFB678" w:rsidR="00EF688E" w:rsidRPr="0024628E" w:rsidRDefault="00EF688E" w:rsidP="006365AD">
      <w:pPr>
        <w:pStyle w:val="Normalnumber"/>
        <w:numPr>
          <w:ilvl w:val="1"/>
          <w:numId w:val="20"/>
        </w:numPr>
        <w:tabs>
          <w:tab w:val="clear" w:pos="624"/>
          <w:tab w:val="clear" w:pos="1871"/>
          <w:tab w:val="clear" w:pos="2495"/>
        </w:tabs>
        <w:ind w:left="1247" w:firstLine="624"/>
        <w:rPr>
          <w:rFonts w:asciiTheme="majorBidi" w:hAnsiTheme="majorBidi" w:cstheme="majorBidi"/>
        </w:rPr>
      </w:pPr>
      <w:r>
        <w:rPr>
          <w:rFonts w:asciiTheme="majorBidi" w:hAnsiTheme="majorBidi" w:cstheme="majorBidi"/>
        </w:rPr>
        <w:t>Dedicated external financ</w:t>
      </w:r>
      <w:r w:rsidR="00514CAF">
        <w:rPr>
          <w:rFonts w:asciiTheme="majorBidi" w:hAnsiTheme="majorBidi" w:cstheme="majorBidi"/>
        </w:rPr>
        <w:t>ing</w:t>
      </w:r>
      <w:r>
        <w:rPr>
          <w:rFonts w:asciiTheme="majorBidi" w:hAnsiTheme="majorBidi" w:cstheme="majorBidi"/>
        </w:rPr>
        <w:t>, including an integrated chemicals and focal area under the Global Environment Facility as well as a Special Programme to support institutional strengthening at the national level for implementation o</w:t>
      </w:r>
      <w:r w:rsidRPr="00F5576F">
        <w:rPr>
          <w:rFonts w:asciiTheme="majorBidi" w:hAnsiTheme="majorBidi" w:cstheme="majorBidi"/>
        </w:rPr>
        <w:t>f the Basel</w:t>
      </w:r>
      <w:r w:rsidR="009D4696" w:rsidRPr="006365AD">
        <w:rPr>
          <w:rFonts w:asciiTheme="majorBidi" w:hAnsiTheme="majorBidi" w:cstheme="majorBidi"/>
        </w:rPr>
        <w:t xml:space="preserve"> </w:t>
      </w:r>
      <w:r w:rsidR="009D4696" w:rsidRPr="00F5576F">
        <w:t>Convention on the Control of Transboundary Movements of Hazardous Wastes and Their Disposal</w:t>
      </w:r>
      <w:r w:rsidRPr="00F5576F">
        <w:rPr>
          <w:rFonts w:asciiTheme="majorBidi" w:hAnsiTheme="majorBidi" w:cstheme="majorBidi"/>
        </w:rPr>
        <w:t xml:space="preserve">, </w:t>
      </w:r>
      <w:r w:rsidR="009D4696" w:rsidRPr="006365AD">
        <w:rPr>
          <w:rFonts w:asciiTheme="majorBidi" w:hAnsiTheme="majorBidi" w:cstheme="majorBidi"/>
        </w:rPr>
        <w:t xml:space="preserve">the </w:t>
      </w:r>
      <w:r w:rsidRPr="00F5576F">
        <w:rPr>
          <w:rFonts w:asciiTheme="majorBidi" w:hAnsiTheme="majorBidi" w:cstheme="majorBidi"/>
        </w:rPr>
        <w:t>Rotterdam</w:t>
      </w:r>
      <w:r w:rsidR="009D4696" w:rsidRPr="006365AD">
        <w:t xml:space="preserve"> Convention on the Prior Informed Consent Procedure for Certain Hazardous Chemicals and Pesticides in International Trade</w:t>
      </w:r>
      <w:r w:rsidR="00514CAF">
        <w:t>,</w:t>
      </w:r>
      <w:r w:rsidRPr="00F5576F">
        <w:rPr>
          <w:rFonts w:asciiTheme="majorBidi" w:hAnsiTheme="majorBidi" w:cstheme="majorBidi"/>
        </w:rPr>
        <w:t xml:space="preserve"> </w:t>
      </w:r>
      <w:r w:rsidR="009D4696" w:rsidRPr="006365AD">
        <w:rPr>
          <w:rFonts w:asciiTheme="majorBidi" w:hAnsiTheme="majorBidi" w:cstheme="majorBidi"/>
        </w:rPr>
        <w:t xml:space="preserve">the </w:t>
      </w:r>
      <w:r w:rsidRPr="00F5576F">
        <w:rPr>
          <w:rFonts w:asciiTheme="majorBidi" w:hAnsiTheme="majorBidi" w:cstheme="majorBidi"/>
        </w:rPr>
        <w:t>Stockholm Convention</w:t>
      </w:r>
      <w:r w:rsidR="009D4696" w:rsidRPr="00F5576F">
        <w:rPr>
          <w:rFonts w:asciiTheme="majorBidi" w:hAnsiTheme="majorBidi" w:cstheme="majorBidi"/>
        </w:rPr>
        <w:t xml:space="preserve"> on Persistent Organic Pollutants</w:t>
      </w:r>
      <w:r w:rsidRPr="00F5576F">
        <w:rPr>
          <w:rFonts w:asciiTheme="majorBidi" w:hAnsiTheme="majorBidi" w:cstheme="majorBidi"/>
        </w:rPr>
        <w:t xml:space="preserve">, the Minamata Convention </w:t>
      </w:r>
      <w:r w:rsidR="009D4696" w:rsidRPr="00F5576F">
        <w:rPr>
          <w:rFonts w:asciiTheme="majorBidi" w:hAnsiTheme="majorBidi" w:cstheme="majorBidi"/>
        </w:rPr>
        <w:t xml:space="preserve">on Mercury </w:t>
      </w:r>
      <w:r w:rsidRPr="00F5576F">
        <w:rPr>
          <w:rFonts w:asciiTheme="majorBidi" w:hAnsiTheme="majorBidi" w:cstheme="majorBidi"/>
        </w:rPr>
        <w:t>and the Strategic Approach to Int</w:t>
      </w:r>
      <w:r>
        <w:rPr>
          <w:rFonts w:asciiTheme="majorBidi" w:hAnsiTheme="majorBidi" w:cstheme="majorBidi"/>
        </w:rPr>
        <w:t>ernational Chemicals Management</w:t>
      </w:r>
      <w:r w:rsidR="001934F4">
        <w:rPr>
          <w:rFonts w:asciiTheme="majorBidi" w:hAnsiTheme="majorBidi" w:cstheme="majorBidi"/>
        </w:rPr>
        <w:t>.</w:t>
      </w:r>
    </w:p>
    <w:p w14:paraId="10181842" w14:textId="1AFC7310" w:rsidR="00EF688E" w:rsidRDefault="00EF688E" w:rsidP="006365AD">
      <w:pPr>
        <w:pStyle w:val="Normalnumber"/>
        <w:numPr>
          <w:ilvl w:val="0"/>
          <w:numId w:val="7"/>
        </w:numPr>
        <w:tabs>
          <w:tab w:val="clear" w:pos="1871"/>
          <w:tab w:val="clear" w:pos="2495"/>
        </w:tabs>
        <w:rPr>
          <w:rFonts w:asciiTheme="majorBidi" w:hAnsiTheme="majorBidi" w:cstheme="majorBidi"/>
        </w:rPr>
      </w:pPr>
      <w:r w:rsidRPr="00C46F94">
        <w:rPr>
          <w:rFonts w:asciiTheme="majorBidi" w:hAnsiTheme="majorBidi" w:cstheme="majorBidi"/>
        </w:rPr>
        <w:t>The</w:t>
      </w:r>
      <w:r>
        <w:rPr>
          <w:rFonts w:asciiTheme="majorBidi" w:hAnsiTheme="majorBidi" w:cstheme="majorBidi"/>
        </w:rPr>
        <w:t xml:space="preserve"> present</w:t>
      </w:r>
      <w:r w:rsidRPr="00C46F94">
        <w:rPr>
          <w:rFonts w:asciiTheme="majorBidi" w:hAnsiTheme="majorBidi" w:cstheme="majorBidi"/>
        </w:rPr>
        <w:t xml:space="preserve"> </w:t>
      </w:r>
      <w:r w:rsidR="001E7F14">
        <w:rPr>
          <w:rFonts w:asciiTheme="majorBidi" w:hAnsiTheme="majorBidi" w:cstheme="majorBidi"/>
        </w:rPr>
        <w:t>note</w:t>
      </w:r>
      <w:r w:rsidR="001E7F14" w:rsidRPr="00C46F94">
        <w:rPr>
          <w:rFonts w:asciiTheme="majorBidi" w:hAnsiTheme="majorBidi" w:cstheme="majorBidi"/>
        </w:rPr>
        <w:t xml:space="preserve"> </w:t>
      </w:r>
      <w:r w:rsidR="001E7F14">
        <w:rPr>
          <w:rFonts w:asciiTheme="majorBidi" w:hAnsiTheme="majorBidi" w:cstheme="majorBidi"/>
        </w:rPr>
        <w:t>describes</w:t>
      </w:r>
      <w:r>
        <w:rPr>
          <w:rFonts w:asciiTheme="majorBidi" w:hAnsiTheme="majorBidi" w:cstheme="majorBidi"/>
        </w:rPr>
        <w:t xml:space="preserve"> a</w:t>
      </w:r>
      <w:r w:rsidRPr="00D47281">
        <w:rPr>
          <w:rFonts w:asciiTheme="majorBidi" w:hAnsiTheme="majorBidi" w:cstheme="majorBidi"/>
        </w:rPr>
        <w:t>ctivities and initial lessons learned in implementing the three</w:t>
      </w:r>
      <w:r w:rsidR="00827EEE">
        <w:rPr>
          <w:rFonts w:asciiTheme="majorBidi" w:hAnsiTheme="majorBidi" w:cstheme="majorBidi"/>
        </w:rPr>
        <w:t xml:space="preserve"> </w:t>
      </w:r>
      <w:r w:rsidRPr="00D47281">
        <w:rPr>
          <w:rFonts w:asciiTheme="majorBidi" w:hAnsiTheme="majorBidi" w:cstheme="majorBidi"/>
        </w:rPr>
        <w:t xml:space="preserve">components of the </w:t>
      </w:r>
      <w:r w:rsidR="001E7F14" w:rsidRPr="00D47281">
        <w:rPr>
          <w:rFonts w:asciiTheme="majorBidi" w:hAnsiTheme="majorBidi" w:cstheme="majorBidi"/>
        </w:rPr>
        <w:t>integrated a</w:t>
      </w:r>
      <w:r w:rsidRPr="00D47281">
        <w:rPr>
          <w:rFonts w:asciiTheme="majorBidi" w:hAnsiTheme="majorBidi" w:cstheme="majorBidi"/>
        </w:rPr>
        <w:t>pproach;</w:t>
      </w:r>
      <w:r>
        <w:rPr>
          <w:rFonts w:asciiTheme="majorBidi" w:hAnsiTheme="majorBidi" w:cstheme="majorBidi"/>
        </w:rPr>
        <w:t xml:space="preserve"> i</w:t>
      </w:r>
      <w:r w:rsidRPr="00F377D0">
        <w:rPr>
          <w:rFonts w:asciiTheme="majorBidi" w:hAnsiTheme="majorBidi" w:cstheme="majorBidi"/>
        </w:rPr>
        <w:t xml:space="preserve">nstitutional cooperation and partnerships to implement the </w:t>
      </w:r>
      <w:r w:rsidR="001E7F14" w:rsidRPr="00F377D0">
        <w:rPr>
          <w:rFonts w:asciiTheme="majorBidi" w:hAnsiTheme="majorBidi" w:cstheme="majorBidi"/>
        </w:rPr>
        <w:t>integrated approach</w:t>
      </w:r>
      <w:r w:rsidRPr="004C2A8C">
        <w:rPr>
          <w:rFonts w:asciiTheme="majorBidi" w:hAnsiTheme="majorBidi" w:cstheme="majorBidi"/>
        </w:rPr>
        <w:t>; and</w:t>
      </w:r>
      <w:r>
        <w:rPr>
          <w:rFonts w:asciiTheme="majorBidi" w:hAnsiTheme="majorBidi" w:cstheme="majorBidi"/>
        </w:rPr>
        <w:t xml:space="preserve"> i</w:t>
      </w:r>
      <w:r w:rsidRPr="00F377D0">
        <w:rPr>
          <w:rFonts w:asciiTheme="majorBidi" w:hAnsiTheme="majorBidi" w:cstheme="majorBidi"/>
        </w:rPr>
        <w:t xml:space="preserve">ssues for </w:t>
      </w:r>
      <w:r w:rsidRPr="004C2A8C">
        <w:rPr>
          <w:rFonts w:asciiTheme="majorBidi" w:hAnsiTheme="majorBidi" w:cstheme="majorBidi"/>
        </w:rPr>
        <w:t>future consideration.</w:t>
      </w:r>
    </w:p>
    <w:p w14:paraId="07676184" w14:textId="77777777" w:rsidR="00EF688E" w:rsidRPr="00D90AC7" w:rsidRDefault="00B21085" w:rsidP="006365AD">
      <w:pPr>
        <w:pStyle w:val="CH1"/>
      </w:pPr>
      <w:r>
        <w:tab/>
      </w:r>
      <w:r w:rsidR="00EF688E" w:rsidRPr="00D90AC7">
        <w:t>II</w:t>
      </w:r>
      <w:r w:rsidR="00EF688E">
        <w:t>.</w:t>
      </w:r>
      <w:r w:rsidR="00EF688E" w:rsidRPr="00D90AC7">
        <w:tab/>
        <w:t xml:space="preserve">Activities carried out and initial lessons learned </w:t>
      </w:r>
    </w:p>
    <w:p w14:paraId="2414A7A6" w14:textId="25839BB9" w:rsidR="00EF688E" w:rsidRPr="009C5EED" w:rsidRDefault="00EF688E" w:rsidP="006365AD">
      <w:pPr>
        <w:pStyle w:val="Normalnumber"/>
        <w:numPr>
          <w:ilvl w:val="0"/>
          <w:numId w:val="7"/>
        </w:numPr>
        <w:tabs>
          <w:tab w:val="clear" w:pos="1871"/>
          <w:tab w:val="clear" w:pos="2495"/>
        </w:tabs>
      </w:pPr>
      <w:r w:rsidRPr="00D47281">
        <w:rPr>
          <w:lang w:val="en-US"/>
        </w:rPr>
        <w:t xml:space="preserve">Since the adoption of </w:t>
      </w:r>
      <w:r w:rsidR="009D4696">
        <w:rPr>
          <w:lang w:val="en-US"/>
        </w:rPr>
        <w:t xml:space="preserve">Governing Council </w:t>
      </w:r>
      <w:r w:rsidRPr="00D47281">
        <w:rPr>
          <w:lang w:val="en-US"/>
        </w:rPr>
        <w:t>decision 27/12 in 2013, UNE</w:t>
      </w:r>
      <w:r>
        <w:t xml:space="preserve">P has worked on raising awareness of </w:t>
      </w:r>
      <w:r w:rsidR="00AA5EEC">
        <w:t xml:space="preserve">the integrated approach </w:t>
      </w:r>
      <w:r>
        <w:t xml:space="preserve">and carried out activities related to the three mutually reinforcing components of </w:t>
      </w:r>
      <w:r w:rsidR="00AA5EEC">
        <w:t>the integrated approach</w:t>
      </w:r>
      <w:r>
        <w:t>, working closely with countries and stakeholders.</w:t>
      </w:r>
    </w:p>
    <w:p w14:paraId="4770429A" w14:textId="6AD2193E" w:rsidR="00EF688E" w:rsidRPr="00D90AC7" w:rsidRDefault="00B21085" w:rsidP="006365AD">
      <w:pPr>
        <w:pStyle w:val="CH2"/>
      </w:pPr>
      <w:r>
        <w:tab/>
      </w:r>
      <w:r w:rsidR="00EF688E" w:rsidRPr="00D90AC7">
        <w:t>A.</w:t>
      </w:r>
      <w:r w:rsidR="00EF688E" w:rsidRPr="00D90AC7">
        <w:tab/>
        <w:t>Mainstreaming</w:t>
      </w:r>
    </w:p>
    <w:p w14:paraId="38B7E9BC" w14:textId="77777777" w:rsidR="00EF688E" w:rsidRPr="00D90AC7" w:rsidRDefault="00B21085" w:rsidP="006365AD">
      <w:pPr>
        <w:pStyle w:val="CH3"/>
      </w:pPr>
      <w:r>
        <w:tab/>
        <w:t>1.</w:t>
      </w:r>
      <w:r>
        <w:tab/>
      </w:r>
      <w:r w:rsidR="00EF688E" w:rsidRPr="00D90AC7">
        <w:t>Introduction</w:t>
      </w:r>
    </w:p>
    <w:p w14:paraId="028E9855" w14:textId="43A2FE7C" w:rsidR="00EF688E" w:rsidRDefault="00EF688E" w:rsidP="006365AD">
      <w:pPr>
        <w:pStyle w:val="Normalnumber"/>
        <w:numPr>
          <w:ilvl w:val="0"/>
          <w:numId w:val="7"/>
        </w:numPr>
        <w:tabs>
          <w:tab w:val="clear" w:pos="1871"/>
          <w:tab w:val="clear" w:pos="2495"/>
        </w:tabs>
      </w:pPr>
      <w:r w:rsidRPr="00EA47EF">
        <w:t>Mainstreaming, according</w:t>
      </w:r>
      <w:r>
        <w:t xml:space="preserve"> to r</w:t>
      </w:r>
      <w:r w:rsidRPr="00D47281">
        <w:rPr>
          <w:rFonts w:asciiTheme="majorBidi" w:hAnsiTheme="majorBidi" w:cstheme="majorBidi"/>
        </w:rPr>
        <w:t>esolution 1/4 on the Quick Start Progra</w:t>
      </w:r>
      <w:r>
        <w:t xml:space="preserve">mme adopted by the </w:t>
      </w:r>
      <w:r w:rsidRPr="00CA693D">
        <w:t>International Conference on Chemica</w:t>
      </w:r>
      <w:r w:rsidRPr="005C6E64">
        <w:t>ls Management</w:t>
      </w:r>
      <w:r w:rsidR="00623014" w:rsidRPr="005C6E64">
        <w:t xml:space="preserve"> at its first session</w:t>
      </w:r>
      <w:r w:rsidRPr="005C6E64">
        <w:t>, is defined as “integrati</w:t>
      </w:r>
      <w:r w:rsidR="00623014" w:rsidRPr="005C6E64">
        <w:t>ng</w:t>
      </w:r>
      <w:r w:rsidRPr="005C6E64">
        <w:t xml:space="preserve"> the sound management of chemicals in national strategies</w:t>
      </w:r>
      <w:r w:rsidR="00623014" w:rsidRPr="005C6E64">
        <w:t>,</w:t>
      </w:r>
      <w:r w:rsidRPr="005C6E64">
        <w:t xml:space="preserve"> and thereby informing development assistance cooperation priorities”</w:t>
      </w:r>
      <w:r w:rsidR="00F735F3" w:rsidRPr="005C6E64">
        <w:t>.</w:t>
      </w:r>
      <w:r w:rsidRPr="005C6E64">
        <w:t xml:space="preserve"> Its overarching objective is to align regulations, economic instruments and other policy instruments with a view </w:t>
      </w:r>
      <w:r w:rsidR="00373C49" w:rsidRPr="005C6E64">
        <w:t xml:space="preserve">to </w:t>
      </w:r>
      <w:r w:rsidRPr="005C6E64">
        <w:t>correcting mark</w:t>
      </w:r>
      <w:r>
        <w:t xml:space="preserve">et failures and ensuring that the costs of environmental degradation are covered according to the </w:t>
      </w:r>
      <w:r w:rsidR="00F735F3">
        <w:t>“</w:t>
      </w:r>
      <w:r>
        <w:t>polluter pays</w:t>
      </w:r>
      <w:r w:rsidR="00F735F3">
        <w:t>”</w:t>
      </w:r>
      <w:r w:rsidR="00514CAF">
        <w:t xml:space="preserve"> </w:t>
      </w:r>
      <w:r>
        <w:t>principle.</w:t>
      </w:r>
    </w:p>
    <w:p w14:paraId="3376AFD9" w14:textId="6E32232F" w:rsidR="00EF688E" w:rsidRPr="0036120D" w:rsidRDefault="00EF688E" w:rsidP="006365AD">
      <w:pPr>
        <w:pStyle w:val="Normalnumber"/>
        <w:numPr>
          <w:ilvl w:val="0"/>
          <w:numId w:val="7"/>
        </w:numPr>
        <w:tabs>
          <w:tab w:val="clear" w:pos="1871"/>
          <w:tab w:val="clear" w:pos="2495"/>
        </w:tabs>
      </w:pPr>
      <w:r>
        <w:t>M</w:t>
      </w:r>
      <w:r w:rsidRPr="00683FF7">
        <w:t>ainstreaming the sound management of chemicals and waste</w:t>
      </w:r>
      <w:r w:rsidR="0045738B">
        <w:t>s</w:t>
      </w:r>
      <w:r w:rsidRPr="00683FF7">
        <w:t xml:space="preserve"> into national development plans</w:t>
      </w:r>
      <w:r>
        <w:t xml:space="preserve"> and budgets</w:t>
      </w:r>
      <w:r w:rsidRPr="00683FF7">
        <w:t xml:space="preserve"> in developing countries and into the </w:t>
      </w:r>
      <w:r w:rsidRPr="009879D2">
        <w:t xml:space="preserve">international development assistance priorities of developed countries </w:t>
      </w:r>
      <w:r>
        <w:t xml:space="preserve">is expected </w:t>
      </w:r>
      <w:r w:rsidRPr="00F5576F">
        <w:t>to reduce environmental externalities, support poverty alleviation</w:t>
      </w:r>
      <w:r w:rsidR="00827EEE" w:rsidRPr="00F5576F">
        <w:t xml:space="preserve"> </w:t>
      </w:r>
      <w:r w:rsidRPr="00F5576F">
        <w:t>and advance sustainable development.</w:t>
      </w:r>
      <w:r w:rsidR="00827EEE" w:rsidRPr="00F5576F">
        <w:t xml:space="preserve"> </w:t>
      </w:r>
      <w:r w:rsidRPr="00F5576F">
        <w:t>At the same time, mainstreaming seeks to scale up national, international and industry financing for the sound management of chemicals as a contribution to achieving the target</w:t>
      </w:r>
      <w:r w:rsidR="002E3896" w:rsidRPr="006365AD">
        <w:t xml:space="preserve"> of the World Summit on Sustainable Development </w:t>
      </w:r>
      <w:r w:rsidR="00F735F3" w:rsidRPr="00F735F3">
        <w:t xml:space="preserve">envisioning </w:t>
      </w:r>
      <w:r w:rsidR="002E3896" w:rsidRPr="00F735F3">
        <w:t xml:space="preserve">that, by 2020, chemicals </w:t>
      </w:r>
      <w:r w:rsidR="00F735F3" w:rsidRPr="005C6E64">
        <w:t>will be</w:t>
      </w:r>
      <w:r w:rsidR="002E3896" w:rsidRPr="00F735F3">
        <w:t xml:space="preserve"> produced and used in ways that minimize signif</w:t>
      </w:r>
      <w:r w:rsidR="002E3896" w:rsidRPr="006365AD">
        <w:t>icant adverse impacts on the environment and human health</w:t>
      </w:r>
      <w:r w:rsidR="00F735F3">
        <w:t>,</w:t>
      </w:r>
      <w:r w:rsidRPr="00F5576F">
        <w:t xml:space="preserve"> </w:t>
      </w:r>
      <w:r w:rsidR="00F735F3">
        <w:t>as well as</w:t>
      </w:r>
      <w:r w:rsidRPr="00F5576F">
        <w:t xml:space="preserve"> the 2030 </w:t>
      </w:r>
      <w:r w:rsidR="00373C49" w:rsidRPr="00F5576F">
        <w:t xml:space="preserve">Agenda for </w:t>
      </w:r>
      <w:r w:rsidRPr="00F5576F">
        <w:t>Sustainable Development</w:t>
      </w:r>
      <w:r w:rsidRPr="009879D2">
        <w:t xml:space="preserve">. </w:t>
      </w:r>
    </w:p>
    <w:p w14:paraId="6B44EFCC" w14:textId="77777777" w:rsidR="00EF688E" w:rsidRPr="00D90AC7" w:rsidRDefault="00B21085" w:rsidP="006365AD">
      <w:pPr>
        <w:pStyle w:val="CH3"/>
      </w:pPr>
      <w:r>
        <w:tab/>
        <w:t>2.</w:t>
      </w:r>
      <w:r>
        <w:tab/>
      </w:r>
      <w:r w:rsidR="00EF688E" w:rsidRPr="00D90AC7">
        <w:t>Activities</w:t>
      </w:r>
    </w:p>
    <w:p w14:paraId="4EB05F64" w14:textId="25CE83DD" w:rsidR="00EF688E" w:rsidRPr="00F5576F" w:rsidRDefault="00EF688E" w:rsidP="006365AD">
      <w:pPr>
        <w:pStyle w:val="Normalnumber"/>
        <w:numPr>
          <w:ilvl w:val="0"/>
          <w:numId w:val="7"/>
        </w:numPr>
        <w:tabs>
          <w:tab w:val="clear" w:pos="1871"/>
          <w:tab w:val="clear" w:pos="2495"/>
        </w:tabs>
        <w:rPr>
          <w:rFonts w:asciiTheme="majorBidi" w:hAnsiTheme="majorBidi" w:cstheme="majorBidi"/>
        </w:rPr>
      </w:pPr>
      <w:r w:rsidRPr="00EA47EF">
        <w:t>In 2007, UNEP</w:t>
      </w:r>
      <w:r w:rsidRPr="00F5576F">
        <w:t xml:space="preserve"> and </w:t>
      </w:r>
      <w:r w:rsidR="002E3896" w:rsidRPr="00F5576F">
        <w:t>the United Nations Development Programme (</w:t>
      </w:r>
      <w:r w:rsidRPr="00F5576F">
        <w:t>UNDP</w:t>
      </w:r>
      <w:r w:rsidR="002E3896" w:rsidRPr="00F5576F">
        <w:t>)</w:t>
      </w:r>
      <w:r w:rsidRPr="00F5576F">
        <w:t xml:space="preserve"> established a </w:t>
      </w:r>
      <w:r w:rsidR="00F5576F" w:rsidRPr="006365AD">
        <w:t>partnership initiative on the integration of the sound management of chemicals into development planning processes</w:t>
      </w:r>
      <w:r w:rsidRPr="00F5576F">
        <w:t xml:space="preserve"> as a follow</w:t>
      </w:r>
      <w:r w:rsidR="00814748" w:rsidRPr="00F5576F">
        <w:t>-</w:t>
      </w:r>
      <w:r w:rsidRPr="00F5576F">
        <w:t>up to the adoption of the Strategic Approach to</w:t>
      </w:r>
      <w:r w:rsidRPr="002B2927">
        <w:t xml:space="preserve"> International C</w:t>
      </w:r>
      <w:r w:rsidRPr="00F5576F">
        <w:t xml:space="preserve">hemicals </w:t>
      </w:r>
      <w:r w:rsidRPr="00F5576F">
        <w:lastRenderedPageBreak/>
        <w:t>Management in Dubai</w:t>
      </w:r>
      <w:r w:rsidR="00814748" w:rsidRPr="00F5576F">
        <w:t>, United Arab Emirates,</w:t>
      </w:r>
      <w:r w:rsidRPr="00F5576F">
        <w:t xml:space="preserve"> in February 2006. The objective of the </w:t>
      </w:r>
      <w:r w:rsidR="00F5576F">
        <w:t>p</w:t>
      </w:r>
      <w:r w:rsidRPr="00F5576F">
        <w:t>artnership is to support countries in achieving the 2020 goal on chemicals management.</w:t>
      </w:r>
      <w:r w:rsidRPr="00F5576F">
        <w:rPr>
          <w:rStyle w:val="FootnoteReference"/>
        </w:rPr>
        <w:footnoteReference w:id="2"/>
      </w:r>
    </w:p>
    <w:p w14:paraId="5F4869F3" w14:textId="2FC6F7EE" w:rsidR="00EF688E" w:rsidRDefault="00EF688E" w:rsidP="006365AD">
      <w:pPr>
        <w:pStyle w:val="Normalnumber"/>
        <w:numPr>
          <w:ilvl w:val="0"/>
          <w:numId w:val="7"/>
        </w:numPr>
        <w:tabs>
          <w:tab w:val="clear" w:pos="1871"/>
          <w:tab w:val="clear" w:pos="2495"/>
        </w:tabs>
        <w:rPr>
          <w:rFonts w:asciiTheme="majorBidi" w:hAnsiTheme="majorBidi" w:cstheme="majorBidi"/>
        </w:rPr>
      </w:pPr>
      <w:r w:rsidRPr="009078A5">
        <w:t>T</w:t>
      </w:r>
      <w:r w:rsidR="00814748" w:rsidRPr="009078A5">
        <w:t>o date,</w:t>
      </w:r>
      <w:r w:rsidR="00814748">
        <w:t xml:space="preserve"> t</w:t>
      </w:r>
      <w:r>
        <w:rPr>
          <w:rFonts w:asciiTheme="majorBidi" w:hAnsiTheme="majorBidi" w:cstheme="majorBidi"/>
        </w:rPr>
        <w:t xml:space="preserve">he </w:t>
      </w:r>
      <w:r>
        <w:t xml:space="preserve">partnership </w:t>
      </w:r>
      <w:r w:rsidRPr="006C544E">
        <w:rPr>
          <w:rFonts w:asciiTheme="majorBidi" w:hAnsiTheme="majorBidi" w:cstheme="majorBidi"/>
        </w:rPr>
        <w:t>has worked with 1</w:t>
      </w:r>
      <w:r>
        <w:rPr>
          <w:rFonts w:asciiTheme="majorBidi" w:hAnsiTheme="majorBidi" w:cstheme="majorBidi"/>
        </w:rPr>
        <w:t>6</w:t>
      </w:r>
      <w:r w:rsidRPr="006C544E">
        <w:rPr>
          <w:rFonts w:asciiTheme="majorBidi" w:hAnsiTheme="majorBidi" w:cstheme="majorBidi"/>
        </w:rPr>
        <w:t xml:space="preserve"> countries</w:t>
      </w:r>
      <w:r w:rsidRPr="006C544E">
        <w:rPr>
          <w:rStyle w:val="FootnoteReference"/>
          <w:rFonts w:asciiTheme="majorBidi" w:hAnsiTheme="majorBidi" w:cstheme="majorBidi"/>
        </w:rPr>
        <w:footnoteReference w:id="3"/>
      </w:r>
      <w:r w:rsidRPr="006C544E">
        <w:rPr>
          <w:rFonts w:asciiTheme="majorBidi" w:hAnsiTheme="majorBidi" w:cstheme="majorBidi"/>
        </w:rPr>
        <w:t xml:space="preserve"> to mainstream </w:t>
      </w:r>
      <w:r>
        <w:rPr>
          <w:rFonts w:asciiTheme="majorBidi" w:hAnsiTheme="majorBidi" w:cstheme="majorBidi"/>
        </w:rPr>
        <w:t xml:space="preserve">national </w:t>
      </w:r>
      <w:r w:rsidRPr="006C544E">
        <w:rPr>
          <w:rFonts w:asciiTheme="majorBidi" w:hAnsiTheme="majorBidi" w:cstheme="majorBidi"/>
        </w:rPr>
        <w:t>chemicals management priorities into national development plans</w:t>
      </w:r>
      <w:r>
        <w:rPr>
          <w:rFonts w:asciiTheme="majorBidi" w:hAnsiTheme="majorBidi" w:cstheme="majorBidi"/>
        </w:rPr>
        <w:t xml:space="preserve">, </w:t>
      </w:r>
      <w:r w:rsidRPr="006C544E">
        <w:rPr>
          <w:rFonts w:asciiTheme="majorBidi" w:hAnsiTheme="majorBidi" w:cstheme="majorBidi"/>
        </w:rPr>
        <w:t>sector strategies, local government development plans</w:t>
      </w:r>
      <w:r>
        <w:rPr>
          <w:rFonts w:asciiTheme="majorBidi" w:hAnsiTheme="majorBidi" w:cstheme="majorBidi"/>
        </w:rPr>
        <w:t xml:space="preserve"> and </w:t>
      </w:r>
      <w:r w:rsidRPr="006C544E">
        <w:rPr>
          <w:rFonts w:asciiTheme="majorBidi" w:hAnsiTheme="majorBidi" w:cstheme="majorBidi"/>
        </w:rPr>
        <w:t xml:space="preserve">other development programmes. </w:t>
      </w:r>
    </w:p>
    <w:p w14:paraId="78157B52" w14:textId="77777777" w:rsidR="00EF688E" w:rsidRPr="00227475" w:rsidRDefault="00EF688E" w:rsidP="006365AD">
      <w:pPr>
        <w:pStyle w:val="Normalnumber"/>
        <w:numPr>
          <w:ilvl w:val="0"/>
          <w:numId w:val="7"/>
        </w:numPr>
        <w:tabs>
          <w:tab w:val="clear" w:pos="1871"/>
          <w:tab w:val="clear" w:pos="2495"/>
        </w:tabs>
        <w:rPr>
          <w:rFonts w:asciiTheme="majorBidi" w:hAnsiTheme="majorBidi" w:cstheme="majorBidi"/>
        </w:rPr>
      </w:pPr>
      <w:r w:rsidRPr="00227475">
        <w:rPr>
          <w:rFonts w:asciiTheme="majorBidi" w:hAnsiTheme="majorBidi" w:cstheme="majorBidi"/>
        </w:rPr>
        <w:t>The m</w:t>
      </w:r>
      <w:r>
        <w:rPr>
          <w:rFonts w:asciiTheme="majorBidi" w:hAnsiTheme="majorBidi" w:cstheme="majorBidi"/>
        </w:rPr>
        <w:t xml:space="preserve">ainstreaming approach used and tested </w:t>
      </w:r>
      <w:r w:rsidRPr="00227475">
        <w:rPr>
          <w:rFonts w:asciiTheme="majorBidi" w:hAnsiTheme="majorBidi" w:cstheme="majorBidi"/>
        </w:rPr>
        <w:t xml:space="preserve">by UNEP and UNDP </w:t>
      </w:r>
      <w:r>
        <w:rPr>
          <w:rFonts w:asciiTheme="majorBidi" w:hAnsiTheme="majorBidi" w:cstheme="majorBidi"/>
        </w:rPr>
        <w:t xml:space="preserve">in the pilot countries </w:t>
      </w:r>
      <w:r w:rsidRPr="00227475">
        <w:rPr>
          <w:rFonts w:asciiTheme="majorBidi" w:hAnsiTheme="majorBidi" w:cstheme="majorBidi"/>
        </w:rPr>
        <w:t>consisted of the following steps:</w:t>
      </w:r>
    </w:p>
    <w:p w14:paraId="6B28F624" w14:textId="77777777" w:rsidR="00EF688E" w:rsidRDefault="00EF688E" w:rsidP="006365AD">
      <w:pPr>
        <w:pStyle w:val="Normalnumber"/>
        <w:numPr>
          <w:ilvl w:val="0"/>
          <w:numId w:val="82"/>
        </w:numPr>
        <w:tabs>
          <w:tab w:val="clear" w:pos="624"/>
          <w:tab w:val="clear" w:pos="1247"/>
          <w:tab w:val="clear" w:pos="1871"/>
          <w:tab w:val="clear" w:pos="2495"/>
        </w:tabs>
        <w:ind w:left="1247" w:firstLine="624"/>
        <w:rPr>
          <w:rFonts w:asciiTheme="majorBidi" w:hAnsiTheme="majorBidi" w:cstheme="majorBidi"/>
        </w:rPr>
      </w:pPr>
      <w:r w:rsidRPr="00463F84">
        <w:rPr>
          <w:rFonts w:asciiTheme="majorBidi" w:hAnsiTheme="majorBidi" w:cstheme="majorBidi"/>
        </w:rPr>
        <w:t>Initial project mobilization phase</w:t>
      </w:r>
      <w:r w:rsidR="00814748">
        <w:rPr>
          <w:rFonts w:asciiTheme="majorBidi" w:hAnsiTheme="majorBidi" w:cstheme="majorBidi"/>
        </w:rPr>
        <w:t>;</w:t>
      </w:r>
    </w:p>
    <w:p w14:paraId="1D77BEF0" w14:textId="7F222585" w:rsidR="00EF688E" w:rsidRDefault="00814748" w:rsidP="006365AD">
      <w:pPr>
        <w:pStyle w:val="Normalnumber"/>
        <w:numPr>
          <w:ilvl w:val="0"/>
          <w:numId w:val="82"/>
        </w:numPr>
        <w:tabs>
          <w:tab w:val="clear" w:pos="624"/>
          <w:tab w:val="clear" w:pos="1247"/>
          <w:tab w:val="clear" w:pos="1871"/>
          <w:tab w:val="clear" w:pos="2495"/>
        </w:tabs>
        <w:ind w:left="1247" w:firstLine="624"/>
        <w:rPr>
          <w:rFonts w:asciiTheme="majorBidi" w:hAnsiTheme="majorBidi" w:cstheme="majorBidi"/>
        </w:rPr>
      </w:pPr>
      <w:r>
        <w:rPr>
          <w:rFonts w:asciiTheme="majorBidi" w:hAnsiTheme="majorBidi" w:cstheme="majorBidi"/>
        </w:rPr>
        <w:t>B</w:t>
      </w:r>
      <w:r w:rsidR="00EF688E">
        <w:rPr>
          <w:rFonts w:asciiTheme="majorBidi" w:hAnsiTheme="majorBidi" w:cstheme="majorBidi"/>
        </w:rPr>
        <w:t>aseline analysis</w:t>
      </w:r>
      <w:r>
        <w:rPr>
          <w:rFonts w:asciiTheme="majorBidi" w:hAnsiTheme="majorBidi" w:cstheme="majorBidi"/>
        </w:rPr>
        <w:t>;</w:t>
      </w:r>
    </w:p>
    <w:p w14:paraId="15E4BA68" w14:textId="2DAA4D1C" w:rsidR="00EF688E" w:rsidRPr="001972BC" w:rsidRDefault="00EF688E" w:rsidP="006365AD">
      <w:pPr>
        <w:pStyle w:val="Normalnumber"/>
        <w:numPr>
          <w:ilvl w:val="0"/>
          <w:numId w:val="82"/>
        </w:numPr>
        <w:tabs>
          <w:tab w:val="clear" w:pos="624"/>
          <w:tab w:val="clear" w:pos="1247"/>
          <w:tab w:val="clear" w:pos="1871"/>
          <w:tab w:val="clear" w:pos="2495"/>
        </w:tabs>
        <w:ind w:left="1247" w:firstLine="624"/>
      </w:pPr>
      <w:r w:rsidRPr="001972BC">
        <w:t xml:space="preserve">Diagnostics and </w:t>
      </w:r>
      <w:r w:rsidR="00814748">
        <w:t>n</w:t>
      </w:r>
      <w:r w:rsidRPr="001972BC">
        <w:t xml:space="preserve">eeds </w:t>
      </w:r>
      <w:r w:rsidR="00814748">
        <w:t>a</w:t>
      </w:r>
      <w:r w:rsidRPr="001972BC">
        <w:t>ssessment</w:t>
      </w:r>
      <w:r w:rsidR="00814748">
        <w:t>;</w:t>
      </w:r>
      <w:r w:rsidR="009957F0">
        <w:t xml:space="preserve"> </w:t>
      </w:r>
    </w:p>
    <w:p w14:paraId="02CFEA9F" w14:textId="0079338E" w:rsidR="00EF688E" w:rsidRPr="001972BC" w:rsidRDefault="00EF688E" w:rsidP="006365AD">
      <w:pPr>
        <w:pStyle w:val="Normalnumber"/>
        <w:numPr>
          <w:ilvl w:val="0"/>
          <w:numId w:val="82"/>
        </w:numPr>
        <w:tabs>
          <w:tab w:val="clear" w:pos="624"/>
          <w:tab w:val="clear" w:pos="1247"/>
          <w:tab w:val="clear" w:pos="1871"/>
          <w:tab w:val="clear" w:pos="2495"/>
        </w:tabs>
        <w:ind w:left="1247" w:firstLine="624"/>
      </w:pPr>
      <w:r w:rsidRPr="001972BC">
        <w:t xml:space="preserve">Identification of </w:t>
      </w:r>
      <w:r w:rsidR="00814748">
        <w:t>n</w:t>
      </w:r>
      <w:r w:rsidRPr="001972BC">
        <w:t xml:space="preserve">ational </w:t>
      </w:r>
      <w:r w:rsidR="00814748">
        <w:t>p</w:t>
      </w:r>
      <w:r w:rsidRPr="001972BC">
        <w:t>riorities</w:t>
      </w:r>
      <w:r w:rsidR="00814748">
        <w:t xml:space="preserve"> on the sound management of chemicals;</w:t>
      </w:r>
    </w:p>
    <w:p w14:paraId="7D688A22" w14:textId="77777777" w:rsidR="00EF688E" w:rsidRPr="001972BC" w:rsidRDefault="00EF688E" w:rsidP="006365AD">
      <w:pPr>
        <w:pStyle w:val="Normalnumber"/>
        <w:numPr>
          <w:ilvl w:val="0"/>
          <w:numId w:val="82"/>
        </w:numPr>
        <w:tabs>
          <w:tab w:val="clear" w:pos="624"/>
          <w:tab w:val="clear" w:pos="1247"/>
          <w:tab w:val="clear" w:pos="1871"/>
          <w:tab w:val="clear" w:pos="2495"/>
        </w:tabs>
        <w:ind w:left="1247" w:firstLine="624"/>
      </w:pPr>
      <w:r w:rsidRPr="001972BC">
        <w:t>Economic analysis of the cost</w:t>
      </w:r>
      <w:r w:rsidR="006E23BE">
        <w:t>s</w:t>
      </w:r>
      <w:r w:rsidRPr="001972BC">
        <w:t xml:space="preserve"> of inaction and the benefit</w:t>
      </w:r>
      <w:r w:rsidR="006E23BE">
        <w:t>s</w:t>
      </w:r>
      <w:r w:rsidRPr="001972BC">
        <w:t xml:space="preserve"> of action</w:t>
      </w:r>
      <w:r w:rsidR="00814748">
        <w:t>;</w:t>
      </w:r>
    </w:p>
    <w:p w14:paraId="2E883949" w14:textId="44BB7181" w:rsidR="00EF688E" w:rsidRPr="001972BC" w:rsidRDefault="00EF688E" w:rsidP="006365AD">
      <w:pPr>
        <w:pStyle w:val="Normalnumber"/>
        <w:numPr>
          <w:ilvl w:val="0"/>
          <w:numId w:val="82"/>
        </w:numPr>
        <w:tabs>
          <w:tab w:val="clear" w:pos="624"/>
          <w:tab w:val="clear" w:pos="1247"/>
          <w:tab w:val="clear" w:pos="1871"/>
          <w:tab w:val="clear" w:pos="2495"/>
        </w:tabs>
        <w:ind w:left="1247" w:firstLine="624"/>
      </w:pPr>
      <w:r w:rsidRPr="001972BC">
        <w:t xml:space="preserve">Targeted </w:t>
      </w:r>
      <w:r w:rsidR="00814748" w:rsidRPr="001972BC">
        <w:t xml:space="preserve">policy instruments </w:t>
      </w:r>
      <w:r w:rsidRPr="001972BC">
        <w:t xml:space="preserve">to </w:t>
      </w:r>
      <w:r w:rsidR="006E23BE">
        <w:t>achieve the</w:t>
      </w:r>
      <w:r w:rsidR="006E23BE" w:rsidRPr="001972BC">
        <w:t xml:space="preserve"> </w:t>
      </w:r>
      <w:r w:rsidRPr="001972BC">
        <w:t>sound management of chemicals</w:t>
      </w:r>
      <w:r w:rsidR="00814748">
        <w:t>;</w:t>
      </w:r>
    </w:p>
    <w:p w14:paraId="3B0A6489" w14:textId="77777777" w:rsidR="00EF688E" w:rsidRDefault="00EF688E" w:rsidP="006365AD">
      <w:pPr>
        <w:pStyle w:val="Normalnumber"/>
        <w:numPr>
          <w:ilvl w:val="0"/>
          <w:numId w:val="82"/>
        </w:numPr>
        <w:tabs>
          <w:tab w:val="clear" w:pos="624"/>
          <w:tab w:val="clear" w:pos="1247"/>
          <w:tab w:val="clear" w:pos="1871"/>
          <w:tab w:val="clear" w:pos="2495"/>
        </w:tabs>
        <w:ind w:left="1247" w:firstLine="624"/>
        <w:rPr>
          <w:rFonts w:asciiTheme="majorBidi" w:hAnsiTheme="majorBidi" w:cstheme="majorBidi"/>
        </w:rPr>
      </w:pPr>
      <w:r w:rsidRPr="001972BC">
        <w:t>Integration</w:t>
      </w:r>
      <w:r w:rsidRPr="00463F84">
        <w:rPr>
          <w:rStyle w:val="Strong"/>
          <w:rFonts w:asciiTheme="majorBidi" w:hAnsiTheme="majorBidi" w:cstheme="majorBidi"/>
        </w:rPr>
        <w:t xml:space="preserve"> of </w:t>
      </w:r>
      <w:r w:rsidR="006E23BE" w:rsidRPr="00463F84">
        <w:rPr>
          <w:rStyle w:val="Strong"/>
          <w:rFonts w:asciiTheme="majorBidi" w:hAnsiTheme="majorBidi" w:cstheme="majorBidi"/>
        </w:rPr>
        <w:t xml:space="preserve">sound management </w:t>
      </w:r>
      <w:r w:rsidRPr="00463F84">
        <w:rPr>
          <w:rStyle w:val="Strong"/>
          <w:rFonts w:asciiTheme="majorBidi" w:hAnsiTheme="majorBidi" w:cstheme="majorBidi"/>
        </w:rPr>
        <w:t>priorities into development policies</w:t>
      </w:r>
      <w:r w:rsidR="00814748">
        <w:rPr>
          <w:rStyle w:val="Strong"/>
          <w:rFonts w:asciiTheme="majorBidi" w:hAnsiTheme="majorBidi" w:cstheme="majorBidi"/>
        </w:rPr>
        <w:t>.</w:t>
      </w:r>
    </w:p>
    <w:p w14:paraId="18BFAC65" w14:textId="795D03E2" w:rsidR="00EF688E" w:rsidRPr="001972BC" w:rsidRDefault="00EF688E" w:rsidP="006365AD">
      <w:pPr>
        <w:pStyle w:val="Normalnumber"/>
        <w:numPr>
          <w:ilvl w:val="0"/>
          <w:numId w:val="7"/>
        </w:numPr>
        <w:tabs>
          <w:tab w:val="clear" w:pos="1871"/>
          <w:tab w:val="clear" w:pos="2495"/>
        </w:tabs>
        <w:rPr>
          <w:rFonts w:asciiTheme="majorBidi" w:hAnsiTheme="majorBidi" w:cstheme="majorBidi"/>
        </w:rPr>
      </w:pPr>
      <w:r w:rsidRPr="00C136CF">
        <w:t>The pilot projects were executed through the UNDP country offices</w:t>
      </w:r>
      <w:r>
        <w:t xml:space="preserve"> with </w:t>
      </w:r>
      <w:r w:rsidRPr="00C136CF">
        <w:t xml:space="preserve">technical support from </w:t>
      </w:r>
      <w:r w:rsidR="006E23BE">
        <w:t xml:space="preserve">the </w:t>
      </w:r>
      <w:r w:rsidRPr="00C136CF">
        <w:t>headquarter</w:t>
      </w:r>
      <w:r w:rsidR="00F735F3">
        <w:t>s</w:t>
      </w:r>
      <w:r w:rsidRPr="00C136CF">
        <w:t xml:space="preserve"> offices </w:t>
      </w:r>
      <w:r w:rsidR="006E23BE">
        <w:t>of</w:t>
      </w:r>
      <w:r w:rsidRPr="00C136CF">
        <w:t xml:space="preserve"> UNEP and UNDP. UNDP country offices</w:t>
      </w:r>
      <w:r w:rsidR="00827EEE">
        <w:t xml:space="preserve"> </w:t>
      </w:r>
      <w:r w:rsidRPr="00C136CF">
        <w:t>used</w:t>
      </w:r>
      <w:r w:rsidR="00827EEE">
        <w:t xml:space="preserve"> </w:t>
      </w:r>
      <w:r w:rsidRPr="00C136CF">
        <w:t>additional international experts in order to implement country activities,</w:t>
      </w:r>
      <w:r w:rsidR="00827EEE">
        <w:t xml:space="preserve"> </w:t>
      </w:r>
      <w:r w:rsidRPr="00C136CF">
        <w:t xml:space="preserve">as in a number of the countries </w:t>
      </w:r>
      <w:r w:rsidR="00E74BBC" w:rsidRPr="00C136CF">
        <w:t xml:space="preserve">the expertise for economic analysis </w:t>
      </w:r>
      <w:r w:rsidRPr="00C136CF">
        <w:t>was limited.</w:t>
      </w:r>
    </w:p>
    <w:p w14:paraId="0C456341" w14:textId="22AD7EF2" w:rsidR="00EF688E" w:rsidRPr="00413E6D" w:rsidRDefault="00EF688E" w:rsidP="006365AD">
      <w:pPr>
        <w:pStyle w:val="Normalnumber"/>
        <w:numPr>
          <w:ilvl w:val="0"/>
          <w:numId w:val="7"/>
        </w:numPr>
        <w:tabs>
          <w:tab w:val="clear" w:pos="1871"/>
          <w:tab w:val="clear" w:pos="2495"/>
        </w:tabs>
        <w:rPr>
          <w:rFonts w:asciiTheme="majorBidi" w:hAnsiTheme="majorBidi" w:cstheme="majorBidi"/>
        </w:rPr>
      </w:pPr>
      <w:r w:rsidRPr="009078A5">
        <w:t xml:space="preserve">The </w:t>
      </w:r>
      <w:r w:rsidR="006E23BE" w:rsidRPr="009078A5">
        <w:t>s</w:t>
      </w:r>
      <w:r w:rsidRPr="009078A5">
        <w:t>ecretariat</w:t>
      </w:r>
      <w:r>
        <w:t xml:space="preserve"> of the Basel, Rotterdam and Stockholm conventions </w:t>
      </w:r>
      <w:r w:rsidR="00D870C4">
        <w:t xml:space="preserve">has provided </w:t>
      </w:r>
      <w:r>
        <w:t>support</w:t>
      </w:r>
      <w:r w:rsidR="00D870C4">
        <w:t xml:space="preserve"> to</w:t>
      </w:r>
      <w:r>
        <w:t xml:space="preserve"> </w:t>
      </w:r>
      <w:r w:rsidRPr="00843D24">
        <w:t>developing</w:t>
      </w:r>
      <w:r w:rsidR="00E74BBC">
        <w:t>-</w:t>
      </w:r>
      <w:r w:rsidRPr="00843D24">
        <w:t xml:space="preserve">country parties and parties with economies </w:t>
      </w:r>
      <w:r>
        <w:t>in transiti</w:t>
      </w:r>
      <w:r w:rsidRPr="00B500DE">
        <w:t>on in advancing synergies between the three conventions at the regional and national levels as a contribution to mainstreaming chemicals and waste</w:t>
      </w:r>
      <w:r w:rsidR="0045738B">
        <w:t>s</w:t>
      </w:r>
      <w:r w:rsidRPr="00B500DE">
        <w:t xml:space="preserve"> issues at the regional and national levels. Activities </w:t>
      </w:r>
      <w:r w:rsidR="00D870C4" w:rsidRPr="00B500DE">
        <w:t xml:space="preserve">were </w:t>
      </w:r>
      <w:r w:rsidRPr="00B500DE">
        <w:t>focused on issues linked to the obligations of the parties under the conventions</w:t>
      </w:r>
      <w:r w:rsidR="00E74BBC">
        <w:t xml:space="preserve"> –</w:t>
      </w:r>
      <w:r w:rsidRPr="00B500DE">
        <w:t xml:space="preserve"> for example</w:t>
      </w:r>
      <w:r w:rsidR="00E74BBC">
        <w:t>,</w:t>
      </w:r>
      <w:r w:rsidRPr="00B500DE">
        <w:t xml:space="preserve"> reporting, monitoring, phasing out chemicals, managing waste streams covered under the conventions,</w:t>
      </w:r>
      <w:r w:rsidR="00827EEE" w:rsidRPr="00B500DE">
        <w:t xml:space="preserve"> </w:t>
      </w:r>
      <w:r w:rsidRPr="00B500DE">
        <w:t xml:space="preserve">and introducing alternatives to listed chemicals. The </w:t>
      </w:r>
      <w:r w:rsidR="006E23BE" w:rsidRPr="00B500DE">
        <w:t>s</w:t>
      </w:r>
      <w:r w:rsidRPr="00B500DE">
        <w:t>ecretariat worked with the regional centres of the Basel and Stockholm conventions to build and strengthen regional expertise.</w:t>
      </w:r>
      <w:r w:rsidRPr="00843D24">
        <w:t xml:space="preserve"> </w:t>
      </w:r>
    </w:p>
    <w:p w14:paraId="5CFD6FCE" w14:textId="77777777" w:rsidR="00EF688E" w:rsidRPr="00D90AC7" w:rsidRDefault="00B21085" w:rsidP="006365AD">
      <w:pPr>
        <w:pStyle w:val="CH3"/>
        <w:rPr>
          <w:bCs/>
        </w:rPr>
      </w:pPr>
      <w:r>
        <w:tab/>
        <w:t>3.</w:t>
      </w:r>
      <w:r>
        <w:tab/>
      </w:r>
      <w:r w:rsidR="00EF688E">
        <w:t>I</w:t>
      </w:r>
      <w:r w:rsidR="00EF688E" w:rsidRPr="00D90AC7">
        <w:t>nitial lessons learned</w:t>
      </w:r>
    </w:p>
    <w:p w14:paraId="01B71EB6" w14:textId="32BE959D" w:rsidR="00EF688E" w:rsidRPr="00A05B00" w:rsidRDefault="00EF688E" w:rsidP="006365AD">
      <w:pPr>
        <w:pStyle w:val="Normalnumber"/>
        <w:numPr>
          <w:ilvl w:val="0"/>
          <w:numId w:val="7"/>
        </w:numPr>
        <w:tabs>
          <w:tab w:val="clear" w:pos="1871"/>
          <w:tab w:val="clear" w:pos="2495"/>
        </w:tabs>
      </w:pPr>
      <w:r w:rsidRPr="00A956FD">
        <w:t>An analysis</w:t>
      </w:r>
      <w:r w:rsidRPr="00D1709C">
        <w:t xml:space="preserve"> of </w:t>
      </w:r>
      <w:r>
        <w:t>the</w:t>
      </w:r>
      <w:r w:rsidRPr="00D1709C">
        <w:t xml:space="preserve"> </w:t>
      </w:r>
      <w:r>
        <w:t xml:space="preserve">initial </w:t>
      </w:r>
      <w:r w:rsidRPr="00D1709C">
        <w:t xml:space="preserve">outcomes of </w:t>
      </w:r>
      <w:r>
        <w:t xml:space="preserve">national </w:t>
      </w:r>
      <w:r w:rsidRPr="00D1709C">
        <w:t>mainstreaming projects w</w:t>
      </w:r>
      <w:r>
        <w:t>as</w:t>
      </w:r>
      <w:r w:rsidRPr="00D1709C">
        <w:t xml:space="preserve"> carri</w:t>
      </w:r>
      <w:r>
        <w:t>ed out in 2015</w:t>
      </w:r>
      <w:r>
        <w:rPr>
          <w:rStyle w:val="FootnoteReference"/>
        </w:rPr>
        <w:footnoteReference w:id="4"/>
      </w:r>
      <w:r>
        <w:t xml:space="preserve"> and provided an</w:t>
      </w:r>
      <w:r w:rsidRPr="00D1709C">
        <w:t xml:space="preserve"> overview of </w:t>
      </w:r>
      <w:r>
        <w:t xml:space="preserve">activities, </w:t>
      </w:r>
      <w:r w:rsidRPr="00D1709C">
        <w:t>experiences and lessons</w:t>
      </w:r>
      <w:r>
        <w:t xml:space="preserve"> </w:t>
      </w:r>
      <w:r w:rsidRPr="00D1709C">
        <w:t>lea</w:t>
      </w:r>
      <w:r>
        <w:t xml:space="preserve">rned </w:t>
      </w:r>
      <w:r w:rsidRPr="00D1709C">
        <w:t>f</w:t>
      </w:r>
      <w:r>
        <w:t xml:space="preserve">rom the 15 projects. It will </w:t>
      </w:r>
      <w:r w:rsidR="006E23BE">
        <w:t xml:space="preserve">facilitate </w:t>
      </w:r>
      <w:r>
        <w:t>the design of f</w:t>
      </w:r>
      <w:r w:rsidRPr="00D1709C">
        <w:t xml:space="preserve">uture </w:t>
      </w:r>
      <w:r w:rsidR="006E23BE">
        <w:t xml:space="preserve">sound chemicals management </w:t>
      </w:r>
      <w:r w:rsidRPr="00D1709C">
        <w:t xml:space="preserve">mainstreaming activities and projects </w:t>
      </w:r>
      <w:r w:rsidR="00D870C4">
        <w:t xml:space="preserve">on the </w:t>
      </w:r>
      <w:r w:rsidR="00D870C4" w:rsidRPr="005C6E64">
        <w:t>basis of</w:t>
      </w:r>
      <w:r w:rsidRPr="005C6E64">
        <w:t xml:space="preserve"> </w:t>
      </w:r>
      <w:r w:rsidR="00D870C4" w:rsidRPr="005C6E64">
        <w:t xml:space="preserve">the </w:t>
      </w:r>
      <w:r w:rsidRPr="005C6E64">
        <w:t xml:space="preserve">challenges and opportunities encountered. </w:t>
      </w:r>
    </w:p>
    <w:p w14:paraId="6921DCAB" w14:textId="6A5E999B" w:rsidR="00EF688E" w:rsidRPr="00A05B00" w:rsidRDefault="00EF688E" w:rsidP="006365AD">
      <w:pPr>
        <w:pStyle w:val="Normalnumber"/>
        <w:numPr>
          <w:ilvl w:val="0"/>
          <w:numId w:val="7"/>
        </w:numPr>
        <w:tabs>
          <w:tab w:val="clear" w:pos="1871"/>
          <w:tab w:val="clear" w:pos="2495"/>
        </w:tabs>
        <w:rPr>
          <w:rFonts w:asciiTheme="majorBidi" w:hAnsiTheme="majorBidi" w:cstheme="majorBidi"/>
        </w:rPr>
      </w:pPr>
      <w:r w:rsidRPr="005C6E64">
        <w:t>The analysis shows variations</w:t>
      </w:r>
      <w:r w:rsidR="00827EEE" w:rsidRPr="005C6E64">
        <w:t xml:space="preserve"> </w:t>
      </w:r>
      <w:r w:rsidRPr="005C6E64">
        <w:t>in the implementation and results of the projects. In a number of countries</w:t>
      </w:r>
      <w:r w:rsidR="00D870C4" w:rsidRPr="005C6E64">
        <w:t>,</w:t>
      </w:r>
      <w:r w:rsidRPr="005C6E64">
        <w:t xml:space="preserve"> the approach was successful in introducing </w:t>
      </w:r>
      <w:r w:rsidR="00D870C4" w:rsidRPr="005C6E64">
        <w:t xml:space="preserve">the </w:t>
      </w:r>
      <w:r w:rsidRPr="005C6E64">
        <w:t xml:space="preserve">sound management of chemicals into development planning processes. In other countries, although awareness of the need for sound </w:t>
      </w:r>
      <w:r w:rsidR="00D870C4" w:rsidRPr="005C6E64">
        <w:t xml:space="preserve">chemicals </w:t>
      </w:r>
      <w:r w:rsidRPr="005C6E64">
        <w:t xml:space="preserve">management increased, </w:t>
      </w:r>
      <w:r w:rsidR="00E74BBC" w:rsidRPr="005C6E64">
        <w:t>it</w:t>
      </w:r>
      <w:r w:rsidRPr="005C6E64">
        <w:t xml:space="preserve"> did not lead to </w:t>
      </w:r>
      <w:r w:rsidR="00E74BBC" w:rsidRPr="005C6E64">
        <w:t>the</w:t>
      </w:r>
      <w:r w:rsidR="00D870C4" w:rsidRPr="005C6E64">
        <w:t xml:space="preserve"> </w:t>
      </w:r>
      <w:r w:rsidRPr="005C6E64">
        <w:t>incorporation</w:t>
      </w:r>
      <w:r w:rsidR="00B500DE" w:rsidRPr="005C6E64">
        <w:t xml:space="preserve"> </w:t>
      </w:r>
      <w:r w:rsidR="00A05B00" w:rsidRPr="005C6E64">
        <w:t xml:space="preserve">of </w:t>
      </w:r>
      <w:r w:rsidR="00E74BBC" w:rsidRPr="005C6E64">
        <w:t xml:space="preserve">such an approach </w:t>
      </w:r>
      <w:r w:rsidRPr="005C6E64">
        <w:t>into national development polic</w:t>
      </w:r>
      <w:r w:rsidR="00E74BBC" w:rsidRPr="005C6E64">
        <w:t>i</w:t>
      </w:r>
      <w:r w:rsidRPr="005C6E64">
        <w:t>es.</w:t>
      </w:r>
    </w:p>
    <w:p w14:paraId="531B80F0" w14:textId="77777777" w:rsidR="00EF688E" w:rsidRPr="004D5438" w:rsidRDefault="00EF688E" w:rsidP="006365AD">
      <w:pPr>
        <w:pStyle w:val="Normalnumber"/>
        <w:numPr>
          <w:ilvl w:val="0"/>
          <w:numId w:val="7"/>
        </w:numPr>
        <w:tabs>
          <w:tab w:val="clear" w:pos="1871"/>
          <w:tab w:val="clear" w:pos="2495"/>
        </w:tabs>
        <w:rPr>
          <w:rFonts w:asciiTheme="majorBidi" w:hAnsiTheme="majorBidi" w:cstheme="majorBidi"/>
        </w:rPr>
      </w:pPr>
      <w:r w:rsidRPr="00B500DE">
        <w:rPr>
          <w:rFonts w:asciiTheme="majorBidi" w:hAnsiTheme="majorBidi" w:cstheme="majorBidi"/>
        </w:rPr>
        <w:t>A number of countries pa</w:t>
      </w:r>
      <w:r w:rsidRPr="004D5438">
        <w:rPr>
          <w:rFonts w:asciiTheme="majorBidi" w:hAnsiTheme="majorBidi" w:cstheme="majorBidi"/>
        </w:rPr>
        <w:t xml:space="preserve">rticipating in the </w:t>
      </w:r>
      <w:r w:rsidR="00D870C4" w:rsidRPr="004D5438">
        <w:rPr>
          <w:rFonts w:asciiTheme="majorBidi" w:hAnsiTheme="majorBidi" w:cstheme="majorBidi"/>
        </w:rPr>
        <w:t>partnership initi</w:t>
      </w:r>
      <w:r w:rsidR="00D870C4">
        <w:rPr>
          <w:rFonts w:asciiTheme="majorBidi" w:hAnsiTheme="majorBidi" w:cstheme="majorBidi"/>
        </w:rPr>
        <w:t xml:space="preserve">ative </w:t>
      </w:r>
      <w:r>
        <w:rPr>
          <w:rFonts w:asciiTheme="majorBidi" w:hAnsiTheme="majorBidi" w:cstheme="majorBidi"/>
        </w:rPr>
        <w:t>were able to</w:t>
      </w:r>
      <w:r w:rsidRPr="004D5438">
        <w:rPr>
          <w:rFonts w:asciiTheme="majorBidi" w:hAnsiTheme="majorBidi" w:cstheme="majorBidi"/>
        </w:rPr>
        <w:t>:</w:t>
      </w:r>
    </w:p>
    <w:p w14:paraId="612E487C" w14:textId="623140E3" w:rsidR="00EF688E" w:rsidRDefault="00EF688E" w:rsidP="006365AD">
      <w:pPr>
        <w:pStyle w:val="Normalnumber"/>
        <w:numPr>
          <w:ilvl w:val="0"/>
          <w:numId w:val="83"/>
        </w:numPr>
        <w:tabs>
          <w:tab w:val="clear" w:pos="624"/>
          <w:tab w:val="clear" w:pos="1247"/>
          <w:tab w:val="clear" w:pos="1871"/>
          <w:tab w:val="clear" w:pos="2495"/>
        </w:tabs>
        <w:ind w:left="1247" w:firstLine="624"/>
        <w:jc w:val="both"/>
        <w:rPr>
          <w:rFonts w:asciiTheme="majorBidi" w:hAnsiTheme="majorBidi" w:cstheme="majorBidi"/>
        </w:rPr>
      </w:pPr>
      <w:r w:rsidRPr="004D5438">
        <w:rPr>
          <w:rFonts w:asciiTheme="majorBidi" w:hAnsiTheme="majorBidi" w:cstheme="majorBidi"/>
        </w:rPr>
        <w:t xml:space="preserve">Identify sound management of chemicals priorities in the context of </w:t>
      </w:r>
      <w:r>
        <w:rPr>
          <w:rFonts w:asciiTheme="majorBidi" w:hAnsiTheme="majorBidi" w:cstheme="majorBidi"/>
        </w:rPr>
        <w:t>their</w:t>
      </w:r>
      <w:r w:rsidRPr="004D5438">
        <w:rPr>
          <w:rFonts w:asciiTheme="majorBidi" w:hAnsiTheme="majorBidi" w:cstheme="majorBidi"/>
        </w:rPr>
        <w:t xml:space="preserve"> development priorities instead o</w:t>
      </w:r>
      <w:r>
        <w:rPr>
          <w:rFonts w:asciiTheme="majorBidi" w:hAnsiTheme="majorBidi" w:cstheme="majorBidi"/>
        </w:rPr>
        <w:t xml:space="preserve">f from an </w:t>
      </w:r>
      <w:r w:rsidR="00D870C4">
        <w:rPr>
          <w:rFonts w:asciiTheme="majorBidi" w:hAnsiTheme="majorBidi" w:cstheme="majorBidi"/>
        </w:rPr>
        <w:t xml:space="preserve">exclusively </w:t>
      </w:r>
      <w:r>
        <w:rPr>
          <w:rFonts w:asciiTheme="majorBidi" w:hAnsiTheme="majorBidi" w:cstheme="majorBidi"/>
        </w:rPr>
        <w:t>environmental perspective;</w:t>
      </w:r>
    </w:p>
    <w:p w14:paraId="479F99F5" w14:textId="77777777" w:rsidR="00EF688E" w:rsidRDefault="00EF688E" w:rsidP="006365AD">
      <w:pPr>
        <w:pStyle w:val="Normalnumber"/>
        <w:numPr>
          <w:ilvl w:val="0"/>
          <w:numId w:val="83"/>
        </w:numPr>
        <w:tabs>
          <w:tab w:val="clear" w:pos="624"/>
          <w:tab w:val="clear" w:pos="1247"/>
          <w:tab w:val="clear" w:pos="1871"/>
          <w:tab w:val="clear" w:pos="2495"/>
        </w:tabs>
        <w:ind w:left="1247" w:firstLine="624"/>
        <w:rPr>
          <w:rFonts w:asciiTheme="majorBidi" w:hAnsiTheme="majorBidi" w:cstheme="majorBidi"/>
        </w:rPr>
      </w:pPr>
      <w:r w:rsidRPr="004D5438">
        <w:rPr>
          <w:rFonts w:asciiTheme="majorBidi" w:hAnsiTheme="majorBidi" w:cstheme="majorBidi"/>
        </w:rPr>
        <w:t>Enhance the economic co</w:t>
      </w:r>
      <w:r>
        <w:rPr>
          <w:rFonts w:asciiTheme="majorBidi" w:hAnsiTheme="majorBidi" w:cstheme="majorBidi"/>
        </w:rPr>
        <w:t>ntent of policy recommendations;</w:t>
      </w:r>
    </w:p>
    <w:p w14:paraId="50E22ED5" w14:textId="77777777" w:rsidR="00EF688E" w:rsidRDefault="00EF688E" w:rsidP="006365AD">
      <w:pPr>
        <w:pStyle w:val="Normalnumber"/>
        <w:numPr>
          <w:ilvl w:val="0"/>
          <w:numId w:val="83"/>
        </w:numPr>
        <w:tabs>
          <w:tab w:val="clear" w:pos="624"/>
          <w:tab w:val="clear" w:pos="1247"/>
          <w:tab w:val="clear" w:pos="1871"/>
          <w:tab w:val="clear" w:pos="2495"/>
        </w:tabs>
        <w:ind w:left="1247" w:firstLine="624"/>
        <w:rPr>
          <w:rFonts w:asciiTheme="majorBidi" w:hAnsiTheme="majorBidi" w:cstheme="majorBidi"/>
        </w:rPr>
      </w:pPr>
      <w:r w:rsidRPr="004D5438">
        <w:rPr>
          <w:rFonts w:asciiTheme="majorBidi" w:hAnsiTheme="majorBidi" w:cstheme="majorBidi"/>
        </w:rPr>
        <w:t>Engage</w:t>
      </w:r>
      <w:r>
        <w:rPr>
          <w:rFonts w:asciiTheme="majorBidi" w:hAnsiTheme="majorBidi" w:cstheme="majorBidi"/>
        </w:rPr>
        <w:t xml:space="preserve"> with</w:t>
      </w:r>
      <w:r w:rsidRPr="004D5438">
        <w:rPr>
          <w:rFonts w:asciiTheme="majorBidi" w:hAnsiTheme="majorBidi" w:cstheme="majorBidi"/>
        </w:rPr>
        <w:t xml:space="preserve"> new stakeholders, including in economic development sectors, f</w:t>
      </w:r>
      <w:r>
        <w:rPr>
          <w:rFonts w:asciiTheme="majorBidi" w:hAnsiTheme="majorBidi" w:cstheme="majorBidi"/>
        </w:rPr>
        <w:t>inance and development planning.</w:t>
      </w:r>
    </w:p>
    <w:p w14:paraId="102B91A0" w14:textId="3F3CA287" w:rsidR="00EF688E" w:rsidRDefault="00EF688E" w:rsidP="006365AD">
      <w:pPr>
        <w:pStyle w:val="Normalnumber"/>
        <w:numPr>
          <w:ilvl w:val="0"/>
          <w:numId w:val="7"/>
        </w:numPr>
        <w:tabs>
          <w:tab w:val="clear" w:pos="1871"/>
          <w:tab w:val="clear" w:pos="2495"/>
        </w:tabs>
      </w:pPr>
      <w:r w:rsidRPr="00EF0CCB">
        <w:rPr>
          <w:lang w:val="fr-FR"/>
        </w:rPr>
        <w:t>In reviewing</w:t>
      </w:r>
      <w:r>
        <w:t xml:space="preserve"> the mainstreaming activities carried out, </w:t>
      </w:r>
      <w:r w:rsidR="00D870C4">
        <w:t xml:space="preserve">it is important, </w:t>
      </w:r>
      <w:r>
        <w:t>f</w:t>
      </w:r>
      <w:r w:rsidRPr="005776C5">
        <w:t xml:space="preserve">irst and foremost, </w:t>
      </w:r>
      <w:r w:rsidR="00D870C4">
        <w:t xml:space="preserve">to acknowledge </w:t>
      </w:r>
      <w:r w:rsidRPr="005776C5">
        <w:t>the new</w:t>
      </w:r>
      <w:r>
        <w:t xml:space="preserve"> nature of</w:t>
      </w:r>
      <w:r w:rsidRPr="005776C5">
        <w:t xml:space="preserve"> </w:t>
      </w:r>
      <w:r>
        <w:t xml:space="preserve">the </w:t>
      </w:r>
      <w:r w:rsidR="00D870C4">
        <w:t>sound chemicals management</w:t>
      </w:r>
      <w:r w:rsidR="00D870C4" w:rsidRPr="005776C5">
        <w:t xml:space="preserve"> </w:t>
      </w:r>
      <w:r w:rsidRPr="005776C5">
        <w:t>mainstreaming</w:t>
      </w:r>
      <w:r>
        <w:t xml:space="preserve"> concept</w:t>
      </w:r>
      <w:r w:rsidRPr="005776C5">
        <w:t xml:space="preserve"> for most countries. Prior to </w:t>
      </w:r>
      <w:r w:rsidR="00D870C4">
        <w:t>the adoption of the Strategic Approach</w:t>
      </w:r>
      <w:r w:rsidRPr="005776C5">
        <w:t xml:space="preserve">, </w:t>
      </w:r>
      <w:r>
        <w:t xml:space="preserve">project support focused mainly on </w:t>
      </w:r>
      <w:r w:rsidRPr="005776C5">
        <w:t>discrete technical chemicals</w:t>
      </w:r>
      <w:r w:rsidR="00D870C4">
        <w:t>-</w:t>
      </w:r>
      <w:r w:rsidRPr="005776C5">
        <w:t>related projects that were predominantly</w:t>
      </w:r>
      <w:r>
        <w:t xml:space="preserve"> </w:t>
      </w:r>
      <w:r w:rsidR="00D870C4">
        <w:t xml:space="preserve">funded by </w:t>
      </w:r>
      <w:r>
        <w:t>external</w:t>
      </w:r>
      <w:r w:rsidRPr="005776C5">
        <w:t xml:space="preserve"> donor</w:t>
      </w:r>
      <w:r w:rsidR="00D870C4">
        <w:t>s</w:t>
      </w:r>
      <w:r w:rsidRPr="005776C5">
        <w:t>.</w:t>
      </w:r>
      <w:r>
        <w:t xml:space="preserve"> The </w:t>
      </w:r>
      <w:r>
        <w:lastRenderedPageBreak/>
        <w:t xml:space="preserve">mainstreaming approach contained new and often </w:t>
      </w:r>
      <w:r w:rsidRPr="005776C5">
        <w:t xml:space="preserve">unfamiliar angles for a chemicals </w:t>
      </w:r>
      <w:r>
        <w:t xml:space="preserve">management </w:t>
      </w:r>
      <w:r w:rsidRPr="005776C5">
        <w:t>project</w:t>
      </w:r>
      <w:r>
        <w:t xml:space="preserve"> and therefore involved learning for all </w:t>
      </w:r>
      <w:r w:rsidR="009565DB">
        <w:t xml:space="preserve">the </w:t>
      </w:r>
      <w:r>
        <w:t>partners engaged in the projects</w:t>
      </w:r>
      <w:r w:rsidRPr="005776C5">
        <w:t xml:space="preserve">. </w:t>
      </w:r>
    </w:p>
    <w:p w14:paraId="727E5E58" w14:textId="1CA333BB" w:rsidR="00EF688E" w:rsidRPr="006B237C" w:rsidRDefault="00EF688E" w:rsidP="006365AD">
      <w:pPr>
        <w:pStyle w:val="Normalnumber"/>
        <w:numPr>
          <w:ilvl w:val="0"/>
          <w:numId w:val="7"/>
        </w:numPr>
        <w:tabs>
          <w:tab w:val="clear" w:pos="1871"/>
          <w:tab w:val="clear" w:pos="2495"/>
        </w:tabs>
      </w:pPr>
      <w:r w:rsidRPr="006E71D5">
        <w:t>The review</w:t>
      </w:r>
      <w:r w:rsidRPr="00841DEB">
        <w:t xml:space="preserve"> identified some crucial elements for </w:t>
      </w:r>
      <w:r w:rsidR="009565DB">
        <w:t xml:space="preserve">the </w:t>
      </w:r>
      <w:r w:rsidRPr="00841DEB">
        <w:t>success of the approach. First, it is necessary t</w:t>
      </w:r>
      <w:r w:rsidR="00DB0048">
        <w:t>o align</w:t>
      </w:r>
      <w:r w:rsidRPr="00841DEB">
        <w:t xml:space="preserve"> the chemicals mainstreaming activities with the policy cycle for national development planning process</w:t>
      </w:r>
      <w:r w:rsidR="009565DB">
        <w:t>es</w:t>
      </w:r>
      <w:r w:rsidRPr="00841DEB">
        <w:t>. Second, a high-level buy</w:t>
      </w:r>
      <w:r w:rsidR="009565DB">
        <w:t>-</w:t>
      </w:r>
      <w:r w:rsidRPr="00841DEB">
        <w:t xml:space="preserve">in by government departments should be ensured at the outset of the activities. Third, </w:t>
      </w:r>
      <w:r w:rsidR="009565DB">
        <w:t>the</w:t>
      </w:r>
      <w:r w:rsidR="009565DB" w:rsidRPr="00841DEB">
        <w:t xml:space="preserve"> </w:t>
      </w:r>
      <w:r w:rsidRPr="00841DEB">
        <w:t xml:space="preserve">integration of </w:t>
      </w:r>
      <w:r w:rsidR="009565DB">
        <w:t xml:space="preserve">the </w:t>
      </w:r>
      <w:r w:rsidRPr="00841DEB">
        <w:t xml:space="preserve">sound management </w:t>
      </w:r>
      <w:r w:rsidR="009565DB">
        <w:t xml:space="preserve">of </w:t>
      </w:r>
      <w:r w:rsidRPr="00841DEB">
        <w:t>chemicals into chemicals</w:t>
      </w:r>
      <w:r w:rsidR="009565DB">
        <w:t>-</w:t>
      </w:r>
      <w:r w:rsidRPr="00841DEB">
        <w:t xml:space="preserve">intensive sector plans ensures acceptance by the sector. Fourth, advice and guidance on economic analysis </w:t>
      </w:r>
      <w:r w:rsidR="007773CB">
        <w:t>should be made available,</w:t>
      </w:r>
      <w:r w:rsidRPr="00841DEB">
        <w:t xml:space="preserve"> </w:t>
      </w:r>
      <w:r w:rsidR="009565DB">
        <w:t>given that</w:t>
      </w:r>
      <w:r w:rsidRPr="00841DEB">
        <w:t xml:space="preserve"> </w:t>
      </w:r>
      <w:r w:rsidR="009565DB">
        <w:t xml:space="preserve">there is limited </w:t>
      </w:r>
      <w:r w:rsidRPr="00841DEB">
        <w:t>capacity for such analysis in most developing countries.</w:t>
      </w:r>
    </w:p>
    <w:p w14:paraId="74F65126" w14:textId="484B7CCE" w:rsidR="00EF688E" w:rsidRDefault="00EF688E" w:rsidP="006365AD">
      <w:pPr>
        <w:pStyle w:val="Normalnumber"/>
        <w:numPr>
          <w:ilvl w:val="0"/>
          <w:numId w:val="7"/>
        </w:numPr>
        <w:tabs>
          <w:tab w:val="clear" w:pos="1871"/>
          <w:tab w:val="clear" w:pos="2495"/>
        </w:tabs>
      </w:pPr>
      <w:r>
        <w:t xml:space="preserve">The outcomes of the analysis </w:t>
      </w:r>
      <w:r w:rsidRPr="00F263FD">
        <w:t>w</w:t>
      </w:r>
      <w:r>
        <w:t>ere</w:t>
      </w:r>
      <w:r w:rsidRPr="00F263FD">
        <w:t xml:space="preserve"> presented</w:t>
      </w:r>
      <w:r w:rsidR="009565DB">
        <w:t xml:space="preserve"> to the International Conference on Chemicals Management</w:t>
      </w:r>
      <w:r w:rsidRPr="00F263FD">
        <w:t xml:space="preserve"> </w:t>
      </w:r>
      <w:r w:rsidR="009565DB">
        <w:t>at its fourth session</w:t>
      </w:r>
      <w:r w:rsidR="00DB0048">
        <w:t>,</w:t>
      </w:r>
      <w:r w:rsidR="009565DB">
        <w:t xml:space="preserve"> </w:t>
      </w:r>
      <w:r>
        <w:t>in September 2015</w:t>
      </w:r>
      <w:r w:rsidR="009565DB" w:rsidRPr="006365AD">
        <w:t xml:space="preserve"> (SAICM/ICCM.4/</w:t>
      </w:r>
      <w:r w:rsidR="009565DB" w:rsidRPr="005C6E64">
        <w:rPr>
          <w:lang w:val="fr-FR"/>
        </w:rPr>
        <w:t>INF/</w:t>
      </w:r>
      <w:r w:rsidR="005C6E64" w:rsidRPr="005C6E64">
        <w:rPr>
          <w:lang w:val="fr-FR"/>
        </w:rPr>
        <w:t>1</w:t>
      </w:r>
      <w:r w:rsidR="005C6E64">
        <w:rPr>
          <w:lang w:val="fr-FR"/>
        </w:rPr>
        <w:t>2</w:t>
      </w:r>
      <w:r w:rsidR="009565DB" w:rsidRPr="006365AD">
        <w:t>)</w:t>
      </w:r>
      <w:r>
        <w:t>.</w:t>
      </w:r>
    </w:p>
    <w:p w14:paraId="28941053" w14:textId="7544C8F8" w:rsidR="00EF688E" w:rsidRPr="00D90AC7" w:rsidRDefault="00153A74" w:rsidP="00153A74">
      <w:pPr>
        <w:pStyle w:val="CH2"/>
      </w:pPr>
      <w:r>
        <w:tab/>
        <w:t>B.</w:t>
      </w:r>
      <w:r>
        <w:tab/>
      </w:r>
      <w:r w:rsidR="00EF688E" w:rsidRPr="00D90AC7">
        <w:t xml:space="preserve">Industry </w:t>
      </w:r>
      <w:r w:rsidR="009565DB">
        <w:t>i</w:t>
      </w:r>
      <w:r w:rsidR="00EF688E" w:rsidRPr="00D90AC7">
        <w:t>nvolvement</w:t>
      </w:r>
    </w:p>
    <w:p w14:paraId="5342FAD2" w14:textId="77777777" w:rsidR="00EF688E" w:rsidRPr="00D90AC7" w:rsidRDefault="00EC1C50" w:rsidP="006365AD">
      <w:pPr>
        <w:pStyle w:val="CH3"/>
      </w:pPr>
      <w:r>
        <w:tab/>
        <w:t>1.</w:t>
      </w:r>
      <w:r>
        <w:tab/>
      </w:r>
      <w:r w:rsidR="00EF688E" w:rsidRPr="00D90AC7">
        <w:t>Introduction</w:t>
      </w:r>
    </w:p>
    <w:p w14:paraId="4B9D2CBF" w14:textId="7EF17644" w:rsidR="00EF688E" w:rsidRPr="00583C37" w:rsidRDefault="00EF688E" w:rsidP="006365AD">
      <w:pPr>
        <w:pStyle w:val="Normalnumber"/>
        <w:numPr>
          <w:ilvl w:val="0"/>
          <w:numId w:val="7"/>
        </w:numPr>
        <w:tabs>
          <w:tab w:val="clear" w:pos="1871"/>
          <w:tab w:val="clear" w:pos="2495"/>
        </w:tabs>
      </w:pPr>
      <w:r>
        <w:t xml:space="preserve">According to </w:t>
      </w:r>
      <w:r w:rsidRPr="006365AD">
        <w:rPr>
          <w:i/>
        </w:rPr>
        <w:t>Global Chemicals Outlook</w:t>
      </w:r>
      <w:r w:rsidR="00BE543A">
        <w:rPr>
          <w:i/>
        </w:rPr>
        <w:t>: Towards Sound Management of Chemicals</w:t>
      </w:r>
      <w:r>
        <w:t xml:space="preserve">, the </w:t>
      </w:r>
      <w:r w:rsidRPr="005A4E4D">
        <w:t>value of the global chemical industry</w:t>
      </w:r>
      <w:r w:rsidR="007773CB">
        <w:t>’s economic output</w:t>
      </w:r>
      <w:r w:rsidRPr="005A4E4D">
        <w:t xml:space="preserve"> has </w:t>
      </w:r>
      <w:r w:rsidR="00BE543A" w:rsidRPr="005A4E4D">
        <w:t xml:space="preserve">increased </w:t>
      </w:r>
      <w:r w:rsidRPr="005A4E4D">
        <w:t>steadily over the past several decades</w:t>
      </w:r>
      <w:r w:rsidR="007773CB">
        <w:t>,</w:t>
      </w:r>
      <w:r w:rsidRPr="005A4E4D">
        <w:t xml:space="preserve"> from </w:t>
      </w:r>
      <w:r w:rsidR="00BE543A" w:rsidRPr="005A4E4D">
        <w:t>$</w:t>
      </w:r>
      <w:r w:rsidRPr="005A4E4D">
        <w:t xml:space="preserve">171 billion in 1970 to </w:t>
      </w:r>
      <w:r w:rsidR="00BE543A" w:rsidRPr="005A4E4D">
        <w:t>$</w:t>
      </w:r>
      <w:r w:rsidRPr="005A4E4D">
        <w:t xml:space="preserve">4.12 trillion in 2010. </w:t>
      </w:r>
      <w:r w:rsidR="00BE543A" w:rsidRPr="005A4E4D">
        <w:t xml:space="preserve">The </w:t>
      </w:r>
      <w:r w:rsidR="00BE543A" w:rsidRPr="006365AD">
        <w:rPr>
          <w:i/>
          <w:lang w:val="en-US"/>
        </w:rPr>
        <w:t xml:space="preserve">OECD Environmental Outlook </w:t>
      </w:r>
      <w:r w:rsidR="005D14F3">
        <w:rPr>
          <w:i/>
          <w:lang w:val="en-US"/>
        </w:rPr>
        <w:t>to</w:t>
      </w:r>
      <w:r w:rsidR="005D14F3" w:rsidRPr="006365AD">
        <w:rPr>
          <w:i/>
          <w:lang w:val="en-US"/>
        </w:rPr>
        <w:t xml:space="preserve"> </w:t>
      </w:r>
      <w:r w:rsidR="00BE543A" w:rsidRPr="006365AD">
        <w:rPr>
          <w:i/>
          <w:lang w:val="en-US"/>
        </w:rPr>
        <w:t xml:space="preserve">2050: </w:t>
      </w:r>
      <w:r w:rsidR="007773CB">
        <w:rPr>
          <w:i/>
          <w:lang w:val="en-US"/>
        </w:rPr>
        <w:t>T</w:t>
      </w:r>
      <w:r w:rsidR="00BE543A" w:rsidRPr="006365AD">
        <w:rPr>
          <w:i/>
          <w:lang w:val="en-US"/>
        </w:rPr>
        <w:t xml:space="preserve">he Consequences of </w:t>
      </w:r>
      <w:proofErr w:type="gramStart"/>
      <w:r w:rsidR="00BE543A" w:rsidRPr="006365AD">
        <w:rPr>
          <w:i/>
          <w:lang w:val="en-US"/>
        </w:rPr>
        <w:t>Inaction</w:t>
      </w:r>
      <w:r w:rsidRPr="005C6E64">
        <w:t>,</w:t>
      </w:r>
      <w:proofErr w:type="gramEnd"/>
      <w:r w:rsidRPr="005A4E4D">
        <w:t xml:space="preserve"> predicts that global chemicals sales will </w:t>
      </w:r>
      <w:r w:rsidRPr="005C6E64">
        <w:t>grow</w:t>
      </w:r>
      <w:r w:rsidR="00BE543A" w:rsidRPr="005C6E64">
        <w:t xml:space="preserve"> by</w:t>
      </w:r>
      <w:r w:rsidRPr="005C6E64">
        <w:t xml:space="preserve"> about 3 per</w:t>
      </w:r>
      <w:r w:rsidR="00BE543A" w:rsidRPr="005C6E64">
        <w:t xml:space="preserve"> </w:t>
      </w:r>
      <w:r w:rsidRPr="005C6E64">
        <w:t>cent per year</w:t>
      </w:r>
      <w:r w:rsidR="00583C37" w:rsidRPr="005C6E64">
        <w:t xml:space="preserve"> to 2050</w:t>
      </w:r>
      <w:r w:rsidRPr="005C6E64">
        <w:t xml:space="preserve">. </w:t>
      </w:r>
    </w:p>
    <w:p w14:paraId="67CA68C9" w14:textId="1A34827F" w:rsidR="00EF688E" w:rsidRPr="005A4E4D" w:rsidRDefault="00EF688E" w:rsidP="006365AD">
      <w:pPr>
        <w:pStyle w:val="Normalnumber"/>
        <w:numPr>
          <w:ilvl w:val="0"/>
          <w:numId w:val="7"/>
        </w:numPr>
        <w:tabs>
          <w:tab w:val="clear" w:pos="1871"/>
          <w:tab w:val="clear" w:pos="2495"/>
        </w:tabs>
      </w:pPr>
      <w:r w:rsidRPr="0063637D">
        <w:t>Industries therefore</w:t>
      </w:r>
      <w:r>
        <w:t xml:space="preserve"> play a </w:t>
      </w:r>
      <w:r w:rsidRPr="00683FF7">
        <w:t>critical role in supporting the</w:t>
      </w:r>
      <w:r>
        <w:t xml:space="preserve"> sound management of</w:t>
      </w:r>
      <w:r w:rsidRPr="00683FF7">
        <w:t xml:space="preserve"> chemicals and waste</w:t>
      </w:r>
      <w:r w:rsidR="0045738B">
        <w:t>s</w:t>
      </w:r>
      <w:r w:rsidRPr="00683FF7">
        <w:t xml:space="preserve"> at </w:t>
      </w:r>
      <w:r>
        <w:t>key stages of their life</w:t>
      </w:r>
      <w:r w:rsidR="00BE543A">
        <w:t xml:space="preserve"> </w:t>
      </w:r>
      <w:r>
        <w:t>cycle</w:t>
      </w:r>
      <w:r w:rsidRPr="00683FF7">
        <w:t xml:space="preserve">, </w:t>
      </w:r>
      <w:r>
        <w:t xml:space="preserve">such </w:t>
      </w:r>
      <w:r w:rsidRPr="005A4E4D">
        <w:t>as in production</w:t>
      </w:r>
      <w:r w:rsidR="0063637D">
        <w:rPr>
          <w:lang w:val="en-US"/>
        </w:rPr>
        <w:t xml:space="preserve"> </w:t>
      </w:r>
      <w:r w:rsidR="007773CB">
        <w:rPr>
          <w:lang w:val="en-US"/>
        </w:rPr>
        <w:t>(</w:t>
      </w:r>
      <w:r w:rsidR="00BE543A">
        <w:rPr>
          <w:lang w:val="en-US"/>
        </w:rPr>
        <w:t>including</w:t>
      </w:r>
      <w:r w:rsidR="00BE543A" w:rsidRPr="006365AD">
        <w:rPr>
          <w:lang w:val="en-US"/>
        </w:rPr>
        <w:t xml:space="preserve"> for organic chemicals, petrochemicals, inorganic chemicals and fertilizers</w:t>
      </w:r>
      <w:r w:rsidR="007773CB">
        <w:rPr>
          <w:lang w:val="en-US"/>
        </w:rPr>
        <w:t>)</w:t>
      </w:r>
      <w:r w:rsidRPr="005A4E4D">
        <w:t>, in processing and blending, in commercial and consumer use a</w:t>
      </w:r>
      <w:r w:rsidR="007773CB">
        <w:t>nd</w:t>
      </w:r>
      <w:r w:rsidRPr="005A4E4D">
        <w:t xml:space="preserve"> in disposal and recycling operations. </w:t>
      </w:r>
    </w:p>
    <w:p w14:paraId="301349C6" w14:textId="0E0C9471" w:rsidR="0026170E" w:rsidRDefault="00EF688E" w:rsidP="0026170E">
      <w:pPr>
        <w:pStyle w:val="Normalnumber"/>
        <w:numPr>
          <w:ilvl w:val="0"/>
          <w:numId w:val="7"/>
        </w:numPr>
        <w:tabs>
          <w:tab w:val="clear" w:pos="1871"/>
          <w:tab w:val="clear" w:pos="2495"/>
        </w:tabs>
      </w:pPr>
      <w:r w:rsidRPr="0026170E">
        <w:t>While the</w:t>
      </w:r>
      <w:r>
        <w:t xml:space="preserve"> chemicals industry </w:t>
      </w:r>
      <w:r w:rsidRPr="00683FF7">
        <w:t xml:space="preserve">and </w:t>
      </w:r>
      <w:r>
        <w:t>its</w:t>
      </w:r>
      <w:r w:rsidRPr="00683FF7">
        <w:t xml:space="preserve"> </w:t>
      </w:r>
      <w:r>
        <w:t>businesses</w:t>
      </w:r>
      <w:r w:rsidRPr="009879D2">
        <w:t xml:space="preserve"> </w:t>
      </w:r>
      <w:r>
        <w:t>are</w:t>
      </w:r>
      <w:r w:rsidRPr="009879D2">
        <w:t xml:space="preserve"> </w:t>
      </w:r>
      <w:r w:rsidR="00BE543A">
        <w:t xml:space="preserve">governed </w:t>
      </w:r>
      <w:r>
        <w:t xml:space="preserve">directly and </w:t>
      </w:r>
      <w:r w:rsidRPr="009879D2">
        <w:t>indirectly by standards or obligations esta</w:t>
      </w:r>
      <w:r>
        <w:t xml:space="preserve">blished in national legislation, </w:t>
      </w:r>
      <w:r w:rsidRPr="00683FF7">
        <w:t>involv</w:t>
      </w:r>
      <w:r>
        <w:t>ing industry in the sound management of chemicals and waste</w:t>
      </w:r>
      <w:r w:rsidR="0045738B">
        <w:t>s</w:t>
      </w:r>
      <w:r>
        <w:t xml:space="preserve"> at the international level</w:t>
      </w:r>
      <w:r w:rsidRPr="00683FF7">
        <w:t xml:space="preserve"> is not directly governed </w:t>
      </w:r>
      <w:r w:rsidR="00BE543A">
        <w:t>by the</w:t>
      </w:r>
      <w:r w:rsidR="00BE543A" w:rsidRPr="00683FF7">
        <w:t xml:space="preserve"> </w:t>
      </w:r>
      <w:r>
        <w:t>multilateral environmental</w:t>
      </w:r>
      <w:r w:rsidRPr="00683FF7">
        <w:t xml:space="preserve"> agreements </w:t>
      </w:r>
      <w:r>
        <w:t>and their</w:t>
      </w:r>
      <w:r w:rsidRPr="00683FF7">
        <w:t xml:space="preserve"> financial mechanisms</w:t>
      </w:r>
      <w:r>
        <w:t xml:space="preserve">. </w:t>
      </w:r>
    </w:p>
    <w:p w14:paraId="62F3BF90" w14:textId="0541A46E" w:rsidR="00EF688E" w:rsidRDefault="00EF688E" w:rsidP="006365AD">
      <w:pPr>
        <w:pStyle w:val="Normalnumber"/>
        <w:numPr>
          <w:ilvl w:val="0"/>
          <w:numId w:val="7"/>
        </w:numPr>
        <w:tabs>
          <w:tab w:val="clear" w:pos="1871"/>
          <w:tab w:val="clear" w:pos="2495"/>
        </w:tabs>
      </w:pPr>
      <w:r>
        <w:t>At the same time, i</w:t>
      </w:r>
      <w:r w:rsidRPr="00683FF7">
        <w:t>ndustry is influenced by standards</w:t>
      </w:r>
      <w:r>
        <w:t xml:space="preserve"> and policies</w:t>
      </w:r>
      <w:r w:rsidRPr="00683FF7">
        <w:t xml:space="preserve"> established and promoted globally through multilateral agreements</w:t>
      </w:r>
      <w:r>
        <w:t xml:space="preserve">, the implementation of which </w:t>
      </w:r>
      <w:r w:rsidRPr="009879D2">
        <w:t xml:space="preserve">can </w:t>
      </w:r>
      <w:r>
        <w:t>foster</w:t>
      </w:r>
      <w:r w:rsidRPr="009879D2">
        <w:t xml:space="preserve"> the mobilization of resources</w:t>
      </w:r>
      <w:r>
        <w:t xml:space="preserve"> </w:t>
      </w:r>
      <w:r w:rsidRPr="009879D2">
        <w:t>for the sound management of chemicals and wastes</w:t>
      </w:r>
      <w:r>
        <w:t xml:space="preserve"> </w:t>
      </w:r>
      <w:r w:rsidR="007773CB">
        <w:t>by</w:t>
      </w:r>
      <w:r w:rsidRPr="009879D2">
        <w:t xml:space="preserve"> the chemicals and waste industry.</w:t>
      </w:r>
    </w:p>
    <w:p w14:paraId="3C08D413" w14:textId="77777777" w:rsidR="00EF688E" w:rsidRPr="00036A78" w:rsidRDefault="00EF688E" w:rsidP="006365AD">
      <w:pPr>
        <w:pStyle w:val="Normalnumber"/>
        <w:numPr>
          <w:ilvl w:val="0"/>
          <w:numId w:val="7"/>
        </w:numPr>
        <w:tabs>
          <w:tab w:val="clear" w:pos="1871"/>
          <w:tab w:val="clear" w:pos="2495"/>
        </w:tabs>
      </w:pPr>
      <w:r w:rsidRPr="0026170E">
        <w:t xml:space="preserve">The </w:t>
      </w:r>
      <w:r w:rsidR="00BE543A" w:rsidRPr="0026170E">
        <w:t>integrated</w:t>
      </w:r>
      <w:r w:rsidR="00BE543A">
        <w:t xml:space="preserve"> approach </w:t>
      </w:r>
      <w:r>
        <w:t>recognizes that the e</w:t>
      </w:r>
      <w:r w:rsidRPr="00683FF7">
        <w:t>ffective and cost</w:t>
      </w:r>
      <w:r>
        <w:noBreakHyphen/>
      </w:r>
      <w:r w:rsidRPr="00683FF7">
        <w:t>efficient involvement of industry requires clarity and coherence in the allocation of mandates and responsibilities between public bodies and industry. Hence</w:t>
      </w:r>
      <w:r>
        <w:t xml:space="preserve">, </w:t>
      </w:r>
      <w:r w:rsidRPr="00683FF7">
        <w:t xml:space="preserve">there </w:t>
      </w:r>
      <w:r w:rsidRPr="005C6E64">
        <w:t>is a need to identify the mandate of public bodies involved in any related activities at every stage of a chemical’s life cycle</w:t>
      </w:r>
      <w:r w:rsidR="00BE543A" w:rsidRPr="005C6E64">
        <w:t xml:space="preserve"> in order</w:t>
      </w:r>
      <w:r w:rsidRPr="005C6E64">
        <w:t xml:space="preserve"> to ensure </w:t>
      </w:r>
      <w:r w:rsidR="00BE543A" w:rsidRPr="005C6E64">
        <w:t xml:space="preserve">the appropriate </w:t>
      </w:r>
      <w:r w:rsidRPr="005C6E64">
        <w:t>allocation of responsibilities between national administrations and industry.</w:t>
      </w:r>
    </w:p>
    <w:p w14:paraId="39BCB1CC" w14:textId="77777777" w:rsidR="00EF688E" w:rsidRPr="00D90AC7" w:rsidRDefault="00EC1C50" w:rsidP="006365AD">
      <w:pPr>
        <w:pStyle w:val="CH3"/>
      </w:pPr>
      <w:r>
        <w:tab/>
        <w:t>2.</w:t>
      </w:r>
      <w:r>
        <w:tab/>
      </w:r>
      <w:r w:rsidR="00EF688E" w:rsidRPr="00D90AC7">
        <w:t>Activities</w:t>
      </w:r>
    </w:p>
    <w:p w14:paraId="16FDB13C" w14:textId="75678320" w:rsidR="00EF688E" w:rsidRDefault="00EF688E" w:rsidP="006365AD">
      <w:pPr>
        <w:pStyle w:val="Normalnumber"/>
        <w:numPr>
          <w:ilvl w:val="0"/>
          <w:numId w:val="7"/>
        </w:numPr>
        <w:tabs>
          <w:tab w:val="clear" w:pos="1871"/>
          <w:tab w:val="clear" w:pos="2495"/>
        </w:tabs>
      </w:pPr>
      <w:r w:rsidRPr="005158F3">
        <w:t>Industry is</w:t>
      </w:r>
      <w:r w:rsidRPr="00F60167">
        <w:t xml:space="preserve"> involved in a number of activities under the </w:t>
      </w:r>
      <w:r>
        <w:t xml:space="preserve">UNEP </w:t>
      </w:r>
      <w:r w:rsidRPr="00F60167">
        <w:t>subprogramme on chemicals and waste</w:t>
      </w:r>
      <w:r>
        <w:t xml:space="preserve">, including </w:t>
      </w:r>
      <w:r w:rsidR="00BE543A">
        <w:t>the Strategic Approach.</w:t>
      </w:r>
      <w:r>
        <w:rPr>
          <w:rStyle w:val="FootnoteReference"/>
        </w:rPr>
        <w:footnoteReference w:id="5"/>
      </w:r>
      <w:r w:rsidRPr="00F60167">
        <w:t xml:space="preserve"> </w:t>
      </w:r>
      <w:r>
        <w:t>At the same time, i</w:t>
      </w:r>
      <w:r w:rsidRPr="00F60167">
        <w:t xml:space="preserve">ndustry has been a major stakeholder in </w:t>
      </w:r>
      <w:r>
        <w:t xml:space="preserve">the </w:t>
      </w:r>
      <w:r w:rsidRPr="00F60167">
        <w:t xml:space="preserve">development of the </w:t>
      </w:r>
      <w:r w:rsidRPr="006365AD">
        <w:rPr>
          <w:i/>
        </w:rPr>
        <w:t>Global Chemicals Outlook</w:t>
      </w:r>
      <w:r>
        <w:t xml:space="preserve"> </w:t>
      </w:r>
      <w:r w:rsidR="006C5360">
        <w:t xml:space="preserve">report </w:t>
      </w:r>
      <w:r>
        <w:t>(UNEP 2012)</w:t>
      </w:r>
      <w:r w:rsidRPr="00F60167">
        <w:t xml:space="preserve"> and the </w:t>
      </w:r>
      <w:r w:rsidR="006C5360" w:rsidRPr="006365AD">
        <w:rPr>
          <w:i/>
        </w:rPr>
        <w:t>Costs of Inaction on the Sound Management of Chemicals</w:t>
      </w:r>
      <w:r w:rsidR="006C5360">
        <w:t xml:space="preserve"> </w:t>
      </w:r>
      <w:r w:rsidRPr="00F60167">
        <w:t xml:space="preserve">report </w:t>
      </w:r>
      <w:r>
        <w:t xml:space="preserve">(UNEP 2013). </w:t>
      </w:r>
    </w:p>
    <w:p w14:paraId="1D850146" w14:textId="2AAC987E" w:rsidR="00EF688E" w:rsidRPr="00583C37" w:rsidRDefault="006C5360" w:rsidP="006365AD">
      <w:pPr>
        <w:pStyle w:val="Normalnumber"/>
        <w:numPr>
          <w:ilvl w:val="0"/>
          <w:numId w:val="7"/>
        </w:numPr>
        <w:tabs>
          <w:tab w:val="clear" w:pos="1871"/>
          <w:tab w:val="clear" w:pos="2495"/>
        </w:tabs>
        <w:rPr>
          <w:rFonts w:asciiTheme="majorBidi" w:hAnsiTheme="majorBidi" w:cstheme="majorBidi"/>
        </w:rPr>
      </w:pPr>
      <w:r w:rsidRPr="005158F3">
        <w:rPr>
          <w:lang w:val="fr-FR"/>
        </w:rPr>
        <w:t>In order t</w:t>
      </w:r>
      <w:r w:rsidR="00EF688E" w:rsidRPr="005158F3">
        <w:rPr>
          <w:lang w:val="fr-FR"/>
        </w:rPr>
        <w:t>o</w:t>
      </w:r>
      <w:r w:rsidR="00EF688E" w:rsidRPr="005C6E64">
        <w:t xml:space="preserve"> support cost recovery and related industry involvement, UNEP has developed guidance on the development of legislation, administrative infrastructure and recovery of administrative costs for </w:t>
      </w:r>
      <w:r w:rsidRPr="005C6E64">
        <w:t xml:space="preserve">the </w:t>
      </w:r>
      <w:r w:rsidR="00EF688E" w:rsidRPr="005C6E64">
        <w:t>sound management of chemicals.</w:t>
      </w:r>
      <w:r w:rsidR="00827EEE" w:rsidRPr="005C6E64">
        <w:t xml:space="preserve"> </w:t>
      </w:r>
      <w:r w:rsidR="00EF688E" w:rsidRPr="005C6E64">
        <w:t xml:space="preserve">The </w:t>
      </w:r>
      <w:r w:rsidRPr="005C6E64">
        <w:t xml:space="preserve">guidance </w:t>
      </w:r>
      <w:r w:rsidR="00EF688E" w:rsidRPr="005C6E64">
        <w:t xml:space="preserve">aims at providing practical, step-by-step support to policymakers for strengthening national legislation and institutional set-ups </w:t>
      </w:r>
      <w:r w:rsidR="00583C37">
        <w:t>to</w:t>
      </w:r>
      <w:r w:rsidR="00EF688E" w:rsidRPr="005C6E64">
        <w:t xml:space="preserve"> achiev</w:t>
      </w:r>
      <w:r w:rsidR="00583C37">
        <w:t>e</w:t>
      </w:r>
      <w:r w:rsidR="00EF688E" w:rsidRPr="005C6E64">
        <w:t xml:space="preserve"> </w:t>
      </w:r>
      <w:r w:rsidRPr="005C6E64">
        <w:t xml:space="preserve">the </w:t>
      </w:r>
      <w:r w:rsidR="00EF688E" w:rsidRPr="005C6E64">
        <w:t>sound management of chemicals</w:t>
      </w:r>
      <w:r w:rsidRPr="005C6E64">
        <w:t>,</w:t>
      </w:r>
      <w:r w:rsidR="00EF688E" w:rsidRPr="005C6E64">
        <w:t xml:space="preserve"> including proposals </w:t>
      </w:r>
      <w:r w:rsidR="00583C37">
        <w:t>on</w:t>
      </w:r>
      <w:r w:rsidR="00583C37" w:rsidRPr="005C6E64">
        <w:t xml:space="preserve"> </w:t>
      </w:r>
      <w:r w:rsidR="00EF688E" w:rsidRPr="005C6E64">
        <w:t>measures for financing necessary administrati</w:t>
      </w:r>
      <w:r w:rsidRPr="005C6E64">
        <w:t>ve</w:t>
      </w:r>
      <w:r w:rsidR="00EF688E" w:rsidRPr="005C6E64">
        <w:t xml:space="preserve"> activities. The guidance includes proposals concerning the division of responsibilities between </w:t>
      </w:r>
      <w:r w:rsidR="00B500DE" w:rsidRPr="005C6E64">
        <w:t>g</w:t>
      </w:r>
      <w:r w:rsidR="00EF688E" w:rsidRPr="005C6E64">
        <w:t>overnment and industry and the use of cost</w:t>
      </w:r>
      <w:r w:rsidR="00695424" w:rsidRPr="005C6E64">
        <w:t>-</w:t>
      </w:r>
      <w:r w:rsidR="00EF688E" w:rsidRPr="005C6E64">
        <w:t xml:space="preserve">recovery measures to support national administrations </w:t>
      </w:r>
      <w:r w:rsidR="007773CB" w:rsidRPr="005C6E64">
        <w:t>in the</w:t>
      </w:r>
      <w:r w:rsidR="00EF688E" w:rsidRPr="005C6E64">
        <w:t xml:space="preserve"> implement</w:t>
      </w:r>
      <w:r w:rsidR="007773CB" w:rsidRPr="005C6E64">
        <w:t>ation</w:t>
      </w:r>
      <w:r w:rsidR="00EF688E" w:rsidRPr="005C6E64">
        <w:t xml:space="preserve"> and enforce</w:t>
      </w:r>
      <w:r w:rsidR="007773CB" w:rsidRPr="005C6E64">
        <w:t>ment of</w:t>
      </w:r>
      <w:r w:rsidR="00EF688E" w:rsidRPr="005C6E64">
        <w:t xml:space="preserve"> chemicals legislation.</w:t>
      </w:r>
    </w:p>
    <w:p w14:paraId="128E8FEE" w14:textId="1DCD7914" w:rsidR="00EF688E" w:rsidRDefault="00EF688E" w:rsidP="006365AD">
      <w:pPr>
        <w:pStyle w:val="Normalnumber"/>
        <w:numPr>
          <w:ilvl w:val="0"/>
          <w:numId w:val="7"/>
        </w:numPr>
        <w:tabs>
          <w:tab w:val="clear" w:pos="1871"/>
          <w:tab w:val="clear" w:pos="2495"/>
        </w:tabs>
      </w:pPr>
      <w:r w:rsidRPr="004023CF">
        <w:rPr>
          <w:lang w:val="fr-FR"/>
        </w:rPr>
        <w:t>In order to</w:t>
      </w:r>
      <w:r w:rsidRPr="001972BC">
        <w:t xml:space="preserve"> facilitate dialogue concerning industry involvement in countries in the African and Asia</w:t>
      </w:r>
      <w:r w:rsidR="00BE543A">
        <w:t>-</w:t>
      </w:r>
      <w:r w:rsidRPr="001972BC">
        <w:t xml:space="preserve">Pacific regions, UNEP organized two regional workshops in 2014 </w:t>
      </w:r>
      <w:r w:rsidR="007A1E41">
        <w:t>to</w:t>
      </w:r>
      <w:r w:rsidRPr="001972BC">
        <w:t xml:space="preserve"> rais</w:t>
      </w:r>
      <w:r w:rsidR="007A1E41">
        <w:t>e</w:t>
      </w:r>
      <w:r w:rsidRPr="001972BC">
        <w:t xml:space="preserve"> the awareness of industry and </w:t>
      </w:r>
      <w:r w:rsidR="00AC3C25">
        <w:t>G</w:t>
      </w:r>
      <w:r w:rsidRPr="001972BC">
        <w:t xml:space="preserve">overnments about the benefits and the necessity </w:t>
      </w:r>
      <w:r w:rsidR="006C5360">
        <w:t>of</w:t>
      </w:r>
      <w:r w:rsidRPr="001972BC">
        <w:t xml:space="preserve"> involv</w:t>
      </w:r>
      <w:r w:rsidR="006C5360">
        <w:t>ing</w:t>
      </w:r>
      <w:r w:rsidRPr="001972BC">
        <w:t xml:space="preserve"> industry in the sound management of chemicals and wastes in the context of the </w:t>
      </w:r>
      <w:r w:rsidR="006C5360" w:rsidRPr="001972BC">
        <w:t>integrated ap</w:t>
      </w:r>
      <w:r w:rsidRPr="001972BC">
        <w:t>proach and identify</w:t>
      </w:r>
      <w:r w:rsidR="006C5360">
        <w:t>ing</w:t>
      </w:r>
      <w:r w:rsidRPr="001972BC">
        <w:t xml:space="preserve"> opportunities </w:t>
      </w:r>
      <w:r w:rsidR="006C5360">
        <w:t>for</w:t>
      </w:r>
      <w:r w:rsidR="00827EEE">
        <w:t xml:space="preserve"> </w:t>
      </w:r>
      <w:r w:rsidRPr="001972BC">
        <w:t xml:space="preserve">industry </w:t>
      </w:r>
      <w:r w:rsidR="006C5360">
        <w:t xml:space="preserve">to </w:t>
      </w:r>
      <w:r w:rsidRPr="001972BC">
        <w:t>contribut</w:t>
      </w:r>
      <w:r w:rsidR="006C5360">
        <w:t>e</w:t>
      </w:r>
      <w:r w:rsidRPr="001972BC">
        <w:t xml:space="preserve"> to national long-term financing</w:t>
      </w:r>
      <w:r>
        <w:t>.</w:t>
      </w:r>
    </w:p>
    <w:p w14:paraId="02346B77" w14:textId="5B834A8F" w:rsidR="00EF688E" w:rsidRDefault="00DE1968" w:rsidP="006365AD">
      <w:pPr>
        <w:pStyle w:val="Normalnumber"/>
        <w:numPr>
          <w:ilvl w:val="0"/>
          <w:numId w:val="7"/>
        </w:numPr>
        <w:tabs>
          <w:tab w:val="clear" w:pos="1871"/>
          <w:tab w:val="clear" w:pos="2495"/>
        </w:tabs>
      </w:pPr>
      <w:r w:rsidRPr="00896211">
        <w:rPr>
          <w:lang w:val="fr-FR"/>
        </w:rPr>
        <w:lastRenderedPageBreak/>
        <w:t>From 2010</w:t>
      </w:r>
      <w:r>
        <w:t xml:space="preserve"> to 2014, a memorandum of understanding between </w:t>
      </w:r>
      <w:r w:rsidR="00EF688E">
        <w:t>UNEP and the International Council of Chem</w:t>
      </w:r>
      <w:r w:rsidR="00EF688E" w:rsidRPr="005C6E64">
        <w:t>ical Associations (ICCA) provide</w:t>
      </w:r>
      <w:r w:rsidRPr="005C6E64">
        <w:t>d</w:t>
      </w:r>
      <w:r w:rsidR="00EF688E" w:rsidRPr="005C6E64">
        <w:t xml:space="preserve"> </w:t>
      </w:r>
      <w:proofErr w:type="gramStart"/>
      <w:r w:rsidR="00EF688E" w:rsidRPr="005C6E64">
        <w:t>a</w:t>
      </w:r>
      <w:proofErr w:type="gramEnd"/>
      <w:r w:rsidR="00EF688E" w:rsidRPr="005C6E64">
        <w:t xml:space="preserve"> framework of cooperation and understanding. A new </w:t>
      </w:r>
      <w:r w:rsidRPr="005C6E64">
        <w:t>memorandum of understanding</w:t>
      </w:r>
      <w:r w:rsidR="00EF688E" w:rsidRPr="005C6E64">
        <w:t xml:space="preserve"> is</w:t>
      </w:r>
      <w:r w:rsidRPr="005C6E64">
        <w:t xml:space="preserve"> </w:t>
      </w:r>
      <w:r w:rsidR="00EF688E" w:rsidRPr="005C6E64">
        <w:t xml:space="preserve">under development and is expected to be signed in the </w:t>
      </w:r>
      <w:r w:rsidR="00036A78">
        <w:t>second quarter</w:t>
      </w:r>
      <w:r w:rsidR="00036A78" w:rsidRPr="005C6E64">
        <w:t xml:space="preserve"> </w:t>
      </w:r>
      <w:r w:rsidR="00EF688E" w:rsidRPr="005C6E64">
        <w:t xml:space="preserve">of 2016. The </w:t>
      </w:r>
      <w:r w:rsidRPr="005C6E64">
        <w:t xml:space="preserve">memorandum of understanding </w:t>
      </w:r>
      <w:r w:rsidR="00EF688E" w:rsidRPr="005C6E64">
        <w:t>is based on a letter of intent to strengthen the partnership to support the sound management of chemicals u</w:t>
      </w:r>
      <w:r w:rsidRPr="005C6E64">
        <w:t>p to</w:t>
      </w:r>
      <w:r w:rsidR="00EF688E" w:rsidRPr="005C6E64">
        <w:t xml:space="preserve"> and beyond the 2020 goal</w:t>
      </w:r>
      <w:r w:rsidR="00827EEE" w:rsidRPr="005C6E64">
        <w:t xml:space="preserve"> </w:t>
      </w:r>
      <w:r w:rsidR="00EF688E" w:rsidRPr="005C6E64">
        <w:t>for the sound man</w:t>
      </w:r>
      <w:r w:rsidR="00EF688E">
        <w:t>agement of chemicals</w:t>
      </w:r>
      <w:r>
        <w:t>, which</w:t>
      </w:r>
      <w:r w:rsidR="00EF688E">
        <w:t xml:space="preserve"> was signed by the Executive Director of UNEP and the President of ICCA at </w:t>
      </w:r>
      <w:r>
        <w:t>the fourth session of the International Conference on Chemicals Management</w:t>
      </w:r>
      <w:r w:rsidR="00EF688E">
        <w:t>.</w:t>
      </w:r>
    </w:p>
    <w:p w14:paraId="300B6B14" w14:textId="27CFFFB9" w:rsidR="00EF688E" w:rsidRDefault="00EF688E" w:rsidP="006365AD">
      <w:pPr>
        <w:pStyle w:val="Normalnumber"/>
        <w:numPr>
          <w:ilvl w:val="0"/>
          <w:numId w:val="7"/>
        </w:numPr>
        <w:tabs>
          <w:tab w:val="clear" w:pos="1871"/>
          <w:tab w:val="clear" w:pos="2495"/>
        </w:tabs>
      </w:pPr>
      <w:r>
        <w:t xml:space="preserve">The </w:t>
      </w:r>
      <w:r w:rsidR="00DE1968">
        <w:t>memorandum of understanding</w:t>
      </w:r>
      <w:r>
        <w:t xml:space="preserve"> will focus on</w:t>
      </w:r>
      <w:r w:rsidR="00DE1968">
        <w:t>:</w:t>
      </w:r>
      <w:r>
        <w:t xml:space="preserve"> </w:t>
      </w:r>
      <w:r w:rsidR="00DE1968">
        <w:t>(a</w:t>
      </w:r>
      <w:r>
        <w:t xml:space="preserve">) voluntary and legal systems to improve sound chemicals management in </w:t>
      </w:r>
      <w:r w:rsidR="00DE1968">
        <w:t xml:space="preserve">the </w:t>
      </w:r>
      <w:r>
        <w:t xml:space="preserve">global chemical industry supply chain; </w:t>
      </w:r>
      <w:r w:rsidR="00DE1968">
        <w:t>(b</w:t>
      </w:r>
      <w:r>
        <w:t xml:space="preserve">) </w:t>
      </w:r>
      <w:r w:rsidR="00DE1968">
        <w:t>the secretariat of the Strategic Approach</w:t>
      </w:r>
      <w:r>
        <w:t xml:space="preserve">, governance and implementation; </w:t>
      </w:r>
      <w:r w:rsidR="00983D7A">
        <w:t xml:space="preserve">and </w:t>
      </w:r>
      <w:r w:rsidR="00DE1968">
        <w:t>(c</w:t>
      </w:r>
      <w:r>
        <w:t xml:space="preserve">) </w:t>
      </w:r>
      <w:r w:rsidR="00DE1968">
        <w:t xml:space="preserve">the </w:t>
      </w:r>
      <w:r>
        <w:t xml:space="preserve">sound management of chemicals beyond 2020. </w:t>
      </w:r>
      <w:r w:rsidR="00DE1968">
        <w:t xml:space="preserve">Under the memorandum of understanding, </w:t>
      </w:r>
      <w:r>
        <w:t xml:space="preserve">UNEP and ICCA will organize different activities and events to further </w:t>
      </w:r>
      <w:r w:rsidR="00DE1968">
        <w:t xml:space="preserve">the </w:t>
      </w:r>
      <w:r>
        <w:t>sound management of chemicals up to and beyond 2020.</w:t>
      </w:r>
    </w:p>
    <w:p w14:paraId="4117B69C" w14:textId="2C2A1937" w:rsidR="00EF688E" w:rsidRDefault="00EF688E" w:rsidP="006365AD">
      <w:pPr>
        <w:pStyle w:val="Normalnumber"/>
        <w:numPr>
          <w:ilvl w:val="0"/>
          <w:numId w:val="7"/>
        </w:numPr>
        <w:tabs>
          <w:tab w:val="clear" w:pos="1871"/>
          <w:tab w:val="clear" w:pos="2495"/>
        </w:tabs>
      </w:pPr>
      <w:r>
        <w:t xml:space="preserve">The </w:t>
      </w:r>
      <w:r w:rsidR="004B07E0">
        <w:t>s</w:t>
      </w:r>
      <w:r>
        <w:t>ecretariat of the Basel, Rotterdam and Stockholm conventions</w:t>
      </w:r>
      <w:r w:rsidRPr="00843D24">
        <w:t xml:space="preserve"> has supported the work of two partnerships related to e-waste</w:t>
      </w:r>
      <w:r w:rsidR="004B07E0">
        <w:t>,</w:t>
      </w:r>
      <w:r w:rsidR="004B07E0" w:rsidRPr="004B07E0">
        <w:t xml:space="preserve"> </w:t>
      </w:r>
      <w:r w:rsidR="004B07E0">
        <w:t>namely</w:t>
      </w:r>
      <w:r w:rsidR="004B07E0" w:rsidRPr="00843D24">
        <w:t xml:space="preserve"> the Mobile Phone Partnership Initiative and the Partnership for Action on Computing Equipment</w:t>
      </w:r>
      <w:r w:rsidR="004B07E0">
        <w:t>,</w:t>
      </w:r>
      <w:r w:rsidRPr="00843D24">
        <w:t xml:space="preserve"> with the active involvement of the producing and recycling industries. Both partnerships were </w:t>
      </w:r>
      <w:r w:rsidR="00FF44DF">
        <w:t>spearheaded</w:t>
      </w:r>
      <w:r w:rsidRPr="00843D24">
        <w:t xml:space="preserve"> by </w:t>
      </w:r>
      <w:r w:rsidR="004B07E0">
        <w:t xml:space="preserve">the </w:t>
      </w:r>
      <w:r w:rsidRPr="00843D24">
        <w:t>parties to the Basel Convention</w:t>
      </w:r>
      <w:r>
        <w:t>.</w:t>
      </w:r>
      <w:r w:rsidR="00827EEE">
        <w:t xml:space="preserve"> </w:t>
      </w:r>
      <w:r>
        <w:t>I</w:t>
      </w:r>
      <w:r w:rsidRPr="00843D24">
        <w:t xml:space="preserve">ndustries were involved from the beginning in the set-up and implementation of the partnership activities. The partnerships </w:t>
      </w:r>
      <w:r>
        <w:t xml:space="preserve">benefited from </w:t>
      </w:r>
      <w:r w:rsidRPr="00843D24">
        <w:t xml:space="preserve">technical and financial support from countries and the private </w:t>
      </w:r>
      <w:r w:rsidRPr="00D90AC7">
        <w:t xml:space="preserve">sector, </w:t>
      </w:r>
      <w:r w:rsidR="00983D7A">
        <w:t xml:space="preserve">which </w:t>
      </w:r>
      <w:r w:rsidR="005039AF">
        <w:t>enabl</w:t>
      </w:r>
      <w:r w:rsidR="00983D7A">
        <w:t>ed</w:t>
      </w:r>
      <w:r w:rsidRPr="00D90AC7">
        <w:t xml:space="preserve"> pilot projects</w:t>
      </w:r>
      <w:r w:rsidR="005039AF">
        <w:t xml:space="preserve"> to be implemented</w:t>
      </w:r>
      <w:r w:rsidRPr="00D90AC7">
        <w:t xml:space="preserve"> on time. </w:t>
      </w:r>
    </w:p>
    <w:p w14:paraId="45C54F12" w14:textId="7A0D599D" w:rsidR="00EF688E" w:rsidRPr="006365AD" w:rsidRDefault="00EF688E" w:rsidP="006365AD">
      <w:pPr>
        <w:pStyle w:val="Normalnumber"/>
        <w:numPr>
          <w:ilvl w:val="0"/>
          <w:numId w:val="7"/>
        </w:numPr>
        <w:tabs>
          <w:tab w:val="clear" w:pos="1871"/>
          <w:tab w:val="clear" w:pos="2495"/>
        </w:tabs>
      </w:pPr>
      <w:r w:rsidRPr="009A533B">
        <w:t xml:space="preserve">Other partnerships, such as the PCBs Elimination Network and </w:t>
      </w:r>
      <w:r w:rsidRPr="00AC3C25">
        <w:t>the Global Alliance</w:t>
      </w:r>
      <w:r w:rsidR="00E337FB" w:rsidRPr="00AC3C25">
        <w:t xml:space="preserve"> </w:t>
      </w:r>
      <w:r w:rsidR="00AC3C25" w:rsidRPr="005C6E64">
        <w:t>for</w:t>
      </w:r>
      <w:r w:rsidR="005A4E4D" w:rsidRPr="00AC3C25">
        <w:t xml:space="preserve"> alternatives to</w:t>
      </w:r>
      <w:r w:rsidR="00E337FB" w:rsidRPr="00AC3C25">
        <w:t xml:space="preserve"> DDT</w:t>
      </w:r>
      <w:r w:rsidR="005A4E4D" w:rsidRPr="00AC3C25">
        <w:t>,</w:t>
      </w:r>
      <w:r w:rsidRPr="00AC3C25">
        <w:t xml:space="preserve"> were initiated by parties to the Stockholm Conventio</w:t>
      </w:r>
      <w:r w:rsidRPr="009A533B">
        <w:t>n as information exchange networks. The partnerships received funding from donors during the start-up phase and mostly in-kind contributions from the private sector. Given the lack of sustained funding,</w:t>
      </w:r>
      <w:r w:rsidR="00827EEE">
        <w:t xml:space="preserve"> </w:t>
      </w:r>
      <w:r w:rsidR="005A4E4D">
        <w:t xml:space="preserve">there was limited scope for </w:t>
      </w:r>
      <w:r w:rsidRPr="009A533B">
        <w:t>extending the work programmes to undertake studies and pilot projects.</w:t>
      </w:r>
    </w:p>
    <w:p w14:paraId="3D773B8F" w14:textId="77777777" w:rsidR="00EF688E" w:rsidRPr="009A533B" w:rsidRDefault="00EC1C50" w:rsidP="006365AD">
      <w:pPr>
        <w:pStyle w:val="CH3"/>
      </w:pPr>
      <w:r>
        <w:tab/>
        <w:t>3.</w:t>
      </w:r>
      <w:r>
        <w:tab/>
      </w:r>
      <w:r w:rsidR="00EF688E">
        <w:t>I</w:t>
      </w:r>
      <w:r w:rsidR="00EF688E" w:rsidRPr="009A533B">
        <w:t>nitial lessons learned</w:t>
      </w:r>
    </w:p>
    <w:p w14:paraId="2234A482" w14:textId="7B668CF4" w:rsidR="00EF688E" w:rsidRDefault="00EF688E" w:rsidP="006365AD">
      <w:pPr>
        <w:pStyle w:val="Normalnumber"/>
        <w:numPr>
          <w:ilvl w:val="0"/>
          <w:numId w:val="7"/>
        </w:numPr>
        <w:tabs>
          <w:tab w:val="clear" w:pos="1871"/>
          <w:tab w:val="clear" w:pos="2495"/>
        </w:tabs>
        <w:rPr>
          <w:rFonts w:asciiTheme="majorBidi" w:eastAsia="SimSun" w:hAnsiTheme="majorBidi" w:cstheme="majorBidi"/>
          <w:lang w:val="en-CA" w:eastAsia="zh-CN"/>
        </w:rPr>
      </w:pPr>
      <w:r w:rsidRPr="008C4620">
        <w:rPr>
          <w:rFonts w:eastAsia="SimSun"/>
        </w:rPr>
        <w:t>The various</w:t>
      </w:r>
      <w:r w:rsidRPr="001F4D05">
        <w:rPr>
          <w:rFonts w:eastAsia="SimSun"/>
        </w:rPr>
        <w:t xml:space="preserve"> activities undertaken reiterated the relevance of the </w:t>
      </w:r>
      <w:r w:rsidR="005A4E4D" w:rsidRPr="001F4D05">
        <w:rPr>
          <w:rFonts w:eastAsia="SimSun"/>
        </w:rPr>
        <w:t xml:space="preserve">integrated approach </w:t>
      </w:r>
      <w:r w:rsidRPr="001F4D05">
        <w:rPr>
          <w:rFonts w:eastAsia="SimSun"/>
        </w:rPr>
        <w:t xml:space="preserve">in ensuring the successful implementation of </w:t>
      </w:r>
      <w:r w:rsidR="005A4E4D">
        <w:rPr>
          <w:rFonts w:eastAsia="SimSun"/>
        </w:rPr>
        <w:t xml:space="preserve">the </w:t>
      </w:r>
      <w:r w:rsidRPr="001F4D05">
        <w:rPr>
          <w:rFonts w:eastAsia="SimSun"/>
        </w:rPr>
        <w:t>sound management of chemicals and recogni</w:t>
      </w:r>
      <w:r w:rsidR="005A4E4D">
        <w:rPr>
          <w:rFonts w:eastAsia="SimSun"/>
        </w:rPr>
        <w:t>z</w:t>
      </w:r>
      <w:r w:rsidRPr="001F4D05">
        <w:rPr>
          <w:rFonts w:eastAsia="SimSun"/>
        </w:rPr>
        <w:t xml:space="preserve">ed </w:t>
      </w:r>
      <w:r w:rsidR="005A4E4D">
        <w:rPr>
          <w:rFonts w:eastAsia="SimSun"/>
        </w:rPr>
        <w:t>sound chemicals management</w:t>
      </w:r>
      <w:r w:rsidRPr="001F4D05">
        <w:rPr>
          <w:rFonts w:eastAsia="SimSun"/>
        </w:rPr>
        <w:t xml:space="preserve"> as critical </w:t>
      </w:r>
      <w:r w:rsidR="005A4E4D">
        <w:rPr>
          <w:rFonts w:eastAsia="SimSun"/>
        </w:rPr>
        <w:t>to</w:t>
      </w:r>
      <w:r w:rsidRPr="001F4D05">
        <w:rPr>
          <w:rFonts w:eastAsia="SimSun"/>
        </w:rPr>
        <w:t xml:space="preserve"> achieving the S</w:t>
      </w:r>
      <w:r w:rsidR="005A4E4D">
        <w:rPr>
          <w:rFonts w:eastAsia="SimSun"/>
        </w:rPr>
        <w:t>ustainable Development Goals</w:t>
      </w:r>
      <w:r w:rsidRPr="001F4D05">
        <w:rPr>
          <w:rFonts w:eastAsia="SimSun"/>
        </w:rPr>
        <w:t xml:space="preserve"> and the 2020 goal. </w:t>
      </w:r>
      <w:r w:rsidRPr="001972BC">
        <w:rPr>
          <w:rFonts w:asciiTheme="majorBidi" w:eastAsia="SimSun" w:hAnsiTheme="majorBidi" w:cstheme="majorBidi"/>
          <w:lang w:val="en-CA" w:eastAsia="zh-CN"/>
        </w:rPr>
        <w:t>The</w:t>
      </w:r>
      <w:r>
        <w:rPr>
          <w:rFonts w:asciiTheme="majorBidi" w:eastAsia="SimSun" w:hAnsiTheme="majorBidi" w:cstheme="majorBidi"/>
          <w:lang w:val="en-CA" w:eastAsia="zh-CN"/>
        </w:rPr>
        <w:t xml:space="preserve"> outcomes of the work undertaken also showed that countries </w:t>
      </w:r>
      <w:r w:rsidR="00983D7A">
        <w:rPr>
          <w:rFonts w:asciiTheme="majorBidi" w:eastAsia="SimSun" w:hAnsiTheme="majorBidi" w:cstheme="majorBidi"/>
          <w:lang w:val="en-CA" w:eastAsia="zh-CN"/>
        </w:rPr>
        <w:t xml:space="preserve">are </w:t>
      </w:r>
      <w:r>
        <w:rPr>
          <w:rFonts w:asciiTheme="majorBidi" w:eastAsia="SimSun" w:hAnsiTheme="majorBidi" w:cstheme="majorBidi"/>
          <w:lang w:val="en-CA" w:eastAsia="zh-CN"/>
        </w:rPr>
        <w:t xml:space="preserve">generally </w:t>
      </w:r>
      <w:r w:rsidR="009D7332">
        <w:rPr>
          <w:rFonts w:asciiTheme="majorBidi" w:eastAsia="SimSun" w:hAnsiTheme="majorBidi" w:cstheme="majorBidi"/>
          <w:lang w:val="en-CA" w:eastAsia="zh-CN"/>
        </w:rPr>
        <w:t>aware</w:t>
      </w:r>
      <w:r w:rsidRPr="001972BC">
        <w:rPr>
          <w:rFonts w:asciiTheme="majorBidi" w:eastAsia="SimSun" w:hAnsiTheme="majorBidi" w:cstheme="majorBidi"/>
          <w:lang w:val="en-CA" w:eastAsia="zh-CN"/>
        </w:rPr>
        <w:t xml:space="preserve"> that </w:t>
      </w:r>
      <w:r w:rsidR="005A4E4D">
        <w:rPr>
          <w:rFonts w:asciiTheme="majorBidi" w:eastAsia="SimSun" w:hAnsiTheme="majorBidi" w:cstheme="majorBidi"/>
          <w:lang w:val="en-CA" w:eastAsia="zh-CN"/>
        </w:rPr>
        <w:t xml:space="preserve">the </w:t>
      </w:r>
      <w:r w:rsidRPr="001972BC">
        <w:rPr>
          <w:rFonts w:asciiTheme="majorBidi" w:eastAsia="SimSun" w:hAnsiTheme="majorBidi" w:cstheme="majorBidi"/>
          <w:lang w:val="en-CA" w:eastAsia="zh-CN"/>
        </w:rPr>
        <w:t xml:space="preserve">sound management of chemicals can only be achieved through the full participation and engagement of all stakeholders at each stage of the life cycle of a chemical </w:t>
      </w:r>
      <w:r w:rsidR="005A4E4D">
        <w:rPr>
          <w:rFonts w:asciiTheme="majorBidi" w:eastAsia="SimSun" w:hAnsiTheme="majorBidi" w:cstheme="majorBidi"/>
          <w:lang w:val="en-CA" w:eastAsia="zh-CN"/>
        </w:rPr>
        <w:t>or</w:t>
      </w:r>
      <w:r w:rsidRPr="001972BC">
        <w:rPr>
          <w:rFonts w:asciiTheme="majorBidi" w:eastAsia="SimSun" w:hAnsiTheme="majorBidi" w:cstheme="majorBidi"/>
          <w:lang w:val="en-CA" w:eastAsia="zh-CN"/>
        </w:rPr>
        <w:t xml:space="preserve"> product containing chemicals. Such involvement is required to ensure appropriate manufacture, handling, transportation, use and disposal of chemicals and other products. </w:t>
      </w:r>
    </w:p>
    <w:p w14:paraId="5897D49C" w14:textId="35FB1DB4" w:rsidR="00EF688E" w:rsidRPr="001972BC" w:rsidRDefault="00EF688E" w:rsidP="006365AD">
      <w:pPr>
        <w:pStyle w:val="Normalnumber"/>
        <w:numPr>
          <w:ilvl w:val="0"/>
          <w:numId w:val="7"/>
        </w:numPr>
        <w:tabs>
          <w:tab w:val="clear" w:pos="1871"/>
          <w:tab w:val="clear" w:pos="2495"/>
        </w:tabs>
        <w:rPr>
          <w:rFonts w:asciiTheme="majorBidi" w:eastAsia="SimSun" w:hAnsiTheme="majorBidi" w:cstheme="majorBidi"/>
          <w:lang w:val="en-CA" w:eastAsia="zh-CN"/>
        </w:rPr>
      </w:pPr>
      <w:r w:rsidRPr="003A44E1">
        <w:rPr>
          <w:rFonts w:asciiTheme="majorBidi" w:eastAsia="SimSun" w:hAnsiTheme="majorBidi" w:cstheme="majorBidi"/>
          <w:lang w:val="en-CA" w:eastAsia="zh-CN"/>
        </w:rPr>
        <w:t>Chemical</w:t>
      </w:r>
      <w:r w:rsidRPr="001972BC">
        <w:rPr>
          <w:rFonts w:asciiTheme="majorBidi" w:eastAsia="SimSun" w:hAnsiTheme="majorBidi" w:cstheme="majorBidi"/>
          <w:lang w:val="en-CA" w:eastAsia="zh-CN"/>
        </w:rPr>
        <w:t xml:space="preserve"> produ</w:t>
      </w:r>
      <w:r w:rsidRPr="00587538">
        <w:rPr>
          <w:rFonts w:asciiTheme="majorBidi" w:eastAsia="SimSun" w:hAnsiTheme="majorBidi" w:cstheme="majorBidi"/>
          <w:lang w:val="en-CA" w:eastAsia="zh-CN"/>
        </w:rPr>
        <w:t xml:space="preserve">cers have an important role in facilitating </w:t>
      </w:r>
      <w:r w:rsidR="009D7332" w:rsidRPr="00587538">
        <w:rPr>
          <w:rFonts w:asciiTheme="majorBidi" w:eastAsia="SimSun" w:hAnsiTheme="majorBidi" w:cstheme="majorBidi"/>
          <w:lang w:val="en-CA" w:eastAsia="zh-CN"/>
        </w:rPr>
        <w:t xml:space="preserve">the </w:t>
      </w:r>
      <w:r w:rsidRPr="00587538">
        <w:rPr>
          <w:rFonts w:asciiTheme="majorBidi" w:eastAsia="SimSun" w:hAnsiTheme="majorBidi" w:cstheme="majorBidi"/>
          <w:lang w:val="en-CA" w:eastAsia="zh-CN"/>
        </w:rPr>
        <w:t>engagement of other industrial and commercial sectors, small and medium-sized enterprises in particular.</w:t>
      </w:r>
      <w:r w:rsidRPr="005C6E64">
        <w:rPr>
          <w:rFonts w:asciiTheme="majorBidi" w:eastAsia="SimSun" w:hAnsiTheme="majorBidi" w:cstheme="majorBidi"/>
          <w:b/>
          <w:lang w:val="en-CA" w:eastAsia="zh-CN"/>
        </w:rPr>
        <w:t xml:space="preserve"> </w:t>
      </w:r>
      <w:r w:rsidRPr="00587538">
        <w:rPr>
          <w:rFonts w:asciiTheme="majorBidi" w:eastAsia="SimSun" w:hAnsiTheme="majorBidi" w:cstheme="majorBidi"/>
          <w:lang w:val="en-CA" w:eastAsia="zh-CN"/>
        </w:rPr>
        <w:t>However, it is equally important to ensure that other actors involved in the value chain</w:t>
      </w:r>
      <w:r w:rsidRPr="00E32BCB">
        <w:rPr>
          <w:rFonts w:asciiTheme="majorBidi" w:eastAsia="SimSun" w:hAnsiTheme="majorBidi" w:cstheme="majorBidi"/>
          <w:lang w:val="en-CA" w:eastAsia="zh-CN"/>
        </w:rPr>
        <w:t xml:space="preserve"> recogni</w:t>
      </w:r>
      <w:r w:rsidR="005A4E4D">
        <w:rPr>
          <w:rFonts w:asciiTheme="majorBidi" w:eastAsia="SimSun" w:hAnsiTheme="majorBidi" w:cstheme="majorBidi"/>
          <w:lang w:val="en-CA" w:eastAsia="zh-CN"/>
        </w:rPr>
        <w:t>z</w:t>
      </w:r>
      <w:r w:rsidRPr="00E32BCB">
        <w:rPr>
          <w:rFonts w:asciiTheme="majorBidi" w:eastAsia="SimSun" w:hAnsiTheme="majorBidi" w:cstheme="majorBidi"/>
          <w:lang w:val="en-CA" w:eastAsia="zh-CN"/>
        </w:rPr>
        <w:t>e their responsibilit</w:t>
      </w:r>
      <w:r w:rsidR="005A4E4D">
        <w:rPr>
          <w:rFonts w:asciiTheme="majorBidi" w:eastAsia="SimSun" w:hAnsiTheme="majorBidi" w:cstheme="majorBidi"/>
          <w:lang w:val="en-CA" w:eastAsia="zh-CN"/>
        </w:rPr>
        <w:t>ies</w:t>
      </w:r>
      <w:r w:rsidRPr="00E32BCB">
        <w:rPr>
          <w:rFonts w:asciiTheme="majorBidi" w:eastAsia="SimSun" w:hAnsiTheme="majorBidi" w:cstheme="majorBidi"/>
          <w:lang w:val="en-CA" w:eastAsia="zh-CN"/>
        </w:rPr>
        <w:t xml:space="preserve"> and act accordingly.</w:t>
      </w:r>
      <w:r w:rsidR="00827EEE">
        <w:rPr>
          <w:rFonts w:asciiTheme="majorBidi" w:eastAsia="SimSun" w:hAnsiTheme="majorBidi" w:cstheme="majorBidi"/>
          <w:lang w:val="en-CA" w:eastAsia="zh-CN"/>
        </w:rPr>
        <w:t xml:space="preserve"> </w:t>
      </w:r>
      <w:r w:rsidRPr="001972BC">
        <w:rPr>
          <w:rFonts w:asciiTheme="majorBidi" w:eastAsia="SimSun" w:hAnsiTheme="majorBidi" w:cstheme="majorBidi"/>
          <w:lang w:val="en-CA" w:eastAsia="zh-CN"/>
        </w:rPr>
        <w:t>Trade unions</w:t>
      </w:r>
      <w:r>
        <w:rPr>
          <w:rFonts w:asciiTheme="majorBidi" w:eastAsia="SimSun" w:hAnsiTheme="majorBidi" w:cstheme="majorBidi"/>
          <w:lang w:val="en-CA" w:eastAsia="zh-CN"/>
        </w:rPr>
        <w:t>, for example,</w:t>
      </w:r>
      <w:r w:rsidRPr="001972BC">
        <w:rPr>
          <w:rFonts w:asciiTheme="majorBidi" w:eastAsia="SimSun" w:hAnsiTheme="majorBidi" w:cstheme="majorBidi"/>
          <w:lang w:val="en-CA" w:eastAsia="zh-CN"/>
        </w:rPr>
        <w:t xml:space="preserve"> can raise awareness among workers and consumer organi</w:t>
      </w:r>
      <w:r w:rsidR="005A4E4D">
        <w:rPr>
          <w:rFonts w:asciiTheme="majorBidi" w:eastAsia="SimSun" w:hAnsiTheme="majorBidi" w:cstheme="majorBidi"/>
          <w:lang w:val="en-CA" w:eastAsia="zh-CN"/>
        </w:rPr>
        <w:t>z</w:t>
      </w:r>
      <w:r w:rsidRPr="001972BC">
        <w:rPr>
          <w:rFonts w:asciiTheme="majorBidi" w:eastAsia="SimSun" w:hAnsiTheme="majorBidi" w:cstheme="majorBidi"/>
          <w:lang w:val="en-CA" w:eastAsia="zh-CN"/>
        </w:rPr>
        <w:t>ations</w:t>
      </w:r>
      <w:r w:rsidR="005A4E4D">
        <w:rPr>
          <w:rFonts w:asciiTheme="majorBidi" w:eastAsia="SimSun" w:hAnsiTheme="majorBidi" w:cstheme="majorBidi"/>
          <w:lang w:val="en-CA" w:eastAsia="zh-CN"/>
        </w:rPr>
        <w:t>, while</w:t>
      </w:r>
      <w:r w:rsidRPr="001972BC">
        <w:rPr>
          <w:rFonts w:asciiTheme="majorBidi" w:eastAsia="SimSun" w:hAnsiTheme="majorBidi" w:cstheme="majorBidi"/>
          <w:lang w:val="en-CA" w:eastAsia="zh-CN"/>
        </w:rPr>
        <w:t xml:space="preserve"> civil society organi</w:t>
      </w:r>
      <w:r w:rsidR="009D7332">
        <w:rPr>
          <w:rFonts w:asciiTheme="majorBidi" w:eastAsia="SimSun" w:hAnsiTheme="majorBidi" w:cstheme="majorBidi"/>
          <w:lang w:val="en-CA" w:eastAsia="zh-CN"/>
        </w:rPr>
        <w:t>z</w:t>
      </w:r>
      <w:r w:rsidRPr="001972BC">
        <w:rPr>
          <w:rFonts w:asciiTheme="majorBidi" w:eastAsia="SimSun" w:hAnsiTheme="majorBidi" w:cstheme="majorBidi"/>
          <w:lang w:val="en-CA" w:eastAsia="zh-CN"/>
        </w:rPr>
        <w:t>ations are well positioned to reach out to the general public.</w:t>
      </w:r>
      <w:r>
        <w:rPr>
          <w:rFonts w:asciiTheme="majorBidi" w:eastAsia="SimSun" w:hAnsiTheme="majorBidi" w:cstheme="majorBidi"/>
          <w:lang w:val="en-CA" w:eastAsia="zh-CN"/>
        </w:rPr>
        <w:t xml:space="preserve"> </w:t>
      </w:r>
      <w:r w:rsidRPr="004C2A8C">
        <w:rPr>
          <w:rFonts w:asciiTheme="majorBidi" w:eastAsia="SimSun" w:hAnsiTheme="majorBidi" w:cstheme="majorBidi"/>
          <w:lang w:val="en-CA" w:eastAsia="zh-CN"/>
        </w:rPr>
        <w:t>Strengthen</w:t>
      </w:r>
      <w:r w:rsidRPr="003977BC">
        <w:rPr>
          <w:rFonts w:asciiTheme="majorBidi" w:eastAsia="SimSun" w:hAnsiTheme="majorBidi" w:cstheme="majorBidi"/>
          <w:lang w:val="en-CA" w:eastAsia="zh-CN"/>
        </w:rPr>
        <w:t xml:space="preserve">ing the involvement of industry at all levels </w:t>
      </w:r>
      <w:r w:rsidRPr="001972BC">
        <w:rPr>
          <w:rFonts w:asciiTheme="majorBidi" w:eastAsia="SimSun" w:hAnsiTheme="majorBidi" w:cstheme="majorBidi"/>
          <w:lang w:val="en-CA" w:eastAsia="zh-CN"/>
        </w:rPr>
        <w:t>can also be achieved by either strengthening existing</w:t>
      </w:r>
      <w:r w:rsidR="009D7332">
        <w:rPr>
          <w:rFonts w:asciiTheme="majorBidi" w:eastAsia="SimSun" w:hAnsiTheme="majorBidi" w:cstheme="majorBidi"/>
          <w:lang w:val="en-CA" w:eastAsia="zh-CN"/>
        </w:rPr>
        <w:t xml:space="preserve"> economic instruments</w:t>
      </w:r>
      <w:r w:rsidRPr="001972BC">
        <w:rPr>
          <w:rFonts w:asciiTheme="majorBidi" w:eastAsia="SimSun" w:hAnsiTheme="majorBidi" w:cstheme="majorBidi"/>
          <w:lang w:val="en-CA" w:eastAsia="zh-CN"/>
        </w:rPr>
        <w:t xml:space="preserve"> or developing new and innovative</w:t>
      </w:r>
      <w:r w:rsidR="009D7332">
        <w:rPr>
          <w:rFonts w:asciiTheme="majorBidi" w:eastAsia="SimSun" w:hAnsiTheme="majorBidi" w:cstheme="majorBidi"/>
          <w:lang w:val="en-CA" w:eastAsia="zh-CN"/>
        </w:rPr>
        <w:t xml:space="preserve"> ones</w:t>
      </w:r>
      <w:r w:rsidRPr="001972BC">
        <w:rPr>
          <w:rFonts w:asciiTheme="majorBidi" w:eastAsia="SimSun" w:hAnsiTheme="majorBidi" w:cstheme="majorBidi"/>
          <w:lang w:val="en-CA" w:eastAsia="zh-CN"/>
        </w:rPr>
        <w:t xml:space="preserve"> to support </w:t>
      </w:r>
      <w:r w:rsidR="005A4E4D">
        <w:rPr>
          <w:rFonts w:asciiTheme="majorBidi" w:eastAsia="SimSun" w:hAnsiTheme="majorBidi" w:cstheme="majorBidi"/>
          <w:lang w:val="en-CA" w:eastAsia="zh-CN"/>
        </w:rPr>
        <w:t xml:space="preserve">the </w:t>
      </w:r>
      <w:r w:rsidRPr="001972BC">
        <w:rPr>
          <w:rFonts w:asciiTheme="majorBidi" w:eastAsia="SimSun" w:hAnsiTheme="majorBidi" w:cstheme="majorBidi"/>
          <w:lang w:val="en-CA" w:eastAsia="zh-CN"/>
        </w:rPr>
        <w:t>sound management of chemicals and waste. This can include, for example, the use of environmental performance bonds in conjunction with environmental assessment approvals or industrial permitting processes.</w:t>
      </w:r>
      <w:r w:rsidR="00827EEE">
        <w:rPr>
          <w:rFonts w:asciiTheme="majorBidi" w:eastAsia="SimSun" w:hAnsiTheme="majorBidi" w:cstheme="majorBidi"/>
          <w:lang w:val="en-CA" w:eastAsia="zh-CN"/>
        </w:rPr>
        <w:t xml:space="preserve"> </w:t>
      </w:r>
    </w:p>
    <w:p w14:paraId="53C44627" w14:textId="13246D2E" w:rsidR="00EF688E" w:rsidRDefault="00EF688E" w:rsidP="006365AD">
      <w:pPr>
        <w:pStyle w:val="Normalnumber"/>
        <w:numPr>
          <w:ilvl w:val="0"/>
          <w:numId w:val="7"/>
        </w:numPr>
        <w:tabs>
          <w:tab w:val="clear" w:pos="1871"/>
          <w:tab w:val="clear" w:pos="2495"/>
        </w:tabs>
        <w:rPr>
          <w:rFonts w:asciiTheme="majorBidi" w:eastAsia="SimSun" w:hAnsiTheme="majorBidi" w:cstheme="majorBidi"/>
          <w:lang w:val="en-CA" w:eastAsia="zh-CN"/>
        </w:rPr>
      </w:pPr>
      <w:r w:rsidRPr="00896211">
        <w:rPr>
          <w:rFonts w:asciiTheme="majorBidi" w:eastAsia="SimSun" w:hAnsiTheme="majorBidi" w:cstheme="majorBidi"/>
          <w:lang w:val="en-CA" w:eastAsia="zh-CN"/>
        </w:rPr>
        <w:t>Another i</w:t>
      </w:r>
      <w:r>
        <w:rPr>
          <w:rFonts w:asciiTheme="majorBidi" w:eastAsia="SimSun" w:hAnsiTheme="majorBidi" w:cstheme="majorBidi"/>
          <w:lang w:val="en-CA" w:eastAsia="zh-CN"/>
        </w:rPr>
        <w:t>mportant finding is the recognition of the need to l</w:t>
      </w:r>
      <w:r w:rsidRPr="001972BC">
        <w:rPr>
          <w:rFonts w:asciiTheme="majorBidi" w:eastAsia="SimSun" w:hAnsiTheme="majorBidi" w:cstheme="majorBidi"/>
          <w:lang w:val="en-CA" w:eastAsia="zh-CN"/>
        </w:rPr>
        <w:t xml:space="preserve">ink chemicals and waste management to broader macroeconomic analysis and </w:t>
      </w:r>
      <w:r w:rsidRPr="00A05B00">
        <w:rPr>
          <w:rFonts w:asciiTheme="majorBidi" w:eastAsia="SimSun" w:hAnsiTheme="majorBidi" w:cstheme="majorBidi"/>
          <w:lang w:val="en-CA" w:eastAsia="zh-CN"/>
        </w:rPr>
        <w:t>policy reform</w:t>
      </w:r>
      <w:r w:rsidR="009D7332" w:rsidRPr="00A05B00">
        <w:rPr>
          <w:rFonts w:asciiTheme="majorBidi" w:eastAsia="SimSun" w:hAnsiTheme="majorBidi" w:cstheme="majorBidi"/>
          <w:lang w:val="en-CA" w:eastAsia="zh-CN"/>
        </w:rPr>
        <w:t>s</w:t>
      </w:r>
      <w:r w:rsidRPr="00A05B00">
        <w:rPr>
          <w:rFonts w:asciiTheme="majorBidi" w:eastAsia="SimSun" w:hAnsiTheme="majorBidi" w:cstheme="majorBidi"/>
          <w:lang w:val="en-CA" w:eastAsia="zh-CN"/>
        </w:rPr>
        <w:t xml:space="preserve"> that seek to</w:t>
      </w:r>
      <w:r w:rsidR="005A4E4D" w:rsidRPr="00A05B00">
        <w:rPr>
          <w:rFonts w:asciiTheme="majorBidi" w:eastAsia="SimSun" w:hAnsiTheme="majorBidi" w:cstheme="majorBidi"/>
          <w:lang w:val="en-CA" w:eastAsia="zh-CN"/>
        </w:rPr>
        <w:t xml:space="preserve"> achieve the</w:t>
      </w:r>
      <w:r w:rsidRPr="00A05B00">
        <w:rPr>
          <w:rFonts w:asciiTheme="majorBidi" w:eastAsia="SimSun" w:hAnsiTheme="majorBidi" w:cstheme="majorBidi"/>
          <w:lang w:val="en-CA" w:eastAsia="zh-CN"/>
        </w:rPr>
        <w:t xml:space="preserve"> implement</w:t>
      </w:r>
      <w:r w:rsidR="005A4E4D" w:rsidRPr="00A05B00">
        <w:rPr>
          <w:rFonts w:asciiTheme="majorBidi" w:eastAsia="SimSun" w:hAnsiTheme="majorBidi" w:cstheme="majorBidi"/>
          <w:lang w:val="en-CA" w:eastAsia="zh-CN"/>
        </w:rPr>
        <w:t>ation of the</w:t>
      </w:r>
      <w:r w:rsidRPr="00A05B00">
        <w:rPr>
          <w:rFonts w:asciiTheme="majorBidi" w:eastAsia="SimSun" w:hAnsiTheme="majorBidi" w:cstheme="majorBidi"/>
          <w:lang w:val="en-CA" w:eastAsia="zh-CN"/>
        </w:rPr>
        <w:t xml:space="preserve"> Sustainable Development Goals and the Green Economy agenda. </w:t>
      </w:r>
      <w:r w:rsidR="005A4E4D" w:rsidRPr="00A05B00">
        <w:rPr>
          <w:rFonts w:asciiTheme="majorBidi" w:eastAsia="SimSun" w:hAnsiTheme="majorBidi" w:cstheme="majorBidi"/>
          <w:lang w:val="en-CA" w:eastAsia="zh-CN"/>
        </w:rPr>
        <w:t xml:space="preserve">In order to </w:t>
      </w:r>
      <w:r w:rsidRPr="00A05B00">
        <w:rPr>
          <w:rFonts w:asciiTheme="majorBidi" w:eastAsia="SimSun" w:hAnsiTheme="majorBidi" w:cstheme="majorBidi"/>
          <w:lang w:val="en-CA" w:eastAsia="zh-CN"/>
        </w:rPr>
        <w:t xml:space="preserve">advance these objectives, </w:t>
      </w:r>
      <w:r w:rsidR="005A4E4D" w:rsidRPr="00A05B00">
        <w:rPr>
          <w:rFonts w:asciiTheme="majorBidi" w:eastAsia="SimSun" w:hAnsiTheme="majorBidi" w:cstheme="majorBidi"/>
          <w:lang w:val="en-CA" w:eastAsia="zh-CN"/>
        </w:rPr>
        <w:t xml:space="preserve">the </w:t>
      </w:r>
      <w:r w:rsidRPr="00A05B00">
        <w:rPr>
          <w:rFonts w:asciiTheme="majorBidi" w:eastAsia="SimSun" w:hAnsiTheme="majorBidi" w:cstheme="majorBidi"/>
          <w:lang w:val="en-CA" w:eastAsia="zh-CN"/>
        </w:rPr>
        <w:t xml:space="preserve">involvement and engagement of various sectors of industry and other stakeholders, as well as a collaborative framework between sectors and the public authorities, </w:t>
      </w:r>
      <w:r w:rsidR="009D7332" w:rsidRPr="00A05B00">
        <w:rPr>
          <w:rFonts w:asciiTheme="majorBidi" w:eastAsia="SimSun" w:hAnsiTheme="majorBidi" w:cstheme="majorBidi"/>
          <w:lang w:val="en-CA" w:eastAsia="zh-CN"/>
        </w:rPr>
        <w:t>are</w:t>
      </w:r>
      <w:r w:rsidRPr="001972BC">
        <w:rPr>
          <w:rFonts w:asciiTheme="majorBidi" w:eastAsia="SimSun" w:hAnsiTheme="majorBidi" w:cstheme="majorBidi"/>
          <w:lang w:val="en-CA" w:eastAsia="zh-CN"/>
        </w:rPr>
        <w:t xml:space="preserve"> needed.</w:t>
      </w:r>
    </w:p>
    <w:p w14:paraId="2BC42C12" w14:textId="70512E84" w:rsidR="00EF688E" w:rsidRDefault="00EF688E" w:rsidP="006365AD">
      <w:pPr>
        <w:pStyle w:val="Normalnumber"/>
        <w:numPr>
          <w:ilvl w:val="0"/>
          <w:numId w:val="7"/>
        </w:numPr>
        <w:tabs>
          <w:tab w:val="clear" w:pos="1871"/>
          <w:tab w:val="clear" w:pos="2495"/>
        </w:tabs>
      </w:pPr>
      <w:r>
        <w:t xml:space="preserve">The outcomes of the analysis </w:t>
      </w:r>
      <w:r w:rsidRPr="00F263FD">
        <w:t>w</w:t>
      </w:r>
      <w:r>
        <w:t>ere</w:t>
      </w:r>
      <w:r w:rsidRPr="00F263FD">
        <w:t xml:space="preserve"> presented as an information </w:t>
      </w:r>
      <w:r w:rsidRPr="006365AD">
        <w:rPr>
          <w:rFonts w:asciiTheme="majorBidi" w:eastAsia="SimSun" w:hAnsiTheme="majorBidi" w:cstheme="majorBidi"/>
          <w:lang w:val="en-CA" w:eastAsia="zh-CN"/>
        </w:rPr>
        <w:t xml:space="preserve">document to </w:t>
      </w:r>
      <w:r w:rsidR="005A4E4D" w:rsidRPr="006365AD">
        <w:rPr>
          <w:rFonts w:asciiTheme="majorBidi" w:eastAsia="SimSun" w:hAnsiTheme="majorBidi" w:cstheme="majorBidi"/>
          <w:lang w:val="en-CA" w:eastAsia="zh-CN"/>
        </w:rPr>
        <w:t>the International Conference on Chemicals Management at its fourth session</w:t>
      </w:r>
      <w:r w:rsidR="009D7332">
        <w:rPr>
          <w:rFonts w:asciiTheme="majorBidi" w:eastAsia="SimSun" w:hAnsiTheme="majorBidi" w:cstheme="majorBidi"/>
          <w:lang w:val="en-CA" w:eastAsia="zh-CN"/>
        </w:rPr>
        <w:t>,</w:t>
      </w:r>
      <w:r w:rsidR="005A4E4D" w:rsidRPr="006365AD">
        <w:rPr>
          <w:rFonts w:asciiTheme="majorBidi" w:eastAsia="SimSun" w:hAnsiTheme="majorBidi" w:cstheme="majorBidi"/>
          <w:lang w:val="en-CA" w:eastAsia="zh-CN"/>
        </w:rPr>
        <w:t xml:space="preserve"> in </w:t>
      </w:r>
      <w:r w:rsidRPr="006365AD">
        <w:rPr>
          <w:rFonts w:asciiTheme="majorBidi" w:eastAsia="SimSun" w:hAnsiTheme="majorBidi" w:cstheme="majorBidi"/>
          <w:lang w:val="en-CA" w:eastAsia="zh-CN"/>
        </w:rPr>
        <w:t>September 2015</w:t>
      </w:r>
      <w:r w:rsidR="005A4E4D" w:rsidRPr="006365AD">
        <w:rPr>
          <w:rFonts w:asciiTheme="majorBidi" w:eastAsia="SimSun" w:hAnsiTheme="majorBidi" w:cstheme="majorBidi"/>
          <w:lang w:val="en-CA" w:eastAsia="zh-CN"/>
        </w:rPr>
        <w:t xml:space="preserve"> (SAICM/ICCM.4/INF/</w:t>
      </w:r>
      <w:r w:rsidR="008E6FF9" w:rsidRPr="006365AD">
        <w:rPr>
          <w:rFonts w:asciiTheme="majorBidi" w:eastAsia="SimSun" w:hAnsiTheme="majorBidi" w:cstheme="majorBidi"/>
          <w:lang w:val="en-CA" w:eastAsia="zh-CN"/>
        </w:rPr>
        <w:t>1</w:t>
      </w:r>
      <w:r w:rsidR="008E6FF9">
        <w:rPr>
          <w:rFonts w:asciiTheme="majorBidi" w:eastAsia="SimSun" w:hAnsiTheme="majorBidi" w:cstheme="majorBidi"/>
          <w:lang w:val="en-CA" w:eastAsia="zh-CN"/>
        </w:rPr>
        <w:t>3</w:t>
      </w:r>
      <w:r w:rsidR="005A4E4D" w:rsidRPr="006365AD">
        <w:rPr>
          <w:rFonts w:asciiTheme="majorBidi" w:eastAsia="SimSun" w:hAnsiTheme="majorBidi" w:cstheme="majorBidi"/>
          <w:lang w:val="en-CA" w:eastAsia="zh-CN"/>
        </w:rPr>
        <w:t>)</w:t>
      </w:r>
      <w:r w:rsidRPr="006365AD">
        <w:rPr>
          <w:rFonts w:asciiTheme="majorBidi" w:eastAsia="SimSun" w:hAnsiTheme="majorBidi" w:cstheme="majorBidi"/>
          <w:lang w:val="en-CA" w:eastAsia="zh-CN"/>
        </w:rPr>
        <w:t>.</w:t>
      </w:r>
    </w:p>
    <w:p w14:paraId="1FDB8994" w14:textId="77777777" w:rsidR="00EF688E" w:rsidRPr="009A533B" w:rsidRDefault="00FC2CE7" w:rsidP="00FC2CE7">
      <w:pPr>
        <w:pStyle w:val="CH2"/>
      </w:pPr>
      <w:r>
        <w:tab/>
      </w:r>
      <w:r w:rsidR="00EF688E" w:rsidRPr="009A533B">
        <w:t>C.</w:t>
      </w:r>
      <w:r w:rsidR="00EF688E" w:rsidRPr="009A533B">
        <w:tab/>
        <w:t>Dedicated external financing</w:t>
      </w:r>
    </w:p>
    <w:p w14:paraId="4439C0D7" w14:textId="77777777" w:rsidR="00EF688E" w:rsidRPr="009A533B" w:rsidRDefault="00C97677" w:rsidP="006365AD">
      <w:pPr>
        <w:pStyle w:val="CH3"/>
      </w:pPr>
      <w:r>
        <w:tab/>
        <w:t>1.</w:t>
      </w:r>
      <w:r>
        <w:tab/>
      </w:r>
      <w:r w:rsidR="00EF688E" w:rsidRPr="009A533B">
        <w:t>Introduction</w:t>
      </w:r>
    </w:p>
    <w:p w14:paraId="76A7DC48" w14:textId="3919A74B" w:rsidR="00EF688E" w:rsidRPr="00683FF7" w:rsidRDefault="00EF688E" w:rsidP="006365AD">
      <w:pPr>
        <w:pStyle w:val="Normalnumber"/>
        <w:numPr>
          <w:ilvl w:val="0"/>
          <w:numId w:val="7"/>
        </w:numPr>
        <w:tabs>
          <w:tab w:val="clear" w:pos="1871"/>
          <w:tab w:val="clear" w:pos="2495"/>
        </w:tabs>
      </w:pPr>
      <w:r w:rsidRPr="00091970">
        <w:t>The dedicated</w:t>
      </w:r>
      <w:r w:rsidRPr="00683FF7">
        <w:t xml:space="preserve"> external financing component of the </w:t>
      </w:r>
      <w:r w:rsidR="00B00930">
        <w:t>i</w:t>
      </w:r>
      <w:r>
        <w:t xml:space="preserve">ntegrated </w:t>
      </w:r>
      <w:r w:rsidR="00B00930">
        <w:t>a</w:t>
      </w:r>
      <w:r>
        <w:t>pproach</w:t>
      </w:r>
      <w:r w:rsidRPr="00683FF7">
        <w:t xml:space="preserve"> contains the following </w:t>
      </w:r>
      <w:r>
        <w:t>two</w:t>
      </w:r>
      <w:r w:rsidRPr="00683FF7">
        <w:t xml:space="preserve"> elements: </w:t>
      </w:r>
    </w:p>
    <w:p w14:paraId="20BAB0BE" w14:textId="2833C4B6" w:rsidR="00EF688E" w:rsidRPr="001972BC" w:rsidRDefault="0007754A" w:rsidP="006365AD">
      <w:pPr>
        <w:pStyle w:val="Normalnumber"/>
        <w:numPr>
          <w:ilvl w:val="0"/>
          <w:numId w:val="84"/>
        </w:numPr>
        <w:tabs>
          <w:tab w:val="clear" w:pos="624"/>
          <w:tab w:val="clear" w:pos="1247"/>
          <w:tab w:val="clear" w:pos="1871"/>
          <w:tab w:val="clear" w:pos="2495"/>
        </w:tabs>
        <w:ind w:left="1247" w:firstLine="624"/>
        <w:rPr>
          <w:rFonts w:asciiTheme="majorBidi" w:hAnsiTheme="majorBidi" w:cstheme="majorBidi"/>
        </w:rPr>
      </w:pPr>
      <w:r>
        <w:rPr>
          <w:rFonts w:asciiTheme="majorBidi" w:hAnsiTheme="majorBidi" w:cstheme="majorBidi"/>
        </w:rPr>
        <w:lastRenderedPageBreak/>
        <w:t>T</w:t>
      </w:r>
      <w:r w:rsidRPr="001972BC">
        <w:rPr>
          <w:rFonts w:asciiTheme="majorBidi" w:hAnsiTheme="majorBidi" w:cstheme="majorBidi"/>
        </w:rPr>
        <w:t xml:space="preserve">he </w:t>
      </w:r>
      <w:r w:rsidR="00EF688E" w:rsidRPr="001972BC">
        <w:rPr>
          <w:rFonts w:asciiTheme="majorBidi" w:hAnsiTheme="majorBidi" w:cstheme="majorBidi"/>
        </w:rPr>
        <w:t xml:space="preserve">Global Environment Facility; and </w:t>
      </w:r>
    </w:p>
    <w:p w14:paraId="351B22CB" w14:textId="02622D21" w:rsidR="00EF688E" w:rsidRPr="00B500DE" w:rsidRDefault="0007754A" w:rsidP="006365AD">
      <w:pPr>
        <w:pStyle w:val="Normalnumber"/>
        <w:numPr>
          <w:ilvl w:val="0"/>
          <w:numId w:val="84"/>
        </w:numPr>
        <w:tabs>
          <w:tab w:val="clear" w:pos="624"/>
          <w:tab w:val="clear" w:pos="1247"/>
          <w:tab w:val="clear" w:pos="1871"/>
          <w:tab w:val="clear" w:pos="2495"/>
        </w:tabs>
        <w:ind w:left="1247" w:firstLine="624"/>
      </w:pPr>
      <w:r>
        <w:rPr>
          <w:rFonts w:asciiTheme="majorBidi" w:hAnsiTheme="majorBidi" w:cstheme="majorBidi"/>
        </w:rPr>
        <w:t>T</w:t>
      </w:r>
      <w:r w:rsidR="00EF688E" w:rsidRPr="001972BC">
        <w:rPr>
          <w:rFonts w:asciiTheme="majorBidi" w:hAnsiTheme="majorBidi" w:cstheme="majorBidi"/>
        </w:rPr>
        <w:t xml:space="preserve">he Special </w:t>
      </w:r>
      <w:r w:rsidR="00EF688E">
        <w:rPr>
          <w:rFonts w:asciiTheme="majorBidi" w:hAnsiTheme="majorBidi" w:cstheme="majorBidi"/>
        </w:rPr>
        <w:t>P</w:t>
      </w:r>
      <w:r w:rsidR="00EF688E" w:rsidRPr="001972BC">
        <w:rPr>
          <w:rFonts w:asciiTheme="majorBidi" w:hAnsiTheme="majorBidi" w:cstheme="majorBidi"/>
        </w:rPr>
        <w:t>rogramme to support institutional strengthening at the national level for the implementation</w:t>
      </w:r>
      <w:r w:rsidR="00EF688E">
        <w:t xml:space="preserve"> of the Basel, Rotterdam and Stockholm </w:t>
      </w:r>
      <w:r>
        <w:t>c</w:t>
      </w:r>
      <w:r w:rsidR="00EF688E">
        <w:t xml:space="preserve">onventions, </w:t>
      </w:r>
      <w:r>
        <w:t xml:space="preserve">the </w:t>
      </w:r>
      <w:r w:rsidR="00EF688E">
        <w:t xml:space="preserve">Minamata Convention and </w:t>
      </w:r>
      <w:r>
        <w:t>the Strategic Approach</w:t>
      </w:r>
      <w:r w:rsidRPr="00B500DE">
        <w:t>.</w:t>
      </w:r>
      <w:r w:rsidR="00EF688E" w:rsidRPr="00B500DE">
        <w:t xml:space="preserve"> </w:t>
      </w:r>
    </w:p>
    <w:p w14:paraId="6D12A14E" w14:textId="77777777" w:rsidR="00EF688E" w:rsidRPr="006365AD" w:rsidRDefault="00C97677" w:rsidP="006365AD">
      <w:pPr>
        <w:pStyle w:val="CH3"/>
      </w:pPr>
      <w:r w:rsidRPr="006365AD">
        <w:tab/>
        <w:t>2.</w:t>
      </w:r>
      <w:r w:rsidRPr="006365AD">
        <w:tab/>
      </w:r>
      <w:r w:rsidR="00EF688E" w:rsidRPr="006365AD">
        <w:t>Activities</w:t>
      </w:r>
    </w:p>
    <w:p w14:paraId="7EC32C30" w14:textId="6691C119" w:rsidR="00EF688E" w:rsidRPr="00B500DE" w:rsidRDefault="0007754A" w:rsidP="006365AD">
      <w:pPr>
        <w:pStyle w:val="Normalnumber"/>
        <w:numPr>
          <w:ilvl w:val="0"/>
          <w:numId w:val="7"/>
        </w:numPr>
        <w:tabs>
          <w:tab w:val="clear" w:pos="1871"/>
          <w:tab w:val="clear" w:pos="2495"/>
        </w:tabs>
      </w:pPr>
      <w:r w:rsidRPr="00091970">
        <w:t>At its first session</w:t>
      </w:r>
      <w:r w:rsidRPr="00B500DE">
        <w:t xml:space="preserve">, in 2014, </w:t>
      </w:r>
      <w:r w:rsidR="00EF688E" w:rsidRPr="00B500DE">
        <w:t xml:space="preserve">the United Nations Environment Assembly adopted in its </w:t>
      </w:r>
      <w:r w:rsidRPr="00B500DE">
        <w:t>r</w:t>
      </w:r>
      <w:r w:rsidR="00EF688E" w:rsidRPr="00B500DE">
        <w:t xml:space="preserve">esolution 1/5 the terms of reference for a </w:t>
      </w:r>
      <w:r w:rsidR="003C5C81">
        <w:t>s</w:t>
      </w:r>
      <w:r w:rsidR="003C5C81" w:rsidRPr="00B500DE">
        <w:t xml:space="preserve">pecial </w:t>
      </w:r>
      <w:r w:rsidR="003C5C81">
        <w:t>p</w:t>
      </w:r>
      <w:r w:rsidR="00EF688E" w:rsidRPr="00B500DE">
        <w:t>rogramme</w:t>
      </w:r>
      <w:r w:rsidR="00503C63">
        <w:t>,</w:t>
      </w:r>
      <w:r w:rsidR="00EF688E" w:rsidRPr="00B500DE">
        <w:t xml:space="preserve"> to be funded by voluntary contributions</w:t>
      </w:r>
      <w:r w:rsidR="00503C63">
        <w:t>,</w:t>
      </w:r>
      <w:r w:rsidR="00EF688E" w:rsidRPr="00B500DE">
        <w:t xml:space="preserve"> to support institutional strengthening at the national level to enhance the implementation of the Basel, Rotterdam and Stockholm conventions, the Minamata Convention and the Strategic Approach.</w:t>
      </w:r>
    </w:p>
    <w:p w14:paraId="20831B36" w14:textId="77B211F1" w:rsidR="00EF688E" w:rsidRPr="00F406D3" w:rsidRDefault="00EF688E" w:rsidP="006365AD">
      <w:pPr>
        <w:pStyle w:val="Normalnumber"/>
        <w:numPr>
          <w:ilvl w:val="0"/>
          <w:numId w:val="7"/>
        </w:numPr>
        <w:tabs>
          <w:tab w:val="clear" w:pos="1871"/>
          <w:tab w:val="clear" w:pos="2495"/>
        </w:tabs>
      </w:pPr>
      <w:r w:rsidRPr="000371C8">
        <w:t>The secretariat</w:t>
      </w:r>
      <w:r w:rsidRPr="005E446C">
        <w:t xml:space="preserve"> </w:t>
      </w:r>
      <w:r w:rsidRPr="000371C8">
        <w:t>of the Special Programme</w:t>
      </w:r>
      <w:r>
        <w:t xml:space="preserve"> is hosted within the Chemicals and Waste Branch of </w:t>
      </w:r>
      <w:r w:rsidR="00396D74">
        <w:t xml:space="preserve">the </w:t>
      </w:r>
      <w:r>
        <w:t xml:space="preserve">UNEP </w:t>
      </w:r>
      <w:r w:rsidRPr="00836AD8">
        <w:rPr>
          <w:lang w:val="en-US"/>
        </w:rPr>
        <w:t>Division of Technology, Industry and Economics</w:t>
      </w:r>
      <w:r>
        <w:t>. It</w:t>
      </w:r>
      <w:r w:rsidR="00827EEE">
        <w:t xml:space="preserve"> </w:t>
      </w:r>
      <w:r w:rsidRPr="000371C8">
        <w:t xml:space="preserve">became operational in 2015 with the </w:t>
      </w:r>
      <w:r>
        <w:t>appointment</w:t>
      </w:r>
      <w:r w:rsidRPr="000371C8">
        <w:t xml:space="preserve"> of a Programme Officer to the secretariat. The Trust Fund for the Special Programme </w:t>
      </w:r>
      <w:r>
        <w:t xml:space="preserve">was </w:t>
      </w:r>
      <w:r w:rsidRPr="000371C8">
        <w:t xml:space="preserve">established </w:t>
      </w:r>
      <w:r>
        <w:t xml:space="preserve">at </w:t>
      </w:r>
      <w:r w:rsidRPr="000371C8">
        <w:t>United Nations Headquarters and</w:t>
      </w:r>
      <w:r>
        <w:t xml:space="preserve"> is </w:t>
      </w:r>
      <w:r w:rsidRPr="000371C8">
        <w:t xml:space="preserve">open </w:t>
      </w:r>
      <w:r w:rsidR="007E6A9C">
        <w:t>for</w:t>
      </w:r>
      <w:r w:rsidRPr="000371C8">
        <w:t xml:space="preserve"> </w:t>
      </w:r>
      <w:r w:rsidRPr="006365AD">
        <w:rPr>
          <w:lang w:val="en-US"/>
        </w:rPr>
        <w:t>receiv</w:t>
      </w:r>
      <w:r w:rsidR="007E6A9C" w:rsidRPr="006365AD">
        <w:rPr>
          <w:lang w:val="en-US"/>
        </w:rPr>
        <w:t>ing</w:t>
      </w:r>
      <w:r w:rsidRPr="006365AD">
        <w:rPr>
          <w:lang w:val="en-US"/>
        </w:rPr>
        <w:t xml:space="preserve"> funds. Significant contributions have been pledged to the Special </w:t>
      </w:r>
      <w:proofErr w:type="spellStart"/>
      <w:r w:rsidRPr="006365AD">
        <w:rPr>
          <w:lang w:val="en-US"/>
        </w:rPr>
        <w:t>Programme</w:t>
      </w:r>
      <w:proofErr w:type="spellEnd"/>
      <w:r w:rsidRPr="006365AD">
        <w:rPr>
          <w:lang w:val="en-US"/>
        </w:rPr>
        <w:t xml:space="preserve">, </w:t>
      </w:r>
      <w:r w:rsidR="00503C63">
        <w:rPr>
          <w:lang w:val="en-US"/>
        </w:rPr>
        <w:t xml:space="preserve">including, </w:t>
      </w:r>
      <w:r w:rsidRPr="006365AD">
        <w:rPr>
          <w:lang w:val="en-US"/>
        </w:rPr>
        <w:t xml:space="preserve">as </w:t>
      </w:r>
      <w:r w:rsidR="00091970">
        <w:rPr>
          <w:lang w:val="en-US"/>
        </w:rPr>
        <w:t>at</w:t>
      </w:r>
      <w:r w:rsidR="00091970" w:rsidRPr="006365AD">
        <w:rPr>
          <w:lang w:val="en-US"/>
        </w:rPr>
        <w:t xml:space="preserve"> </w:t>
      </w:r>
      <w:r w:rsidRPr="006365AD">
        <w:rPr>
          <w:lang w:val="en-US"/>
        </w:rPr>
        <w:t>February 2016</w:t>
      </w:r>
      <w:r w:rsidR="00503C63">
        <w:rPr>
          <w:lang w:val="en-US"/>
        </w:rPr>
        <w:t>,</w:t>
      </w:r>
      <w:r w:rsidR="00827EEE" w:rsidRPr="006365AD">
        <w:rPr>
          <w:lang w:val="en-US"/>
        </w:rPr>
        <w:t xml:space="preserve"> </w:t>
      </w:r>
      <w:r w:rsidR="007E6A9C" w:rsidRPr="006365AD">
        <w:rPr>
          <w:lang w:val="en-US"/>
        </w:rPr>
        <w:t>€</w:t>
      </w:r>
      <w:r w:rsidRPr="006365AD">
        <w:rPr>
          <w:lang w:val="en-US"/>
        </w:rPr>
        <w:t>11 million</w:t>
      </w:r>
      <w:r w:rsidRPr="000371C8">
        <w:t xml:space="preserve"> from the European Union, </w:t>
      </w:r>
      <w:r w:rsidR="007E6A9C" w:rsidRPr="00EB648B">
        <w:rPr>
          <w:lang w:val="en-US"/>
        </w:rPr>
        <w:t>€</w:t>
      </w:r>
      <w:r w:rsidRPr="006365AD">
        <w:rPr>
          <w:lang w:val="en-US"/>
        </w:rPr>
        <w:t>200</w:t>
      </w:r>
      <w:r w:rsidRPr="00F406D3">
        <w:t xml:space="preserve">,000 from the Government of Finland, </w:t>
      </w:r>
      <w:r w:rsidR="007E6A9C" w:rsidRPr="00EB648B">
        <w:rPr>
          <w:lang w:val="en-US"/>
        </w:rPr>
        <w:t>€</w:t>
      </w:r>
      <w:r>
        <w:t xml:space="preserve">180,000 from the Government of Germany, </w:t>
      </w:r>
      <w:r w:rsidR="007E6A9C">
        <w:t>$</w:t>
      </w:r>
      <w:r w:rsidRPr="00F406D3">
        <w:t xml:space="preserve">180,000 from the Government of Sweden and </w:t>
      </w:r>
      <w:r w:rsidR="007E6A9C">
        <w:t>$</w:t>
      </w:r>
      <w:r w:rsidRPr="00F406D3">
        <w:t xml:space="preserve">750,000 from the Government of </w:t>
      </w:r>
      <w:r w:rsidR="007E6A9C">
        <w:t>the United States of America</w:t>
      </w:r>
      <w:r w:rsidRPr="00F406D3">
        <w:t>.</w:t>
      </w:r>
    </w:p>
    <w:p w14:paraId="60B79E23" w14:textId="00A9C223" w:rsidR="00EF688E" w:rsidRPr="00587538" w:rsidRDefault="00EF688E" w:rsidP="006365AD">
      <w:pPr>
        <w:pStyle w:val="Normalnumber"/>
        <w:numPr>
          <w:ilvl w:val="0"/>
          <w:numId w:val="7"/>
        </w:numPr>
        <w:tabs>
          <w:tab w:val="clear" w:pos="1871"/>
          <w:tab w:val="clear" w:pos="2495"/>
        </w:tabs>
      </w:pPr>
      <w:r w:rsidRPr="00BB0499">
        <w:t>The Executive Board</w:t>
      </w:r>
      <w:r w:rsidRPr="00F406D3">
        <w:t xml:space="preserve"> of the Special Programme has </w:t>
      </w:r>
      <w:r w:rsidRPr="005D6606">
        <w:t xml:space="preserve">been established. The representatives </w:t>
      </w:r>
      <w:r w:rsidR="00C57A0E" w:rsidRPr="005D6606">
        <w:t xml:space="preserve">of </w:t>
      </w:r>
      <w:r w:rsidRPr="005D6606">
        <w:t xml:space="preserve">recipient countries </w:t>
      </w:r>
      <w:r w:rsidR="00C57A0E" w:rsidRPr="005D6606">
        <w:t xml:space="preserve">on the Executive Board </w:t>
      </w:r>
      <w:r w:rsidRPr="005D6606">
        <w:t xml:space="preserve">are as follows: Kenya representing Africa, Brazil representing Latin America and the Caribbean, </w:t>
      </w:r>
      <w:r w:rsidR="00C57A0E" w:rsidRPr="005D6606">
        <w:t>the f</w:t>
      </w:r>
      <w:r w:rsidRPr="005D6606">
        <w:t>ormer</w:t>
      </w:r>
      <w:r w:rsidR="00827EEE" w:rsidRPr="005D6606">
        <w:t xml:space="preserve"> </w:t>
      </w:r>
      <w:r w:rsidRPr="00F406E1">
        <w:t xml:space="preserve">Yugoslav Republic of Macedonia representing Central and Eastern Europe, and Yemen representing least developed countries and small island developing States. The country </w:t>
      </w:r>
      <w:r w:rsidR="00E76E78" w:rsidRPr="00F406E1">
        <w:t xml:space="preserve">that will </w:t>
      </w:r>
      <w:r w:rsidRPr="00F406E1">
        <w:t>represent Asia and the Pacific is still to be decided. The donor representatives on the Executive Board are the European Union, Finland</w:t>
      </w:r>
      <w:r w:rsidR="00C57A0E" w:rsidRPr="00F406E1">
        <w:t>,</w:t>
      </w:r>
      <w:r w:rsidRPr="00F406E1">
        <w:t xml:space="preserve"> Germany</w:t>
      </w:r>
      <w:r w:rsidR="00091970" w:rsidRPr="00F406E1">
        <w:t>, Sweden</w:t>
      </w:r>
      <w:r w:rsidRPr="00F406E1">
        <w:t xml:space="preserve"> and the U</w:t>
      </w:r>
      <w:r w:rsidR="00C57A0E" w:rsidRPr="00F406E1">
        <w:t>nited States</w:t>
      </w:r>
      <w:r w:rsidRPr="00F406E1">
        <w:t>.</w:t>
      </w:r>
    </w:p>
    <w:p w14:paraId="7F3A9567" w14:textId="0AB945C4" w:rsidR="00EF688E" w:rsidRDefault="00EF688E" w:rsidP="006365AD">
      <w:pPr>
        <w:pStyle w:val="Normalnumber"/>
        <w:numPr>
          <w:ilvl w:val="0"/>
          <w:numId w:val="7"/>
        </w:numPr>
        <w:tabs>
          <w:tab w:val="clear" w:pos="1871"/>
          <w:tab w:val="clear" w:pos="2495"/>
        </w:tabs>
      </w:pPr>
      <w:r w:rsidRPr="00095E26">
        <w:t>At the invitation</w:t>
      </w:r>
      <w:r>
        <w:t xml:space="preserve"> of UNEP, the </w:t>
      </w:r>
      <w:r w:rsidR="00C57A0E">
        <w:t>s</w:t>
      </w:r>
      <w:r>
        <w:t xml:space="preserve">ecretariat of the Basel, Rotterdam and Stockholm conventions, the interim </w:t>
      </w:r>
      <w:r w:rsidR="00C57A0E">
        <w:t>s</w:t>
      </w:r>
      <w:r>
        <w:t xml:space="preserve">ecretariat of the </w:t>
      </w:r>
      <w:proofErr w:type="spellStart"/>
      <w:r>
        <w:t>Minamata</w:t>
      </w:r>
      <w:proofErr w:type="spellEnd"/>
      <w:r>
        <w:t xml:space="preserve"> Convention and the </w:t>
      </w:r>
      <w:r w:rsidR="00C57A0E">
        <w:t>s</w:t>
      </w:r>
      <w:r>
        <w:t xml:space="preserve">ecretariat of </w:t>
      </w:r>
      <w:r w:rsidR="00C57A0E">
        <w:t>the Strategic Approach</w:t>
      </w:r>
      <w:r>
        <w:t xml:space="preserve"> are members of an internal task team o</w:t>
      </w:r>
      <w:r w:rsidR="00C57A0E">
        <w:t>f</w:t>
      </w:r>
      <w:r>
        <w:t xml:space="preserve"> the Special Programme. The task team brings together internal expertise and experience in the administration of similar programmes, identifies lessons learned and best practices, and supports the </w:t>
      </w:r>
      <w:r w:rsidR="00044652">
        <w:t>implementation</w:t>
      </w:r>
      <w:r>
        <w:t xml:space="preserve"> of the Special Programme.</w:t>
      </w:r>
    </w:p>
    <w:p w14:paraId="6A291216" w14:textId="00A398E7" w:rsidR="00EF688E" w:rsidRDefault="00EF688E" w:rsidP="006365AD">
      <w:pPr>
        <w:pStyle w:val="Normalnumber"/>
        <w:numPr>
          <w:ilvl w:val="0"/>
          <w:numId w:val="7"/>
        </w:numPr>
        <w:tabs>
          <w:tab w:val="clear" w:pos="1871"/>
          <w:tab w:val="clear" w:pos="2495"/>
        </w:tabs>
      </w:pPr>
      <w:r>
        <w:t xml:space="preserve">The </w:t>
      </w:r>
      <w:r w:rsidR="00AA0B1C">
        <w:t>s</w:t>
      </w:r>
      <w:r>
        <w:t xml:space="preserve">ecretariat of the Basel, Rotterdam and Stockholm conventions reported back to the </w:t>
      </w:r>
      <w:r w:rsidR="00AA0B1C">
        <w:t>c</w:t>
      </w:r>
      <w:r>
        <w:t xml:space="preserve">onferences of the </w:t>
      </w:r>
      <w:r w:rsidR="00AA0B1C">
        <w:t>p</w:t>
      </w:r>
      <w:r>
        <w:t xml:space="preserve">arties in 2015 on its efforts to </w:t>
      </w:r>
      <w:r w:rsidRPr="00843D24">
        <w:t xml:space="preserve">implement the </w:t>
      </w:r>
      <w:r>
        <w:t>dedicated external financing</w:t>
      </w:r>
      <w:r w:rsidRPr="00843D24">
        <w:t xml:space="preserve"> component</w:t>
      </w:r>
      <w:r w:rsidR="00AA0B1C">
        <w:t>.</w:t>
      </w:r>
      <w:r>
        <w:rPr>
          <w:rStyle w:val="FootnoteReference"/>
        </w:rPr>
        <w:footnoteReference w:id="6"/>
      </w:r>
      <w:r>
        <w:t xml:space="preserve"> Pursuant to the decisions on the implementation of the integrated approach adopted by the</w:t>
      </w:r>
      <w:r w:rsidR="00AA0B1C">
        <w:t xml:space="preserve"> conferences of the parties,</w:t>
      </w:r>
      <w:r>
        <w:rPr>
          <w:rStyle w:val="FootnoteReference"/>
        </w:rPr>
        <w:footnoteReference w:id="7"/>
      </w:r>
      <w:r>
        <w:t xml:space="preserve"> the Executive Secretary </w:t>
      </w:r>
      <w:r w:rsidRPr="00C3558F">
        <w:t>participate</w:t>
      </w:r>
      <w:r>
        <w:t>d</w:t>
      </w:r>
      <w:r w:rsidRPr="00C3558F">
        <w:t xml:space="preserve"> as an observer in the meetings of the </w:t>
      </w:r>
      <w:r w:rsidR="00AA0B1C">
        <w:t>E</w:t>
      </w:r>
      <w:r w:rsidRPr="00C3558F">
        <w:t xml:space="preserve">xecutive </w:t>
      </w:r>
      <w:r w:rsidR="00AA0B1C">
        <w:t>B</w:t>
      </w:r>
      <w:r w:rsidRPr="00C3558F">
        <w:t xml:space="preserve">oard of the </w:t>
      </w:r>
      <w:r w:rsidR="00AA0B1C">
        <w:t>S</w:t>
      </w:r>
      <w:r w:rsidRPr="00C3558F">
        <w:t xml:space="preserve">pecial </w:t>
      </w:r>
      <w:r w:rsidR="00AA0B1C">
        <w:t>P</w:t>
      </w:r>
      <w:r w:rsidRPr="00C3558F">
        <w:t>rogramme</w:t>
      </w:r>
      <w:r>
        <w:t xml:space="preserve">. As </w:t>
      </w:r>
      <w:r w:rsidR="00503C63">
        <w:t>was mentioned above</w:t>
      </w:r>
      <w:r>
        <w:t xml:space="preserve">, </w:t>
      </w:r>
      <w:r w:rsidRPr="00407E05">
        <w:t xml:space="preserve">the </w:t>
      </w:r>
      <w:r w:rsidR="00AA0B1C" w:rsidRPr="00B500DE">
        <w:t>s</w:t>
      </w:r>
      <w:r w:rsidRPr="00B500DE">
        <w:t xml:space="preserve">ecretariat </w:t>
      </w:r>
      <w:r w:rsidR="00AA0B1C" w:rsidRPr="00B500DE">
        <w:t xml:space="preserve">has </w:t>
      </w:r>
      <w:r w:rsidRPr="00B500DE">
        <w:t xml:space="preserve">also continued to cooperate, as appropriate, with the </w:t>
      </w:r>
      <w:r w:rsidR="00AA0B1C" w:rsidRPr="00B500DE">
        <w:t>s</w:t>
      </w:r>
      <w:r w:rsidRPr="00B500DE">
        <w:t>ecretariat of the Special Programm</w:t>
      </w:r>
      <w:r>
        <w:t>e.</w:t>
      </w:r>
      <w:r w:rsidR="00F406E1" w:rsidRPr="00646E5E">
        <w:t xml:space="preserve"> </w:t>
      </w:r>
      <w:r w:rsidR="00F406E1" w:rsidRPr="00982320">
        <w:rPr>
          <w:bCs/>
        </w:rPr>
        <w:t>On a related matter, during its 2015 meeting, the Conference of the Parties to the Basel Convention also mandated the Committee administering the Mechanism for Promoting Implementation and Compliance to undertake a further review of the implementation fund in the light of the experience of the Committee and other developments, including with respect to the Special Programme. The outcome of the review will be submitted to the Conference of the Parties at its thirteenth meeting in May 2017.</w:t>
      </w:r>
    </w:p>
    <w:p w14:paraId="731F2CDF" w14:textId="0E143D07" w:rsidR="00EF688E" w:rsidRDefault="00EF688E" w:rsidP="006365AD">
      <w:pPr>
        <w:pStyle w:val="Normalnumber"/>
        <w:numPr>
          <w:ilvl w:val="0"/>
          <w:numId w:val="7"/>
        </w:numPr>
        <w:tabs>
          <w:tab w:val="clear" w:pos="1871"/>
          <w:tab w:val="clear" w:pos="2495"/>
        </w:tabs>
      </w:pPr>
      <w:r w:rsidRPr="00896211">
        <w:t>The first meeting</w:t>
      </w:r>
      <w:r>
        <w:t xml:space="preserve"> of the Executive Board of the Special Programme was held </w:t>
      </w:r>
      <w:r w:rsidR="00E07004">
        <w:t>in Geneva on</w:t>
      </w:r>
      <w:r>
        <w:t xml:space="preserve"> 2 </w:t>
      </w:r>
      <w:r w:rsidR="00E07004">
        <w:t>and</w:t>
      </w:r>
      <w:r>
        <w:t xml:space="preserve"> 3</w:t>
      </w:r>
      <w:r w:rsidR="00E92D7D">
        <w:t> </w:t>
      </w:r>
      <w:r>
        <w:t xml:space="preserve">February 2016. The Executive Board approved ad interim </w:t>
      </w:r>
      <w:r w:rsidR="007F2146">
        <w:t>its</w:t>
      </w:r>
      <w:r>
        <w:t xml:space="preserve"> rules of procedure and the application guidelines and forms. The final approval of these documents </w:t>
      </w:r>
      <w:proofErr w:type="spellStart"/>
      <w:r w:rsidR="00F406E1">
        <w:rPr>
          <w:lang w:val="fr-FR"/>
        </w:rPr>
        <w:t>took</w:t>
      </w:r>
      <w:proofErr w:type="spellEnd"/>
      <w:r w:rsidRPr="00F406E1">
        <w:rPr>
          <w:lang w:val="fr-FR"/>
        </w:rPr>
        <w:t xml:space="preserve"> place on 4 March 2016</w:t>
      </w:r>
      <w:r w:rsidR="00E07004">
        <w:t>,</w:t>
      </w:r>
      <w:r>
        <w:t xml:space="preserve"> in accordance with the procedures </w:t>
      </w:r>
      <w:r w:rsidR="00E07004">
        <w:t>agreed upon</w:t>
      </w:r>
      <w:r>
        <w:t xml:space="preserve"> during the meeting, </w:t>
      </w:r>
      <w:r w:rsidR="00E07004">
        <w:t xml:space="preserve">so as </w:t>
      </w:r>
      <w:r>
        <w:t xml:space="preserve">to accommodate the election of the Executive Board member </w:t>
      </w:r>
      <w:r w:rsidRPr="00BD3D32">
        <w:t>fro</w:t>
      </w:r>
      <w:r w:rsidRPr="00982320">
        <w:t>m Asia and the Pacific. The Board agreed that the first call for applications, which would be a pilot phase</w:t>
      </w:r>
      <w:r w:rsidR="00E07004" w:rsidRPr="00982320">
        <w:t>,</w:t>
      </w:r>
      <w:r w:rsidRPr="00982320">
        <w:t xml:space="preserve"> would be init</w:t>
      </w:r>
      <w:r>
        <w:t xml:space="preserve">iated on </w:t>
      </w:r>
      <w:r w:rsidR="00F406E1">
        <w:t xml:space="preserve">5 </w:t>
      </w:r>
      <w:r>
        <w:t xml:space="preserve">April 2016 and </w:t>
      </w:r>
      <w:r w:rsidR="00E07004">
        <w:t xml:space="preserve">remain </w:t>
      </w:r>
      <w:r>
        <w:t xml:space="preserve">open for a </w:t>
      </w:r>
      <w:r w:rsidR="00E07004">
        <w:t>three</w:t>
      </w:r>
      <w:r>
        <w:t xml:space="preserve">-month period, with a deadline of </w:t>
      </w:r>
      <w:r w:rsidR="00EC08F6">
        <w:t>4 July</w:t>
      </w:r>
      <w:r>
        <w:t xml:space="preserve"> 2016.</w:t>
      </w:r>
      <w:r w:rsidR="00F406E1">
        <w:t xml:space="preserve"> </w:t>
      </w:r>
    </w:p>
    <w:p w14:paraId="0E095E60" w14:textId="77777777" w:rsidR="00EF688E" w:rsidRPr="009A533B" w:rsidRDefault="00C97677" w:rsidP="006365AD">
      <w:pPr>
        <w:pStyle w:val="CH3"/>
      </w:pPr>
      <w:r>
        <w:tab/>
        <w:t>3.</w:t>
      </w:r>
      <w:r>
        <w:tab/>
      </w:r>
      <w:r w:rsidR="00EF688E">
        <w:t>I</w:t>
      </w:r>
      <w:r w:rsidR="00EF688E" w:rsidRPr="009A533B">
        <w:t>nitial lessons learned</w:t>
      </w:r>
    </w:p>
    <w:p w14:paraId="187649FE" w14:textId="1E239A39" w:rsidR="00EF688E" w:rsidRPr="006365AD" w:rsidRDefault="00EF688E" w:rsidP="006365AD">
      <w:pPr>
        <w:pStyle w:val="Normalnumber"/>
        <w:numPr>
          <w:ilvl w:val="0"/>
          <w:numId w:val="7"/>
        </w:numPr>
        <w:tabs>
          <w:tab w:val="clear" w:pos="1871"/>
          <w:tab w:val="clear" w:pos="2495"/>
        </w:tabs>
        <w:rPr>
          <w:rFonts w:asciiTheme="majorBidi" w:hAnsiTheme="majorBidi" w:cstheme="majorBidi"/>
          <w:bCs/>
        </w:rPr>
      </w:pPr>
      <w:r w:rsidRPr="00B500DE">
        <w:rPr>
          <w:lang w:val="en-CA"/>
        </w:rPr>
        <w:t xml:space="preserve">The operational arrangements for the Special Programme have benefited from lessons learned and best practices </w:t>
      </w:r>
      <w:r w:rsidR="007F2146">
        <w:rPr>
          <w:lang w:val="en-CA"/>
        </w:rPr>
        <w:t>identified by</w:t>
      </w:r>
      <w:r w:rsidRPr="00B500DE">
        <w:rPr>
          <w:lang w:val="en-CA"/>
        </w:rPr>
        <w:t xml:space="preserve"> similar initiatives, such as the Multilateral Fund for the </w:t>
      </w:r>
      <w:r w:rsidR="00E07004" w:rsidRPr="00B500DE">
        <w:rPr>
          <w:lang w:val="en-CA"/>
        </w:rPr>
        <w:t>I</w:t>
      </w:r>
      <w:r w:rsidRPr="00B500DE">
        <w:rPr>
          <w:lang w:val="en-CA"/>
        </w:rPr>
        <w:t>mplementation of the Montreal Protocol and the Quick Start Programme</w:t>
      </w:r>
      <w:r w:rsidR="00E07004" w:rsidRPr="00B500DE">
        <w:rPr>
          <w:lang w:val="en-CA"/>
        </w:rPr>
        <w:t xml:space="preserve"> of the Strategic Approach</w:t>
      </w:r>
      <w:r w:rsidRPr="00B500DE">
        <w:rPr>
          <w:lang w:val="en-CA"/>
        </w:rPr>
        <w:t xml:space="preserve">. </w:t>
      </w:r>
    </w:p>
    <w:p w14:paraId="0D0142D5" w14:textId="56E04131" w:rsidR="00EF688E" w:rsidRPr="00044652" w:rsidRDefault="00EF688E" w:rsidP="006365AD">
      <w:pPr>
        <w:pStyle w:val="Normalnumber"/>
        <w:numPr>
          <w:ilvl w:val="0"/>
          <w:numId w:val="7"/>
        </w:numPr>
        <w:tabs>
          <w:tab w:val="clear" w:pos="1871"/>
          <w:tab w:val="clear" w:pos="2495"/>
        </w:tabs>
        <w:rPr>
          <w:rFonts w:asciiTheme="majorBidi" w:hAnsiTheme="majorBidi" w:cstheme="majorBidi"/>
          <w:bCs/>
        </w:rPr>
      </w:pPr>
      <w:r w:rsidRPr="00B500DE">
        <w:t xml:space="preserve">Significant fundraising efforts have taken place since </w:t>
      </w:r>
      <w:r w:rsidR="00E07004" w:rsidRPr="00B500DE">
        <w:t>the first session of the Environment Assembly</w:t>
      </w:r>
      <w:r w:rsidRPr="00B500DE">
        <w:t xml:space="preserve"> and during </w:t>
      </w:r>
      <w:r w:rsidRPr="00044652">
        <w:t xml:space="preserve">the </w:t>
      </w:r>
      <w:r w:rsidR="00044652" w:rsidRPr="003C3F8D">
        <w:t>implementation</w:t>
      </w:r>
      <w:r w:rsidRPr="00044652">
        <w:t xml:space="preserve"> of the Special Programme, providing a </w:t>
      </w:r>
      <w:r w:rsidR="00E07004" w:rsidRPr="00044652">
        <w:t>sound basis</w:t>
      </w:r>
      <w:r w:rsidRPr="00044652">
        <w:t xml:space="preserve"> for the </w:t>
      </w:r>
      <w:r w:rsidRPr="00044652">
        <w:lastRenderedPageBreak/>
        <w:t xml:space="preserve">implementation of the Special Programme once the operational arrangements are approved by </w:t>
      </w:r>
      <w:r w:rsidR="00E07004" w:rsidRPr="00044652">
        <w:t>its</w:t>
      </w:r>
      <w:r w:rsidRPr="00044652">
        <w:t xml:space="preserve"> Executive Board. </w:t>
      </w:r>
    </w:p>
    <w:p w14:paraId="046DA9A4" w14:textId="26BD86D5" w:rsidR="00EF688E" w:rsidRPr="00044652" w:rsidRDefault="00EF688E" w:rsidP="006365AD">
      <w:pPr>
        <w:pStyle w:val="Normalnumber"/>
        <w:numPr>
          <w:ilvl w:val="0"/>
          <w:numId w:val="7"/>
        </w:numPr>
        <w:tabs>
          <w:tab w:val="clear" w:pos="1871"/>
          <w:tab w:val="clear" w:pos="2495"/>
        </w:tabs>
        <w:rPr>
          <w:rFonts w:asciiTheme="majorBidi" w:hAnsiTheme="majorBidi"/>
        </w:rPr>
      </w:pPr>
      <w:r w:rsidRPr="00044652">
        <w:rPr>
          <w:rFonts w:asciiTheme="majorBidi" w:hAnsiTheme="majorBidi"/>
        </w:rPr>
        <w:t xml:space="preserve">It should be recognized that adequate time was required </w:t>
      </w:r>
      <w:r w:rsidR="007F2146" w:rsidRPr="00044652">
        <w:rPr>
          <w:rFonts w:asciiTheme="majorBidi" w:hAnsiTheme="majorBidi"/>
        </w:rPr>
        <w:t>to enable</w:t>
      </w:r>
      <w:r w:rsidRPr="00044652">
        <w:rPr>
          <w:rFonts w:asciiTheme="majorBidi" w:hAnsiTheme="majorBidi"/>
        </w:rPr>
        <w:t xml:space="preserve"> nomination</w:t>
      </w:r>
      <w:r w:rsidR="007F2146" w:rsidRPr="00044652">
        <w:rPr>
          <w:rFonts w:asciiTheme="majorBidi" w:hAnsiTheme="majorBidi"/>
        </w:rPr>
        <w:t>s to</w:t>
      </w:r>
      <w:r w:rsidRPr="00044652">
        <w:rPr>
          <w:rFonts w:asciiTheme="majorBidi" w:hAnsiTheme="majorBidi"/>
        </w:rPr>
        <w:t xml:space="preserve"> the Executive Board </w:t>
      </w:r>
      <w:r w:rsidR="007F2146" w:rsidRPr="00044652">
        <w:rPr>
          <w:rFonts w:asciiTheme="majorBidi" w:hAnsiTheme="majorBidi"/>
        </w:rPr>
        <w:t xml:space="preserve">to be made </w:t>
      </w:r>
      <w:r w:rsidRPr="00044652">
        <w:rPr>
          <w:rFonts w:asciiTheme="majorBidi" w:hAnsiTheme="majorBidi"/>
        </w:rPr>
        <w:t xml:space="preserve">through an inclusive and transparent process. Further guidance </w:t>
      </w:r>
      <w:r w:rsidR="00E07004" w:rsidRPr="00044652">
        <w:rPr>
          <w:rFonts w:asciiTheme="majorBidi" w:hAnsiTheme="majorBidi"/>
        </w:rPr>
        <w:t>with regard to</w:t>
      </w:r>
      <w:r w:rsidRPr="00044652">
        <w:rPr>
          <w:rFonts w:asciiTheme="majorBidi" w:hAnsiTheme="majorBidi"/>
        </w:rPr>
        <w:t xml:space="preserve"> future nomination</w:t>
      </w:r>
      <w:r w:rsidR="00E07004" w:rsidRPr="00044652">
        <w:rPr>
          <w:rFonts w:asciiTheme="majorBidi" w:hAnsiTheme="majorBidi"/>
        </w:rPr>
        <w:t>s</w:t>
      </w:r>
      <w:r w:rsidR="00827EEE" w:rsidRPr="00044652">
        <w:rPr>
          <w:rFonts w:asciiTheme="majorBidi" w:hAnsiTheme="majorBidi"/>
        </w:rPr>
        <w:t xml:space="preserve"> </w:t>
      </w:r>
      <w:r w:rsidRPr="00044652">
        <w:rPr>
          <w:rFonts w:asciiTheme="majorBidi" w:hAnsiTheme="majorBidi"/>
        </w:rPr>
        <w:t>to the Executive Board of the Special Programme</w:t>
      </w:r>
      <w:r w:rsidR="007F2146" w:rsidRPr="00044652">
        <w:rPr>
          <w:rFonts w:asciiTheme="majorBidi" w:hAnsiTheme="majorBidi"/>
        </w:rPr>
        <w:t xml:space="preserve"> –</w:t>
      </w:r>
      <w:r w:rsidRPr="00044652">
        <w:rPr>
          <w:rFonts w:asciiTheme="majorBidi" w:hAnsiTheme="majorBidi"/>
        </w:rPr>
        <w:t xml:space="preserve"> for exampl</w:t>
      </w:r>
      <w:r w:rsidR="00A87BEA" w:rsidRPr="00044652">
        <w:rPr>
          <w:rFonts w:asciiTheme="majorBidi" w:hAnsiTheme="majorBidi"/>
        </w:rPr>
        <w:t>e</w:t>
      </w:r>
      <w:r w:rsidR="007F2146" w:rsidRPr="00044652">
        <w:rPr>
          <w:rFonts w:asciiTheme="majorBidi" w:hAnsiTheme="majorBidi"/>
        </w:rPr>
        <w:t>,</w:t>
      </w:r>
      <w:r w:rsidR="00A87BEA" w:rsidRPr="00044652">
        <w:rPr>
          <w:rFonts w:asciiTheme="majorBidi" w:hAnsiTheme="majorBidi"/>
        </w:rPr>
        <w:t xml:space="preserve"> through regional coordination</w:t>
      </w:r>
      <w:r w:rsidR="007F2146" w:rsidRPr="00044652">
        <w:rPr>
          <w:rFonts w:asciiTheme="majorBidi" w:hAnsiTheme="majorBidi"/>
        </w:rPr>
        <w:t xml:space="preserve"> –</w:t>
      </w:r>
      <w:r w:rsidRPr="00044652">
        <w:rPr>
          <w:rFonts w:asciiTheme="majorBidi" w:hAnsiTheme="majorBidi"/>
        </w:rPr>
        <w:t xml:space="preserve"> would be valuable.</w:t>
      </w:r>
    </w:p>
    <w:p w14:paraId="7E11BE42" w14:textId="77777777" w:rsidR="00EF688E" w:rsidRPr="00044652" w:rsidRDefault="00C97677" w:rsidP="006365AD">
      <w:pPr>
        <w:pStyle w:val="CH1"/>
      </w:pPr>
      <w:r w:rsidRPr="00044652">
        <w:tab/>
      </w:r>
      <w:r w:rsidR="00EF688E" w:rsidRPr="00044652">
        <w:t>III.</w:t>
      </w:r>
      <w:r w:rsidR="00EF688E" w:rsidRPr="00044652">
        <w:tab/>
        <w:t xml:space="preserve">Institutional cooperation and partnerships </w:t>
      </w:r>
    </w:p>
    <w:p w14:paraId="09BCE756" w14:textId="137C476A" w:rsidR="00EF688E" w:rsidRPr="00044652" w:rsidRDefault="00EF688E" w:rsidP="006365AD">
      <w:pPr>
        <w:pStyle w:val="Normalnumber"/>
        <w:numPr>
          <w:ilvl w:val="0"/>
          <w:numId w:val="7"/>
        </w:numPr>
        <w:tabs>
          <w:tab w:val="clear" w:pos="1871"/>
          <w:tab w:val="clear" w:pos="2495"/>
        </w:tabs>
        <w:rPr>
          <w:rFonts w:asciiTheme="majorBidi" w:hAnsiTheme="majorBidi" w:cstheme="majorBidi"/>
        </w:rPr>
      </w:pPr>
      <w:r w:rsidRPr="003F01E5">
        <w:rPr>
          <w:rFonts w:asciiTheme="majorBidi" w:hAnsiTheme="majorBidi" w:cstheme="majorBidi"/>
        </w:rPr>
        <w:t>Given the cross</w:t>
      </w:r>
      <w:r w:rsidRPr="00044652">
        <w:rPr>
          <w:rFonts w:asciiTheme="majorBidi" w:hAnsiTheme="majorBidi" w:cstheme="majorBidi"/>
        </w:rPr>
        <w:t xml:space="preserve">-sectoral nature of chemicals management and its multi-stakeholder dimension, </w:t>
      </w:r>
      <w:r w:rsidR="00E07004" w:rsidRPr="00044652">
        <w:rPr>
          <w:rFonts w:asciiTheme="majorBidi" w:hAnsiTheme="majorBidi" w:cstheme="majorBidi"/>
        </w:rPr>
        <w:t xml:space="preserve">the </w:t>
      </w:r>
      <w:r w:rsidRPr="00044652">
        <w:rPr>
          <w:rFonts w:asciiTheme="majorBidi" w:hAnsiTheme="majorBidi" w:cstheme="majorBidi"/>
        </w:rPr>
        <w:t xml:space="preserve">implementation of the </w:t>
      </w:r>
      <w:r w:rsidR="00E07004" w:rsidRPr="00044652">
        <w:rPr>
          <w:rFonts w:asciiTheme="majorBidi" w:hAnsiTheme="majorBidi" w:cstheme="majorBidi"/>
        </w:rPr>
        <w:t>integrated a</w:t>
      </w:r>
      <w:r w:rsidRPr="00044652">
        <w:rPr>
          <w:rFonts w:asciiTheme="majorBidi" w:hAnsiTheme="majorBidi" w:cstheme="majorBidi"/>
        </w:rPr>
        <w:t xml:space="preserve">pproach requires coordination and cooperation between all stakeholders, in particular </w:t>
      </w:r>
      <w:r w:rsidR="00E07004" w:rsidRPr="00044652">
        <w:rPr>
          <w:rFonts w:asciiTheme="majorBidi" w:hAnsiTheme="majorBidi" w:cstheme="majorBidi"/>
        </w:rPr>
        <w:t>G</w:t>
      </w:r>
      <w:r w:rsidRPr="00044652">
        <w:rPr>
          <w:rFonts w:asciiTheme="majorBidi" w:hAnsiTheme="majorBidi" w:cstheme="majorBidi"/>
        </w:rPr>
        <w:t>overnments, industry, civil society, academia and intergovernmental organizations.</w:t>
      </w:r>
    </w:p>
    <w:p w14:paraId="33ED8904" w14:textId="444A1836" w:rsidR="00EF688E" w:rsidRPr="005E2859" w:rsidRDefault="00E07004" w:rsidP="006365AD">
      <w:pPr>
        <w:pStyle w:val="Normalnumber"/>
        <w:numPr>
          <w:ilvl w:val="0"/>
          <w:numId w:val="7"/>
        </w:numPr>
        <w:tabs>
          <w:tab w:val="clear" w:pos="1871"/>
          <w:tab w:val="clear" w:pos="2495"/>
        </w:tabs>
        <w:rPr>
          <w:rFonts w:asciiTheme="majorBidi" w:hAnsiTheme="majorBidi" w:cstheme="majorBidi"/>
        </w:rPr>
      </w:pPr>
      <w:r w:rsidRPr="00044652">
        <w:rPr>
          <w:rFonts w:asciiTheme="majorBidi" w:hAnsiTheme="majorBidi" w:cstheme="majorBidi"/>
        </w:rPr>
        <w:t xml:space="preserve">UNEP has established an internal task team jointly </w:t>
      </w:r>
      <w:r w:rsidRPr="00044652">
        <w:t>w</w:t>
      </w:r>
      <w:r w:rsidR="00EF688E" w:rsidRPr="00044652">
        <w:t xml:space="preserve">ith the </w:t>
      </w:r>
      <w:r w:rsidRPr="00044652">
        <w:t>s</w:t>
      </w:r>
      <w:r w:rsidR="00EF688E" w:rsidRPr="00044652">
        <w:t xml:space="preserve">ecretariat of the Basel, Rotterdam and Stockholm conventions, the interim </w:t>
      </w:r>
      <w:r w:rsidRPr="00044652">
        <w:t>s</w:t>
      </w:r>
      <w:r w:rsidR="00EF688E" w:rsidRPr="00044652">
        <w:t xml:space="preserve">ecretariat of the </w:t>
      </w:r>
      <w:proofErr w:type="spellStart"/>
      <w:r w:rsidR="00EF688E" w:rsidRPr="00044652">
        <w:t>Minamata</w:t>
      </w:r>
      <w:proofErr w:type="spellEnd"/>
      <w:r w:rsidR="00EF688E" w:rsidRPr="00044652">
        <w:t xml:space="preserve"> Convention and the </w:t>
      </w:r>
      <w:r w:rsidRPr="00044652">
        <w:t>s</w:t>
      </w:r>
      <w:r w:rsidR="00EF688E" w:rsidRPr="00044652">
        <w:t xml:space="preserve">ecretariat of </w:t>
      </w:r>
      <w:r w:rsidRPr="00044652">
        <w:t>the Strategic Approach</w:t>
      </w:r>
      <w:r w:rsidR="00EF688E" w:rsidRPr="00044652">
        <w:rPr>
          <w:rFonts w:asciiTheme="majorBidi" w:hAnsiTheme="majorBidi" w:cstheme="majorBidi"/>
        </w:rPr>
        <w:t xml:space="preserve"> to draw upon internal expertise and experience from</w:t>
      </w:r>
      <w:r w:rsidR="00827EEE" w:rsidRPr="00044652">
        <w:rPr>
          <w:rFonts w:asciiTheme="majorBidi" w:hAnsiTheme="majorBidi" w:cstheme="majorBidi"/>
        </w:rPr>
        <w:t xml:space="preserve"> </w:t>
      </w:r>
      <w:r w:rsidR="00EF688E" w:rsidRPr="00044652">
        <w:rPr>
          <w:rFonts w:asciiTheme="majorBidi" w:hAnsiTheme="majorBidi" w:cstheme="majorBidi"/>
        </w:rPr>
        <w:t xml:space="preserve">similar programmes with a view to </w:t>
      </w:r>
      <w:r w:rsidR="00EF688E" w:rsidRPr="00044652">
        <w:t xml:space="preserve">supporting </w:t>
      </w:r>
      <w:r w:rsidRPr="00044652">
        <w:t>the</w:t>
      </w:r>
      <w:r w:rsidR="00EF688E" w:rsidRPr="00044652">
        <w:t xml:space="preserve"> </w:t>
      </w:r>
      <w:r w:rsidR="00044652" w:rsidRPr="00F31231">
        <w:t>implementation</w:t>
      </w:r>
      <w:r w:rsidRPr="00044652">
        <w:t xml:space="preserve"> of the</w:t>
      </w:r>
      <w:r>
        <w:t xml:space="preserve"> Special Programme</w:t>
      </w:r>
      <w:r w:rsidR="00EF688E" w:rsidRPr="005E2859">
        <w:rPr>
          <w:rFonts w:asciiTheme="majorBidi" w:hAnsiTheme="majorBidi" w:cstheme="majorBidi"/>
        </w:rPr>
        <w:t xml:space="preserve">. </w:t>
      </w:r>
    </w:p>
    <w:p w14:paraId="49F4586F" w14:textId="698FA722" w:rsidR="00EF688E" w:rsidRDefault="00EF688E" w:rsidP="006365AD">
      <w:pPr>
        <w:pStyle w:val="Normalnumber"/>
        <w:numPr>
          <w:ilvl w:val="0"/>
          <w:numId w:val="7"/>
        </w:numPr>
        <w:tabs>
          <w:tab w:val="clear" w:pos="1871"/>
          <w:tab w:val="clear" w:pos="2495"/>
        </w:tabs>
        <w:rPr>
          <w:rFonts w:asciiTheme="majorBidi" w:hAnsiTheme="majorBidi" w:cstheme="majorBidi"/>
        </w:rPr>
      </w:pPr>
      <w:r>
        <w:rPr>
          <w:rFonts w:asciiTheme="majorBidi" w:hAnsiTheme="majorBidi" w:cstheme="majorBidi"/>
        </w:rPr>
        <w:t xml:space="preserve">With UNDP, </w:t>
      </w:r>
      <w:r w:rsidRPr="005E2859">
        <w:rPr>
          <w:rFonts w:asciiTheme="majorBidi" w:hAnsiTheme="majorBidi" w:cstheme="majorBidi"/>
        </w:rPr>
        <w:t xml:space="preserve">UNEP </w:t>
      </w:r>
      <w:r w:rsidR="00E07004">
        <w:rPr>
          <w:rFonts w:asciiTheme="majorBidi" w:hAnsiTheme="majorBidi" w:cstheme="majorBidi"/>
        </w:rPr>
        <w:t xml:space="preserve">has </w:t>
      </w:r>
      <w:r w:rsidRPr="005E2859">
        <w:rPr>
          <w:rFonts w:asciiTheme="majorBidi" w:hAnsiTheme="majorBidi" w:cstheme="majorBidi"/>
        </w:rPr>
        <w:t xml:space="preserve">developed and implemented a </w:t>
      </w:r>
      <w:r w:rsidR="00E07004" w:rsidRPr="005E2859">
        <w:rPr>
          <w:rFonts w:asciiTheme="majorBidi" w:hAnsiTheme="majorBidi" w:cstheme="majorBidi"/>
        </w:rPr>
        <w:t xml:space="preserve">partnership approach </w:t>
      </w:r>
      <w:r w:rsidR="007F2146">
        <w:rPr>
          <w:rFonts w:asciiTheme="majorBidi" w:hAnsiTheme="majorBidi" w:cstheme="majorBidi"/>
        </w:rPr>
        <w:t>to</w:t>
      </w:r>
      <w:r w:rsidRPr="005E2859">
        <w:rPr>
          <w:rFonts w:asciiTheme="majorBidi" w:hAnsiTheme="majorBidi" w:cstheme="majorBidi"/>
        </w:rPr>
        <w:t xml:space="preserve"> </w:t>
      </w:r>
      <w:r w:rsidR="00E07004">
        <w:rPr>
          <w:rFonts w:asciiTheme="majorBidi" w:hAnsiTheme="majorBidi" w:cstheme="majorBidi"/>
        </w:rPr>
        <w:t xml:space="preserve">the </w:t>
      </w:r>
      <w:r w:rsidRPr="005E2859">
        <w:rPr>
          <w:rFonts w:asciiTheme="majorBidi" w:hAnsiTheme="majorBidi" w:cstheme="majorBidi"/>
        </w:rPr>
        <w:t xml:space="preserve">integration (mainstreaming) of </w:t>
      </w:r>
      <w:r w:rsidR="00E07004">
        <w:rPr>
          <w:rFonts w:asciiTheme="majorBidi" w:hAnsiTheme="majorBidi" w:cstheme="majorBidi"/>
        </w:rPr>
        <w:t xml:space="preserve">the </w:t>
      </w:r>
      <w:r w:rsidRPr="005E2859">
        <w:rPr>
          <w:rFonts w:asciiTheme="majorBidi" w:hAnsiTheme="majorBidi" w:cstheme="majorBidi"/>
        </w:rPr>
        <w:t xml:space="preserve">sound management of chemicals into national development policies in a number of countries. The results of this partnership approach are described in more detail under the </w:t>
      </w:r>
      <w:r w:rsidR="00E07004">
        <w:rPr>
          <w:rFonts w:asciiTheme="majorBidi" w:hAnsiTheme="majorBidi" w:cstheme="majorBidi"/>
        </w:rPr>
        <w:t xml:space="preserve">section </w:t>
      </w:r>
      <w:r w:rsidRPr="005E2859">
        <w:rPr>
          <w:rFonts w:asciiTheme="majorBidi" w:hAnsiTheme="majorBidi" w:cstheme="majorBidi"/>
        </w:rPr>
        <w:t>on mainstreaming</w:t>
      </w:r>
      <w:r w:rsidR="00E07004">
        <w:rPr>
          <w:rFonts w:asciiTheme="majorBidi" w:hAnsiTheme="majorBidi" w:cstheme="majorBidi"/>
        </w:rPr>
        <w:t>, below</w:t>
      </w:r>
      <w:r w:rsidRPr="005E2859">
        <w:rPr>
          <w:rFonts w:asciiTheme="majorBidi" w:hAnsiTheme="majorBidi" w:cstheme="majorBidi"/>
        </w:rPr>
        <w:t>.</w:t>
      </w:r>
    </w:p>
    <w:p w14:paraId="3DF17284" w14:textId="35B6EC13" w:rsidR="00EF688E" w:rsidRDefault="00EF688E" w:rsidP="006365AD">
      <w:pPr>
        <w:pStyle w:val="Normalnumber"/>
        <w:numPr>
          <w:ilvl w:val="0"/>
          <w:numId w:val="7"/>
        </w:numPr>
        <w:tabs>
          <w:tab w:val="clear" w:pos="1871"/>
          <w:tab w:val="clear" w:pos="2495"/>
        </w:tabs>
        <w:rPr>
          <w:rFonts w:asciiTheme="majorBidi" w:hAnsiTheme="majorBidi" w:cstheme="majorBidi"/>
        </w:rPr>
      </w:pPr>
      <w:r>
        <w:rPr>
          <w:rFonts w:asciiTheme="majorBidi" w:hAnsiTheme="majorBidi" w:cstheme="majorBidi"/>
        </w:rPr>
        <w:t xml:space="preserve">With WHO, </w:t>
      </w:r>
      <w:r w:rsidRPr="005E2859">
        <w:rPr>
          <w:rFonts w:asciiTheme="majorBidi" w:hAnsiTheme="majorBidi" w:cstheme="majorBidi"/>
        </w:rPr>
        <w:t xml:space="preserve">UNEP </w:t>
      </w:r>
      <w:r w:rsidR="00E07004">
        <w:rPr>
          <w:rFonts w:asciiTheme="majorBidi" w:hAnsiTheme="majorBidi" w:cstheme="majorBidi"/>
        </w:rPr>
        <w:t xml:space="preserve">has </w:t>
      </w:r>
      <w:r>
        <w:rPr>
          <w:rFonts w:asciiTheme="majorBidi" w:hAnsiTheme="majorBidi" w:cstheme="majorBidi"/>
        </w:rPr>
        <w:t xml:space="preserve">initiated </w:t>
      </w:r>
      <w:r w:rsidRPr="005E2859">
        <w:rPr>
          <w:rFonts w:asciiTheme="majorBidi" w:hAnsiTheme="majorBidi" w:cstheme="majorBidi"/>
        </w:rPr>
        <w:t>c</w:t>
      </w:r>
      <w:r>
        <w:rPr>
          <w:rFonts w:asciiTheme="majorBidi" w:hAnsiTheme="majorBidi" w:cstheme="majorBidi"/>
        </w:rPr>
        <w:t>ooperation in</w:t>
      </w:r>
      <w:r w:rsidR="00827EEE">
        <w:rPr>
          <w:rFonts w:asciiTheme="majorBidi" w:hAnsiTheme="majorBidi" w:cstheme="majorBidi"/>
        </w:rPr>
        <w:t xml:space="preserve"> </w:t>
      </w:r>
      <w:r w:rsidRPr="005E2859">
        <w:rPr>
          <w:rFonts w:asciiTheme="majorBidi" w:hAnsiTheme="majorBidi" w:cstheme="majorBidi"/>
        </w:rPr>
        <w:t xml:space="preserve">the African region </w:t>
      </w:r>
      <w:r w:rsidR="00E07004">
        <w:rPr>
          <w:rFonts w:asciiTheme="majorBidi" w:hAnsiTheme="majorBidi" w:cstheme="majorBidi"/>
        </w:rPr>
        <w:t>in the context of</w:t>
      </w:r>
      <w:r w:rsidRPr="005E2859">
        <w:rPr>
          <w:rFonts w:asciiTheme="majorBidi" w:hAnsiTheme="majorBidi" w:cstheme="majorBidi"/>
        </w:rPr>
        <w:t xml:space="preserve"> the Libreville Declaration on Health and Environment</w:t>
      </w:r>
      <w:r w:rsidR="00E07004">
        <w:rPr>
          <w:rFonts w:asciiTheme="majorBidi" w:hAnsiTheme="majorBidi" w:cstheme="majorBidi"/>
        </w:rPr>
        <w:t xml:space="preserve"> in Africa</w:t>
      </w:r>
      <w:r>
        <w:rPr>
          <w:rFonts w:asciiTheme="majorBidi" w:hAnsiTheme="majorBidi" w:cstheme="majorBidi"/>
        </w:rPr>
        <w:t xml:space="preserve">. </w:t>
      </w:r>
      <w:r w:rsidRPr="00B500DE">
        <w:rPr>
          <w:rFonts w:asciiTheme="majorBidi" w:hAnsiTheme="majorBidi" w:cstheme="majorBidi"/>
        </w:rPr>
        <w:t xml:space="preserve">The Declaration fostered an African programme to reduce </w:t>
      </w:r>
      <w:r w:rsidR="00E07004" w:rsidRPr="00B500DE">
        <w:rPr>
          <w:rFonts w:asciiTheme="majorBidi" w:hAnsiTheme="majorBidi" w:cstheme="majorBidi"/>
        </w:rPr>
        <w:t xml:space="preserve">the </w:t>
      </w:r>
      <w:r w:rsidRPr="00B500DE">
        <w:rPr>
          <w:rFonts w:asciiTheme="majorBidi" w:hAnsiTheme="majorBidi" w:cstheme="majorBidi"/>
        </w:rPr>
        <w:t>risks posed by chemicals to human health and ecosystems through the development of nationally integrated health and environment observatories</w:t>
      </w:r>
      <w:r>
        <w:rPr>
          <w:rFonts w:asciiTheme="majorBidi" w:hAnsiTheme="majorBidi" w:cstheme="majorBidi"/>
        </w:rPr>
        <w:t xml:space="preserve"> </w:t>
      </w:r>
      <w:r w:rsidRPr="005E2859">
        <w:rPr>
          <w:rFonts w:asciiTheme="majorBidi" w:hAnsiTheme="majorBidi" w:cstheme="majorBidi"/>
        </w:rPr>
        <w:t xml:space="preserve">for mainstreaming </w:t>
      </w:r>
      <w:r w:rsidR="00E07004">
        <w:rPr>
          <w:rFonts w:asciiTheme="majorBidi" w:hAnsiTheme="majorBidi" w:cstheme="majorBidi"/>
        </w:rPr>
        <w:t xml:space="preserve">the </w:t>
      </w:r>
      <w:r w:rsidRPr="005E2859">
        <w:rPr>
          <w:rFonts w:asciiTheme="majorBidi" w:hAnsiTheme="majorBidi" w:cstheme="majorBidi"/>
        </w:rPr>
        <w:t>s</w:t>
      </w:r>
      <w:r>
        <w:rPr>
          <w:rFonts w:asciiTheme="majorBidi" w:hAnsiTheme="majorBidi" w:cstheme="majorBidi"/>
        </w:rPr>
        <w:t xml:space="preserve">ound management of chemicals. The programme </w:t>
      </w:r>
      <w:r w:rsidR="00E07004">
        <w:rPr>
          <w:rFonts w:asciiTheme="majorBidi" w:hAnsiTheme="majorBidi" w:cstheme="majorBidi"/>
        </w:rPr>
        <w:t xml:space="preserve">is intended to </w:t>
      </w:r>
      <w:r w:rsidRPr="005E2859">
        <w:rPr>
          <w:rFonts w:asciiTheme="majorBidi" w:hAnsiTheme="majorBidi" w:cstheme="majorBidi"/>
        </w:rPr>
        <w:t>stimulat</w:t>
      </w:r>
      <w:r w:rsidR="00E07004">
        <w:rPr>
          <w:rFonts w:asciiTheme="majorBidi" w:hAnsiTheme="majorBidi" w:cstheme="majorBidi"/>
        </w:rPr>
        <w:t>e</w:t>
      </w:r>
      <w:r w:rsidRPr="005E2859">
        <w:rPr>
          <w:rFonts w:asciiTheme="majorBidi" w:hAnsiTheme="majorBidi" w:cstheme="majorBidi"/>
        </w:rPr>
        <w:t xml:space="preserve"> investments </w:t>
      </w:r>
      <w:r>
        <w:rPr>
          <w:rFonts w:asciiTheme="majorBidi" w:hAnsiTheme="majorBidi" w:cstheme="majorBidi"/>
        </w:rPr>
        <w:t xml:space="preserve">for major </w:t>
      </w:r>
      <w:r w:rsidRPr="005E2859">
        <w:rPr>
          <w:rFonts w:asciiTheme="majorBidi" w:hAnsiTheme="majorBidi" w:cstheme="majorBidi"/>
        </w:rPr>
        <w:t xml:space="preserve">management and remediation interventions </w:t>
      </w:r>
      <w:r>
        <w:rPr>
          <w:rFonts w:asciiTheme="majorBidi" w:hAnsiTheme="majorBidi" w:cstheme="majorBidi"/>
        </w:rPr>
        <w:t xml:space="preserve">supported by </w:t>
      </w:r>
      <w:r w:rsidRPr="005E2859">
        <w:rPr>
          <w:rFonts w:asciiTheme="majorBidi" w:hAnsiTheme="majorBidi" w:cstheme="majorBidi"/>
        </w:rPr>
        <w:t>coordinated health and environment interventions</w:t>
      </w:r>
      <w:r w:rsidR="00E07004">
        <w:rPr>
          <w:rFonts w:asciiTheme="majorBidi" w:hAnsiTheme="majorBidi" w:cstheme="majorBidi"/>
        </w:rPr>
        <w:t xml:space="preserve"> and</w:t>
      </w:r>
      <w:r w:rsidR="00827EEE">
        <w:rPr>
          <w:rFonts w:asciiTheme="majorBidi" w:hAnsiTheme="majorBidi" w:cstheme="majorBidi"/>
        </w:rPr>
        <w:t xml:space="preserve"> </w:t>
      </w:r>
      <w:r>
        <w:rPr>
          <w:rFonts w:asciiTheme="majorBidi" w:hAnsiTheme="majorBidi" w:cstheme="majorBidi"/>
        </w:rPr>
        <w:t xml:space="preserve">linked to the </w:t>
      </w:r>
      <w:r w:rsidRPr="005E2859">
        <w:rPr>
          <w:rFonts w:asciiTheme="majorBidi" w:hAnsiTheme="majorBidi" w:cstheme="majorBidi"/>
        </w:rPr>
        <w:t>broader economic development framework.</w:t>
      </w:r>
    </w:p>
    <w:p w14:paraId="72C303C6" w14:textId="4C05904D" w:rsidR="00EF688E" w:rsidRDefault="00EF688E" w:rsidP="006365AD">
      <w:pPr>
        <w:pStyle w:val="Normalnumber"/>
        <w:numPr>
          <w:ilvl w:val="0"/>
          <w:numId w:val="7"/>
        </w:numPr>
        <w:tabs>
          <w:tab w:val="clear" w:pos="1871"/>
          <w:tab w:val="clear" w:pos="2495"/>
        </w:tabs>
        <w:rPr>
          <w:rFonts w:asciiTheme="majorBidi" w:hAnsiTheme="majorBidi" w:cstheme="majorBidi"/>
        </w:rPr>
      </w:pPr>
      <w:r w:rsidRPr="005E2859">
        <w:rPr>
          <w:rFonts w:asciiTheme="majorBidi" w:hAnsiTheme="majorBidi" w:cstheme="majorBidi"/>
        </w:rPr>
        <w:t>UNEP collaborati</w:t>
      </w:r>
      <w:r w:rsidR="00E07004">
        <w:rPr>
          <w:rFonts w:asciiTheme="majorBidi" w:hAnsiTheme="majorBidi" w:cstheme="majorBidi"/>
        </w:rPr>
        <w:t>ve activities</w:t>
      </w:r>
      <w:r w:rsidRPr="005E2859">
        <w:rPr>
          <w:rFonts w:asciiTheme="majorBidi" w:hAnsiTheme="majorBidi" w:cstheme="majorBidi"/>
        </w:rPr>
        <w:t xml:space="preserve"> with other intergovernmental bodies are mainly </w:t>
      </w:r>
      <w:r>
        <w:rPr>
          <w:rFonts w:asciiTheme="majorBidi" w:hAnsiTheme="majorBidi" w:cstheme="majorBidi"/>
        </w:rPr>
        <w:t>undertaken</w:t>
      </w:r>
      <w:r w:rsidRPr="005E2859">
        <w:rPr>
          <w:rFonts w:asciiTheme="majorBidi" w:hAnsiTheme="majorBidi" w:cstheme="majorBidi"/>
        </w:rPr>
        <w:t xml:space="preserve"> through the Inter</w:t>
      </w:r>
      <w:r>
        <w:rPr>
          <w:rFonts w:asciiTheme="majorBidi" w:hAnsiTheme="majorBidi" w:cstheme="majorBidi"/>
        </w:rPr>
        <w:t>-</w:t>
      </w:r>
      <w:r w:rsidR="00E07004">
        <w:rPr>
          <w:rFonts w:asciiTheme="majorBidi" w:hAnsiTheme="majorBidi" w:cstheme="majorBidi"/>
        </w:rPr>
        <w:t>Or</w:t>
      </w:r>
      <w:r w:rsidRPr="005E2859">
        <w:rPr>
          <w:rFonts w:asciiTheme="majorBidi" w:hAnsiTheme="majorBidi" w:cstheme="majorBidi"/>
        </w:rPr>
        <w:t>ganization Programme for the Sound Management of Chemicals (IOMC)</w:t>
      </w:r>
      <w:r w:rsidR="00E07004">
        <w:rPr>
          <w:rFonts w:asciiTheme="majorBidi" w:hAnsiTheme="majorBidi" w:cstheme="majorBidi"/>
        </w:rPr>
        <w:t xml:space="preserve">, which </w:t>
      </w:r>
      <w:r w:rsidRPr="005E2859">
        <w:rPr>
          <w:rFonts w:asciiTheme="majorBidi" w:hAnsiTheme="majorBidi" w:cstheme="majorBidi"/>
        </w:rPr>
        <w:t>was established in 1995 to strengthen cooperation and increase coordination among intergovernmental organizations in the field of chemical</w:t>
      </w:r>
      <w:r w:rsidR="00E07004">
        <w:rPr>
          <w:rFonts w:asciiTheme="majorBidi" w:hAnsiTheme="majorBidi" w:cstheme="majorBidi"/>
        </w:rPr>
        <w:t>s</w:t>
      </w:r>
      <w:r w:rsidRPr="005E2859">
        <w:rPr>
          <w:rFonts w:asciiTheme="majorBidi" w:hAnsiTheme="majorBidi" w:cstheme="majorBidi"/>
        </w:rPr>
        <w:t xml:space="preserve"> management. The </w:t>
      </w:r>
      <w:r w:rsidR="00E07004">
        <w:rPr>
          <w:rFonts w:asciiTheme="majorBidi" w:hAnsiTheme="majorBidi" w:cstheme="majorBidi"/>
        </w:rPr>
        <w:t>integrated approach</w:t>
      </w:r>
      <w:r w:rsidR="00E07004" w:rsidRPr="005E2859">
        <w:rPr>
          <w:rFonts w:asciiTheme="majorBidi" w:hAnsiTheme="majorBidi" w:cstheme="majorBidi"/>
        </w:rPr>
        <w:t xml:space="preserve"> </w:t>
      </w:r>
      <w:r w:rsidRPr="005E2859">
        <w:rPr>
          <w:rFonts w:asciiTheme="majorBidi" w:hAnsiTheme="majorBidi" w:cstheme="majorBidi"/>
        </w:rPr>
        <w:t>and</w:t>
      </w:r>
      <w:r w:rsidR="00E07004">
        <w:rPr>
          <w:rFonts w:asciiTheme="majorBidi" w:hAnsiTheme="majorBidi" w:cstheme="majorBidi"/>
        </w:rPr>
        <w:t>,</w:t>
      </w:r>
      <w:r w:rsidRPr="005E2859">
        <w:rPr>
          <w:rFonts w:asciiTheme="majorBidi" w:hAnsiTheme="majorBidi" w:cstheme="majorBidi"/>
        </w:rPr>
        <w:t xml:space="preserve"> in particular</w:t>
      </w:r>
      <w:r w:rsidR="00E07004">
        <w:rPr>
          <w:rFonts w:asciiTheme="majorBidi" w:hAnsiTheme="majorBidi" w:cstheme="majorBidi"/>
        </w:rPr>
        <w:t>,</w:t>
      </w:r>
      <w:r w:rsidRPr="005E2859">
        <w:rPr>
          <w:rFonts w:asciiTheme="majorBidi" w:hAnsiTheme="majorBidi" w:cstheme="majorBidi"/>
        </w:rPr>
        <w:t xml:space="preserve"> the Special Programme </w:t>
      </w:r>
      <w:r w:rsidR="00E07004">
        <w:rPr>
          <w:rFonts w:asciiTheme="majorBidi" w:hAnsiTheme="majorBidi" w:cstheme="majorBidi"/>
        </w:rPr>
        <w:t xml:space="preserve">are </w:t>
      </w:r>
      <w:r>
        <w:rPr>
          <w:rFonts w:asciiTheme="majorBidi" w:hAnsiTheme="majorBidi" w:cstheme="majorBidi"/>
        </w:rPr>
        <w:t xml:space="preserve">regularly </w:t>
      </w:r>
      <w:r w:rsidRPr="005E2859">
        <w:rPr>
          <w:rFonts w:asciiTheme="majorBidi" w:hAnsiTheme="majorBidi" w:cstheme="majorBidi"/>
        </w:rPr>
        <w:t>discussed at th</w:t>
      </w:r>
      <w:r>
        <w:rPr>
          <w:rFonts w:asciiTheme="majorBidi" w:hAnsiTheme="majorBidi" w:cstheme="majorBidi"/>
        </w:rPr>
        <w:t>e biennial meetings of IOMC.</w:t>
      </w:r>
    </w:p>
    <w:p w14:paraId="3E74AA42" w14:textId="470BA32F" w:rsidR="00EF688E" w:rsidRPr="00B500DE" w:rsidRDefault="00EF688E" w:rsidP="006365AD">
      <w:pPr>
        <w:pStyle w:val="Normalnumber"/>
        <w:numPr>
          <w:ilvl w:val="0"/>
          <w:numId w:val="7"/>
        </w:numPr>
        <w:tabs>
          <w:tab w:val="clear" w:pos="1871"/>
          <w:tab w:val="clear" w:pos="2495"/>
        </w:tabs>
      </w:pPr>
      <w:r w:rsidRPr="003D2530">
        <w:rPr>
          <w:rFonts w:asciiTheme="majorBidi" w:hAnsiTheme="majorBidi" w:cstheme="majorBidi"/>
        </w:rPr>
        <w:t xml:space="preserve">UNEP has cooperated with a number of </w:t>
      </w:r>
      <w:r>
        <w:rPr>
          <w:rFonts w:asciiTheme="majorBidi" w:hAnsiTheme="majorBidi" w:cstheme="majorBidi"/>
        </w:rPr>
        <w:t xml:space="preserve">developing </w:t>
      </w:r>
      <w:r w:rsidRPr="003D2530">
        <w:rPr>
          <w:rFonts w:asciiTheme="majorBidi" w:hAnsiTheme="majorBidi" w:cstheme="majorBidi"/>
        </w:rPr>
        <w:t xml:space="preserve">countries in developing </w:t>
      </w:r>
      <w:r w:rsidR="00E07004">
        <w:rPr>
          <w:rFonts w:asciiTheme="majorBidi" w:hAnsiTheme="majorBidi" w:cstheme="majorBidi"/>
        </w:rPr>
        <w:t xml:space="preserve">and </w:t>
      </w:r>
      <w:r w:rsidRPr="003D2530">
        <w:rPr>
          <w:rFonts w:asciiTheme="majorBidi" w:hAnsiTheme="majorBidi" w:cstheme="majorBidi"/>
        </w:rPr>
        <w:t>implementing mainstreaming project</w:t>
      </w:r>
      <w:r w:rsidR="003F01E5">
        <w:rPr>
          <w:rFonts w:asciiTheme="majorBidi" w:hAnsiTheme="majorBidi" w:cstheme="majorBidi"/>
        </w:rPr>
        <w:t>s,</w:t>
      </w:r>
      <w:r w:rsidRPr="003D2530">
        <w:rPr>
          <w:rFonts w:asciiTheme="majorBidi" w:hAnsiTheme="majorBidi" w:cstheme="majorBidi"/>
        </w:rPr>
        <w:t xml:space="preserve"> </w:t>
      </w:r>
      <w:r w:rsidR="00E07004">
        <w:rPr>
          <w:rFonts w:asciiTheme="majorBidi" w:hAnsiTheme="majorBidi" w:cstheme="majorBidi"/>
        </w:rPr>
        <w:t>with</w:t>
      </w:r>
      <w:r w:rsidRPr="003D2530">
        <w:rPr>
          <w:rFonts w:asciiTheme="majorBidi" w:hAnsiTheme="majorBidi" w:cstheme="majorBidi"/>
        </w:rPr>
        <w:t xml:space="preserve"> fund</w:t>
      </w:r>
      <w:r w:rsidR="00E07004">
        <w:rPr>
          <w:rFonts w:asciiTheme="majorBidi" w:hAnsiTheme="majorBidi" w:cstheme="majorBidi"/>
        </w:rPr>
        <w:t>ing</w:t>
      </w:r>
      <w:r w:rsidRPr="003D2530">
        <w:rPr>
          <w:rFonts w:asciiTheme="majorBidi" w:hAnsiTheme="majorBidi" w:cstheme="majorBidi"/>
        </w:rPr>
        <w:t xml:space="preserve"> from the Quick Start Programme </w:t>
      </w:r>
      <w:r w:rsidR="00E07004">
        <w:rPr>
          <w:rFonts w:asciiTheme="majorBidi" w:hAnsiTheme="majorBidi" w:cstheme="majorBidi"/>
        </w:rPr>
        <w:t xml:space="preserve">of the Strategic Approach </w:t>
      </w:r>
      <w:r w:rsidRPr="003D2530">
        <w:rPr>
          <w:rFonts w:asciiTheme="majorBidi" w:hAnsiTheme="majorBidi" w:cstheme="majorBidi"/>
        </w:rPr>
        <w:t xml:space="preserve">and bilateral donors such as the </w:t>
      </w:r>
      <w:r w:rsidR="00E07004">
        <w:rPr>
          <w:rFonts w:asciiTheme="majorBidi" w:hAnsiTheme="majorBidi" w:cstheme="majorBidi"/>
        </w:rPr>
        <w:t>G</w:t>
      </w:r>
      <w:r w:rsidRPr="003D2530">
        <w:rPr>
          <w:rFonts w:asciiTheme="majorBidi" w:hAnsiTheme="majorBidi" w:cstheme="majorBidi"/>
        </w:rPr>
        <w:t xml:space="preserve">overnments of </w:t>
      </w:r>
      <w:r w:rsidR="00E07004">
        <w:rPr>
          <w:rFonts w:asciiTheme="majorBidi" w:hAnsiTheme="majorBidi" w:cstheme="majorBidi"/>
        </w:rPr>
        <w:t xml:space="preserve">Norway and </w:t>
      </w:r>
      <w:r w:rsidRPr="003D2530">
        <w:rPr>
          <w:rFonts w:asciiTheme="majorBidi" w:hAnsiTheme="majorBidi" w:cstheme="majorBidi"/>
        </w:rPr>
        <w:t>Sweden.</w:t>
      </w:r>
      <w:r w:rsidRPr="00C136CF">
        <w:rPr>
          <w:rFonts w:asciiTheme="majorBidi" w:hAnsiTheme="majorBidi" w:cstheme="majorBidi"/>
        </w:rPr>
        <w:t xml:space="preserve"> </w:t>
      </w:r>
      <w:r w:rsidRPr="005E2859">
        <w:rPr>
          <w:rFonts w:asciiTheme="majorBidi" w:hAnsiTheme="majorBidi" w:cstheme="majorBidi"/>
        </w:rPr>
        <w:t xml:space="preserve">The results of this partnership are described </w:t>
      </w:r>
      <w:r w:rsidR="00E07004">
        <w:rPr>
          <w:rFonts w:asciiTheme="majorBidi" w:hAnsiTheme="majorBidi" w:cstheme="majorBidi"/>
        </w:rPr>
        <w:t xml:space="preserve">in the </w:t>
      </w:r>
      <w:r w:rsidR="007F2146">
        <w:rPr>
          <w:rFonts w:asciiTheme="majorBidi" w:hAnsiTheme="majorBidi" w:cstheme="majorBidi"/>
        </w:rPr>
        <w:t>discussion</w:t>
      </w:r>
      <w:r w:rsidRPr="005E2859">
        <w:rPr>
          <w:rFonts w:asciiTheme="majorBidi" w:hAnsiTheme="majorBidi" w:cstheme="majorBidi"/>
        </w:rPr>
        <w:t xml:space="preserve"> on </w:t>
      </w:r>
      <w:r w:rsidRPr="00B500DE">
        <w:rPr>
          <w:rFonts w:asciiTheme="majorBidi" w:hAnsiTheme="majorBidi" w:cstheme="majorBidi"/>
        </w:rPr>
        <w:t>mainstreaming</w:t>
      </w:r>
      <w:r w:rsidR="00E07004" w:rsidRPr="00B500DE">
        <w:rPr>
          <w:rFonts w:asciiTheme="majorBidi" w:hAnsiTheme="majorBidi" w:cstheme="majorBidi"/>
        </w:rPr>
        <w:t>, below</w:t>
      </w:r>
      <w:r w:rsidR="007F2146">
        <w:rPr>
          <w:rFonts w:asciiTheme="majorBidi" w:hAnsiTheme="majorBidi" w:cstheme="majorBidi"/>
        </w:rPr>
        <w:t xml:space="preserve"> (para. 55)</w:t>
      </w:r>
      <w:r w:rsidRPr="00B500DE">
        <w:rPr>
          <w:rFonts w:asciiTheme="majorBidi" w:hAnsiTheme="majorBidi" w:cstheme="majorBidi"/>
        </w:rPr>
        <w:t>.</w:t>
      </w:r>
    </w:p>
    <w:p w14:paraId="1CB46C09" w14:textId="63903C99" w:rsidR="00EF688E" w:rsidRPr="005F5C7E" w:rsidRDefault="00EF688E" w:rsidP="006365AD">
      <w:pPr>
        <w:pStyle w:val="Normalnumber"/>
        <w:numPr>
          <w:ilvl w:val="0"/>
          <w:numId w:val="7"/>
        </w:numPr>
        <w:tabs>
          <w:tab w:val="clear" w:pos="1871"/>
          <w:tab w:val="clear" w:pos="2495"/>
        </w:tabs>
        <w:rPr>
          <w:rFonts w:asciiTheme="majorBidi" w:hAnsiTheme="majorBidi" w:cstheme="majorBidi"/>
        </w:rPr>
      </w:pPr>
      <w:r w:rsidRPr="00B500DE">
        <w:rPr>
          <w:rFonts w:asciiTheme="majorBidi" w:hAnsiTheme="majorBidi" w:cstheme="majorBidi"/>
        </w:rPr>
        <w:t xml:space="preserve">UNEP </w:t>
      </w:r>
      <w:r w:rsidR="00E07004" w:rsidRPr="00B500DE">
        <w:rPr>
          <w:rFonts w:asciiTheme="majorBidi" w:hAnsiTheme="majorBidi" w:cstheme="majorBidi"/>
        </w:rPr>
        <w:t>and</w:t>
      </w:r>
      <w:r w:rsidRPr="00B500DE">
        <w:rPr>
          <w:rFonts w:asciiTheme="majorBidi" w:hAnsiTheme="majorBidi" w:cstheme="majorBidi"/>
        </w:rPr>
        <w:t xml:space="preserve"> </w:t>
      </w:r>
      <w:r w:rsidR="00E07004" w:rsidRPr="00B500DE">
        <w:rPr>
          <w:rFonts w:asciiTheme="majorBidi" w:hAnsiTheme="majorBidi" w:cstheme="majorBidi"/>
        </w:rPr>
        <w:t xml:space="preserve">ICCA </w:t>
      </w:r>
      <w:r w:rsidRPr="00B500DE">
        <w:rPr>
          <w:rFonts w:asciiTheme="majorBidi" w:hAnsiTheme="majorBidi" w:cstheme="majorBidi"/>
        </w:rPr>
        <w:t xml:space="preserve">have signed a letter of intent to strengthen their collaboration and are preparing a </w:t>
      </w:r>
      <w:r w:rsidR="00E07004" w:rsidRPr="00B500DE">
        <w:rPr>
          <w:rFonts w:asciiTheme="majorBidi" w:hAnsiTheme="majorBidi" w:cstheme="majorBidi"/>
        </w:rPr>
        <w:t xml:space="preserve">memorandum of understanding </w:t>
      </w:r>
      <w:r w:rsidRPr="00B500DE">
        <w:rPr>
          <w:rFonts w:asciiTheme="majorBidi" w:hAnsiTheme="majorBidi" w:cstheme="majorBidi"/>
        </w:rPr>
        <w:t>that will inc</w:t>
      </w:r>
      <w:r w:rsidRPr="00F31231">
        <w:rPr>
          <w:rFonts w:asciiTheme="majorBidi" w:hAnsiTheme="majorBidi" w:cstheme="majorBidi"/>
        </w:rPr>
        <w:t>lude activities relevan</w:t>
      </w:r>
      <w:r w:rsidR="007F2146" w:rsidRPr="00F31231">
        <w:rPr>
          <w:rFonts w:asciiTheme="majorBidi" w:hAnsiTheme="majorBidi" w:cstheme="majorBidi"/>
        </w:rPr>
        <w:t>t</w:t>
      </w:r>
      <w:r w:rsidRPr="00F31231">
        <w:rPr>
          <w:rFonts w:asciiTheme="majorBidi" w:hAnsiTheme="majorBidi" w:cstheme="majorBidi"/>
        </w:rPr>
        <w:t xml:space="preserve"> for industry involvement under the </w:t>
      </w:r>
      <w:r w:rsidR="00E07004" w:rsidRPr="00F31231">
        <w:rPr>
          <w:rFonts w:asciiTheme="majorBidi" w:hAnsiTheme="majorBidi" w:cstheme="majorBidi"/>
        </w:rPr>
        <w:t xml:space="preserve">integrated approach </w:t>
      </w:r>
      <w:r w:rsidR="00B00930" w:rsidRPr="00F31231">
        <w:rPr>
          <w:rFonts w:asciiTheme="majorBidi" w:hAnsiTheme="majorBidi" w:cstheme="majorBidi"/>
        </w:rPr>
        <w:t xml:space="preserve">to </w:t>
      </w:r>
      <w:r w:rsidRPr="00F31231">
        <w:rPr>
          <w:rFonts w:asciiTheme="majorBidi" w:hAnsiTheme="majorBidi" w:cstheme="majorBidi"/>
        </w:rPr>
        <w:t xml:space="preserve">financing </w:t>
      </w:r>
      <w:r w:rsidR="00E07004" w:rsidRPr="00F31231">
        <w:rPr>
          <w:rFonts w:asciiTheme="majorBidi" w:hAnsiTheme="majorBidi" w:cstheme="majorBidi"/>
        </w:rPr>
        <w:t xml:space="preserve">the </w:t>
      </w:r>
      <w:r w:rsidRPr="00F31231">
        <w:rPr>
          <w:rFonts w:asciiTheme="majorBidi" w:hAnsiTheme="majorBidi" w:cstheme="majorBidi"/>
        </w:rPr>
        <w:t xml:space="preserve">sound management of chemicals and waste. </w:t>
      </w:r>
    </w:p>
    <w:p w14:paraId="5B3C01D6" w14:textId="12CF5FE3" w:rsidR="00EF688E" w:rsidRPr="005F5C7E" w:rsidRDefault="00EF688E" w:rsidP="006365AD">
      <w:pPr>
        <w:pStyle w:val="Normalnumber"/>
        <w:numPr>
          <w:ilvl w:val="0"/>
          <w:numId w:val="7"/>
        </w:numPr>
        <w:tabs>
          <w:tab w:val="clear" w:pos="1871"/>
          <w:tab w:val="clear" w:pos="2495"/>
        </w:tabs>
        <w:rPr>
          <w:rFonts w:asciiTheme="majorBidi" w:hAnsiTheme="majorBidi" w:cstheme="majorBidi"/>
        </w:rPr>
      </w:pPr>
      <w:r w:rsidRPr="00F31231">
        <w:rPr>
          <w:rFonts w:asciiTheme="majorBidi" w:hAnsiTheme="majorBidi" w:cstheme="majorBidi"/>
        </w:rPr>
        <w:t xml:space="preserve">The implementation of </w:t>
      </w:r>
      <w:r w:rsidR="00E07004" w:rsidRPr="00F31231">
        <w:rPr>
          <w:rFonts w:asciiTheme="majorBidi" w:hAnsiTheme="majorBidi" w:cstheme="majorBidi"/>
        </w:rPr>
        <w:t xml:space="preserve">Strategic Approach activities </w:t>
      </w:r>
      <w:r w:rsidR="005D6606" w:rsidRPr="00F31231">
        <w:rPr>
          <w:rFonts w:asciiTheme="majorBidi" w:hAnsiTheme="majorBidi" w:cstheme="majorBidi"/>
        </w:rPr>
        <w:t>concerning</w:t>
      </w:r>
      <w:r w:rsidR="00E07004" w:rsidRPr="00F31231">
        <w:rPr>
          <w:rFonts w:asciiTheme="majorBidi" w:hAnsiTheme="majorBidi" w:cstheme="majorBidi"/>
        </w:rPr>
        <w:t xml:space="preserve"> the</w:t>
      </w:r>
      <w:r w:rsidRPr="00F31231">
        <w:rPr>
          <w:rFonts w:asciiTheme="majorBidi" w:hAnsiTheme="majorBidi" w:cstheme="majorBidi"/>
        </w:rPr>
        <w:t xml:space="preserve"> emerging issues of lead in paint and chemicals in products includes close cooperation with private</w:t>
      </w:r>
      <w:r w:rsidR="007F2146" w:rsidRPr="00F31231">
        <w:rPr>
          <w:rFonts w:asciiTheme="majorBidi" w:hAnsiTheme="majorBidi" w:cstheme="majorBidi"/>
        </w:rPr>
        <w:t>-</w:t>
      </w:r>
      <w:r w:rsidRPr="00F31231">
        <w:rPr>
          <w:rFonts w:asciiTheme="majorBidi" w:hAnsiTheme="majorBidi" w:cstheme="majorBidi"/>
        </w:rPr>
        <w:t xml:space="preserve">sector and civil society actors that are </w:t>
      </w:r>
      <w:r w:rsidR="007F2146" w:rsidRPr="00F31231">
        <w:rPr>
          <w:rFonts w:asciiTheme="majorBidi" w:hAnsiTheme="majorBidi" w:cstheme="majorBidi"/>
        </w:rPr>
        <w:t>relevant</w:t>
      </w:r>
      <w:r w:rsidRPr="00F31231">
        <w:rPr>
          <w:rFonts w:asciiTheme="majorBidi" w:hAnsiTheme="majorBidi" w:cstheme="majorBidi"/>
        </w:rPr>
        <w:t xml:space="preserve"> for industry involvement. </w:t>
      </w:r>
    </w:p>
    <w:p w14:paraId="53DFA5E9" w14:textId="5F78E33A" w:rsidR="00EF688E" w:rsidRPr="009A533B" w:rsidRDefault="00C97677" w:rsidP="006365AD">
      <w:pPr>
        <w:pStyle w:val="CH1"/>
        <w:rPr>
          <w:rFonts w:asciiTheme="majorBidi" w:eastAsiaTheme="majorEastAsia" w:hAnsiTheme="majorBidi"/>
        </w:rPr>
      </w:pPr>
      <w:r>
        <w:rPr>
          <w:rFonts w:eastAsiaTheme="majorEastAsia"/>
        </w:rPr>
        <w:tab/>
      </w:r>
      <w:r w:rsidR="00EF688E" w:rsidRPr="009A533B">
        <w:rPr>
          <w:rFonts w:asciiTheme="majorBidi" w:eastAsiaTheme="majorEastAsia" w:hAnsiTheme="majorBidi"/>
        </w:rPr>
        <w:t>IV.</w:t>
      </w:r>
      <w:r w:rsidR="00EF688E" w:rsidRPr="009A533B">
        <w:rPr>
          <w:rFonts w:asciiTheme="majorBidi" w:eastAsiaTheme="majorEastAsia" w:hAnsiTheme="majorBidi"/>
        </w:rPr>
        <w:tab/>
        <w:t>Issues for consideration</w:t>
      </w:r>
    </w:p>
    <w:p w14:paraId="4734F838" w14:textId="42A77636" w:rsidR="00EF688E" w:rsidRPr="00CD0280" w:rsidRDefault="00EF688E" w:rsidP="006365AD">
      <w:pPr>
        <w:pStyle w:val="Normalnumber"/>
        <w:numPr>
          <w:ilvl w:val="0"/>
          <w:numId w:val="7"/>
        </w:numPr>
        <w:tabs>
          <w:tab w:val="clear" w:pos="1871"/>
          <w:tab w:val="clear" w:pos="2495"/>
        </w:tabs>
        <w:rPr>
          <w:rFonts w:asciiTheme="majorBidi" w:hAnsiTheme="majorBidi" w:cstheme="majorBidi"/>
        </w:rPr>
      </w:pPr>
      <w:r w:rsidRPr="00CD0280">
        <w:rPr>
          <w:rFonts w:asciiTheme="majorBidi" w:hAnsiTheme="majorBidi" w:cstheme="majorBidi"/>
        </w:rPr>
        <w:t>The first phase of activities and lessons learned</w:t>
      </w:r>
      <w:r w:rsidR="00827EEE">
        <w:rPr>
          <w:rFonts w:asciiTheme="majorBidi" w:hAnsiTheme="majorBidi" w:cstheme="majorBidi"/>
        </w:rPr>
        <w:t xml:space="preserve"> </w:t>
      </w:r>
      <w:r w:rsidRPr="00CD0280">
        <w:rPr>
          <w:rFonts w:asciiTheme="majorBidi" w:hAnsiTheme="majorBidi" w:cstheme="majorBidi"/>
        </w:rPr>
        <w:t xml:space="preserve">has identified a range of issues </w:t>
      </w:r>
      <w:r w:rsidR="001C1216">
        <w:rPr>
          <w:rFonts w:asciiTheme="majorBidi" w:hAnsiTheme="majorBidi" w:cstheme="majorBidi"/>
        </w:rPr>
        <w:t>that require</w:t>
      </w:r>
      <w:r w:rsidRPr="00CD0280">
        <w:rPr>
          <w:rFonts w:asciiTheme="majorBidi" w:hAnsiTheme="majorBidi" w:cstheme="majorBidi"/>
        </w:rPr>
        <w:t xml:space="preserve"> further consideration </w:t>
      </w:r>
      <w:r w:rsidR="001C1216">
        <w:rPr>
          <w:rFonts w:asciiTheme="majorBidi" w:hAnsiTheme="majorBidi" w:cstheme="majorBidi"/>
        </w:rPr>
        <w:t xml:space="preserve">in order </w:t>
      </w:r>
      <w:r w:rsidRPr="00CD0280">
        <w:rPr>
          <w:rFonts w:asciiTheme="majorBidi" w:hAnsiTheme="majorBidi" w:cstheme="majorBidi"/>
        </w:rPr>
        <w:t>to strengthen the</w:t>
      </w:r>
      <w:r w:rsidR="00827EEE">
        <w:rPr>
          <w:rFonts w:asciiTheme="majorBidi" w:hAnsiTheme="majorBidi" w:cstheme="majorBidi"/>
        </w:rPr>
        <w:t xml:space="preserve"> </w:t>
      </w:r>
      <w:r w:rsidRPr="00CD0280">
        <w:rPr>
          <w:rFonts w:asciiTheme="majorBidi" w:hAnsiTheme="majorBidi" w:cstheme="majorBidi"/>
        </w:rPr>
        <w:t xml:space="preserve">implementation of the </w:t>
      </w:r>
      <w:r w:rsidR="00E07004" w:rsidRPr="00CD0280">
        <w:rPr>
          <w:rFonts w:asciiTheme="majorBidi" w:hAnsiTheme="majorBidi" w:cstheme="majorBidi"/>
        </w:rPr>
        <w:t xml:space="preserve">integrated approach </w:t>
      </w:r>
      <w:r w:rsidR="00B00930">
        <w:rPr>
          <w:rFonts w:asciiTheme="majorBidi" w:hAnsiTheme="majorBidi" w:cstheme="majorBidi"/>
        </w:rPr>
        <w:t>to</w:t>
      </w:r>
      <w:r w:rsidR="00E07004" w:rsidRPr="00CD0280">
        <w:rPr>
          <w:rFonts w:asciiTheme="majorBidi" w:hAnsiTheme="majorBidi" w:cstheme="majorBidi"/>
        </w:rPr>
        <w:t xml:space="preserve"> financing</w:t>
      </w:r>
      <w:r w:rsidR="00B00930">
        <w:rPr>
          <w:rFonts w:asciiTheme="majorBidi" w:hAnsiTheme="majorBidi" w:cstheme="majorBidi"/>
        </w:rPr>
        <w:t xml:space="preserve"> the sound management</w:t>
      </w:r>
      <w:r w:rsidR="00E07004" w:rsidRPr="00CD0280">
        <w:rPr>
          <w:rFonts w:asciiTheme="majorBidi" w:hAnsiTheme="majorBidi" w:cstheme="majorBidi"/>
        </w:rPr>
        <w:t xml:space="preserve"> of chemicals and waste in the years to come</w:t>
      </w:r>
      <w:r w:rsidRPr="00CD0280">
        <w:rPr>
          <w:rFonts w:asciiTheme="majorBidi" w:hAnsiTheme="majorBidi" w:cstheme="majorBidi"/>
        </w:rPr>
        <w:t>.</w:t>
      </w:r>
    </w:p>
    <w:p w14:paraId="562350F0" w14:textId="5AFFA16D" w:rsidR="00EF688E" w:rsidRPr="009A533B" w:rsidRDefault="00C97677" w:rsidP="006365AD">
      <w:pPr>
        <w:pStyle w:val="CH2"/>
      </w:pPr>
      <w:r>
        <w:tab/>
        <w:t>A</w:t>
      </w:r>
      <w:r w:rsidR="00EF688E" w:rsidRPr="009A533B">
        <w:t>.</w:t>
      </w:r>
      <w:r w:rsidR="00EF688E" w:rsidRPr="009A533B">
        <w:tab/>
      </w:r>
      <w:r w:rsidR="00EF688E">
        <w:t>Mainstreaming</w:t>
      </w:r>
    </w:p>
    <w:p w14:paraId="7611B452" w14:textId="5E17549A" w:rsidR="00EF688E" w:rsidRPr="00CD0280" w:rsidRDefault="00EF688E" w:rsidP="006365AD">
      <w:pPr>
        <w:pStyle w:val="Normalnumber"/>
        <w:numPr>
          <w:ilvl w:val="0"/>
          <w:numId w:val="7"/>
        </w:numPr>
        <w:tabs>
          <w:tab w:val="clear" w:pos="1871"/>
          <w:tab w:val="clear" w:pos="2495"/>
        </w:tabs>
        <w:rPr>
          <w:rFonts w:asciiTheme="majorBidi" w:hAnsiTheme="majorBidi" w:cstheme="majorBidi"/>
        </w:rPr>
      </w:pPr>
      <w:r w:rsidRPr="00116F0F">
        <w:rPr>
          <w:rFonts w:asciiTheme="majorBidi" w:hAnsiTheme="majorBidi" w:cstheme="majorBidi"/>
        </w:rPr>
        <w:t>Opportunities for</w:t>
      </w:r>
      <w:r w:rsidRPr="00CD0280">
        <w:rPr>
          <w:rFonts w:asciiTheme="majorBidi" w:hAnsiTheme="majorBidi" w:cstheme="majorBidi"/>
        </w:rPr>
        <w:t xml:space="preserve"> consideration and further action in the area of </w:t>
      </w:r>
      <w:r w:rsidR="00051B21">
        <w:rPr>
          <w:rFonts w:asciiTheme="majorBidi" w:hAnsiTheme="majorBidi" w:cstheme="majorBidi"/>
        </w:rPr>
        <w:t>m</w:t>
      </w:r>
      <w:r w:rsidRPr="00CD0280">
        <w:rPr>
          <w:rFonts w:asciiTheme="majorBidi" w:hAnsiTheme="majorBidi" w:cstheme="majorBidi"/>
        </w:rPr>
        <w:t>ainstreaming include, for example:</w:t>
      </w:r>
    </w:p>
    <w:p w14:paraId="203FB03E" w14:textId="5FEA9772" w:rsidR="00EF688E" w:rsidRPr="00BC1292" w:rsidRDefault="00051B21" w:rsidP="006365AD">
      <w:pPr>
        <w:numPr>
          <w:ilvl w:val="1"/>
          <w:numId w:val="3"/>
        </w:numPr>
        <w:tabs>
          <w:tab w:val="clear" w:pos="1134"/>
          <w:tab w:val="clear" w:pos="1247"/>
          <w:tab w:val="clear" w:pos="1814"/>
          <w:tab w:val="clear" w:pos="2381"/>
          <w:tab w:val="clear" w:pos="2948"/>
          <w:tab w:val="clear" w:pos="3515"/>
          <w:tab w:val="left" w:pos="624"/>
        </w:tabs>
        <w:spacing w:after="120"/>
        <w:ind w:firstLine="624"/>
        <w:rPr>
          <w:lang w:val="en-GB"/>
        </w:rPr>
      </w:pPr>
      <w:r w:rsidRPr="00BC1292">
        <w:rPr>
          <w:lang w:val="en-GB"/>
        </w:rPr>
        <w:t>U</w:t>
      </w:r>
      <w:r>
        <w:rPr>
          <w:lang w:val="en-GB"/>
        </w:rPr>
        <w:t>sing</w:t>
      </w:r>
      <w:r w:rsidRPr="00BC1292">
        <w:rPr>
          <w:lang w:val="en-GB"/>
        </w:rPr>
        <w:t xml:space="preserve"> </w:t>
      </w:r>
      <w:r w:rsidR="00EF688E" w:rsidRPr="00BC1292">
        <w:rPr>
          <w:lang w:val="en-GB"/>
        </w:rPr>
        <w:t>the implementation of the Sustainable Development Goal</w:t>
      </w:r>
      <w:r w:rsidR="00EF688E">
        <w:rPr>
          <w:lang w:val="en-GB"/>
        </w:rPr>
        <w:t>s</w:t>
      </w:r>
      <w:r w:rsidR="00EF688E" w:rsidRPr="00BC1292">
        <w:rPr>
          <w:lang w:val="en-GB"/>
        </w:rPr>
        <w:t xml:space="preserve"> as an entry point to support </w:t>
      </w:r>
      <w:r>
        <w:rPr>
          <w:lang w:val="en-GB"/>
        </w:rPr>
        <w:t xml:space="preserve">the </w:t>
      </w:r>
      <w:r w:rsidR="00EF688E" w:rsidRPr="00BC1292">
        <w:rPr>
          <w:lang w:val="en-GB"/>
        </w:rPr>
        <w:t xml:space="preserve">mainstreaming of </w:t>
      </w:r>
      <w:r>
        <w:rPr>
          <w:lang w:val="en-GB"/>
        </w:rPr>
        <w:t xml:space="preserve">sound </w:t>
      </w:r>
      <w:r w:rsidR="00EF688E" w:rsidRPr="00BC1292">
        <w:rPr>
          <w:lang w:val="en-GB"/>
        </w:rPr>
        <w:t xml:space="preserve">chemicals and waste management into national sustainable development strategies, including possible support of pilot projects upon request. </w:t>
      </w:r>
      <w:r w:rsidR="00EF688E">
        <w:rPr>
          <w:lang w:val="en-GB"/>
        </w:rPr>
        <w:t xml:space="preserve">This will also </w:t>
      </w:r>
      <w:r w:rsidR="00EF688E">
        <w:rPr>
          <w:lang w:val="en-GB"/>
        </w:rPr>
        <w:lastRenderedPageBreak/>
        <w:t>address the issue of mainstreaming data collection for the indicators as well as monitoring and evaluation</w:t>
      </w:r>
      <w:r>
        <w:rPr>
          <w:lang w:val="en-GB"/>
        </w:rPr>
        <w:t>;</w:t>
      </w:r>
    </w:p>
    <w:p w14:paraId="2D705FC9" w14:textId="2B17D255" w:rsidR="00051B21" w:rsidRDefault="00EF688E" w:rsidP="006365AD">
      <w:pPr>
        <w:numPr>
          <w:ilvl w:val="1"/>
          <w:numId w:val="3"/>
        </w:numPr>
        <w:tabs>
          <w:tab w:val="clear" w:pos="1134"/>
          <w:tab w:val="clear" w:pos="1247"/>
          <w:tab w:val="clear" w:pos="1814"/>
          <w:tab w:val="clear" w:pos="2381"/>
          <w:tab w:val="clear" w:pos="2948"/>
          <w:tab w:val="clear" w:pos="3515"/>
          <w:tab w:val="left" w:pos="624"/>
        </w:tabs>
        <w:spacing w:after="120"/>
        <w:ind w:firstLine="624"/>
        <w:rPr>
          <w:lang w:val="en-GB"/>
        </w:rPr>
      </w:pPr>
      <w:r w:rsidRPr="00BC1292">
        <w:rPr>
          <w:lang w:val="en-GB"/>
        </w:rPr>
        <w:t>Developing guidance and sharing good practi</w:t>
      </w:r>
      <w:r w:rsidR="00051B21">
        <w:rPr>
          <w:lang w:val="en-GB"/>
        </w:rPr>
        <w:t>c</w:t>
      </w:r>
      <w:r w:rsidRPr="00BC1292">
        <w:rPr>
          <w:lang w:val="en-GB"/>
        </w:rPr>
        <w:t>es concerning</w:t>
      </w:r>
      <w:r w:rsidR="00051B21">
        <w:rPr>
          <w:lang w:val="en-GB"/>
        </w:rPr>
        <w:t>:</w:t>
      </w:r>
    </w:p>
    <w:p w14:paraId="289306F2" w14:textId="654D71E6" w:rsidR="00051B21" w:rsidRPr="005F5C7E" w:rsidRDefault="00051B21" w:rsidP="008A70FE">
      <w:pPr>
        <w:pStyle w:val="Normalnumber"/>
        <w:numPr>
          <w:ilvl w:val="0"/>
          <w:numId w:val="104"/>
        </w:numPr>
        <w:ind w:left="3119" w:hanging="624"/>
      </w:pPr>
      <w:r>
        <w:tab/>
      </w:r>
      <w:r w:rsidRPr="008A70FE">
        <w:t xml:space="preserve">The </w:t>
      </w:r>
      <w:r w:rsidR="00EF688E" w:rsidRPr="00AC3C25">
        <w:t>development of economic instrument</w:t>
      </w:r>
      <w:r w:rsidRPr="00AC3C25">
        <w:t>s</w:t>
      </w:r>
      <w:r w:rsidR="00EF688E" w:rsidRPr="00AC3C25">
        <w:t xml:space="preserve"> and </w:t>
      </w:r>
      <w:r w:rsidRPr="00AC3C25">
        <w:t xml:space="preserve">the </w:t>
      </w:r>
      <w:r w:rsidR="00EF688E" w:rsidRPr="00AC3C25">
        <w:t>division of responsibilities betwee</w:t>
      </w:r>
      <w:r w:rsidR="00EF688E" w:rsidRPr="00F31231">
        <w:t xml:space="preserve">n </w:t>
      </w:r>
      <w:r w:rsidRPr="00F31231">
        <w:t>G</w:t>
      </w:r>
      <w:r w:rsidR="00EF688E" w:rsidRPr="00F31231">
        <w:t>overnments and industry</w:t>
      </w:r>
      <w:r w:rsidRPr="00F31231">
        <w:t>;</w:t>
      </w:r>
      <w:r w:rsidR="00827EEE" w:rsidRPr="00F31231">
        <w:t xml:space="preserve"> </w:t>
      </w:r>
    </w:p>
    <w:p w14:paraId="4658F724" w14:textId="4599FD2D" w:rsidR="00EF688E" w:rsidRPr="008A70FE" w:rsidRDefault="00051B21" w:rsidP="008A70FE">
      <w:pPr>
        <w:pStyle w:val="Normalnumber"/>
        <w:numPr>
          <w:ilvl w:val="0"/>
          <w:numId w:val="104"/>
        </w:numPr>
        <w:ind w:left="3119" w:hanging="624"/>
      </w:pPr>
      <w:r w:rsidRPr="008A70FE">
        <w:tab/>
        <w:t xml:space="preserve">The </w:t>
      </w:r>
      <w:r w:rsidR="00EF688E" w:rsidRPr="008A70FE">
        <w:t>use of economic analysis to assess the benefits of action on chemicals in order to internalize the external cost related to chemicals</w:t>
      </w:r>
      <w:r w:rsidRPr="008A70FE">
        <w:t>;</w:t>
      </w:r>
    </w:p>
    <w:p w14:paraId="5E0DF7E4" w14:textId="619DCEDD" w:rsidR="00EF688E" w:rsidRPr="00F31231" w:rsidRDefault="00EF688E" w:rsidP="006365AD">
      <w:pPr>
        <w:numPr>
          <w:ilvl w:val="1"/>
          <w:numId w:val="3"/>
        </w:numPr>
        <w:tabs>
          <w:tab w:val="clear" w:pos="1134"/>
          <w:tab w:val="clear" w:pos="1247"/>
          <w:tab w:val="clear" w:pos="1814"/>
          <w:tab w:val="clear" w:pos="2381"/>
          <w:tab w:val="clear" w:pos="2948"/>
          <w:tab w:val="clear" w:pos="3515"/>
          <w:tab w:val="left" w:pos="624"/>
        </w:tabs>
        <w:spacing w:after="120"/>
        <w:ind w:firstLine="624"/>
        <w:rPr>
          <w:lang w:val="en-GB"/>
        </w:rPr>
      </w:pPr>
      <w:r w:rsidRPr="00F31231">
        <w:rPr>
          <w:lang w:val="en-GB"/>
        </w:rPr>
        <w:t xml:space="preserve">Strengthening advisory and support services to promote the sound management of chemicals at the national level, including its mainstreaming into national policies and programmes, </w:t>
      </w:r>
      <w:r w:rsidR="005F5C7E" w:rsidRPr="00F31231">
        <w:rPr>
          <w:lang w:val="en-GB"/>
        </w:rPr>
        <w:t xml:space="preserve">and </w:t>
      </w:r>
      <w:r w:rsidRPr="00F31231">
        <w:rPr>
          <w:lang w:val="en-GB"/>
        </w:rPr>
        <w:t xml:space="preserve">instruments concerning </w:t>
      </w:r>
      <w:r w:rsidR="00051B21" w:rsidRPr="00F31231">
        <w:rPr>
          <w:lang w:val="en-GB"/>
        </w:rPr>
        <w:t xml:space="preserve">the </w:t>
      </w:r>
      <w:r w:rsidRPr="00F31231">
        <w:rPr>
          <w:lang w:val="en-GB"/>
        </w:rPr>
        <w:t>production, use, trade and release</w:t>
      </w:r>
      <w:r w:rsidR="00051B21" w:rsidRPr="00F31231">
        <w:rPr>
          <w:lang w:val="en-GB"/>
        </w:rPr>
        <w:t xml:space="preserve"> of chemicals;</w:t>
      </w:r>
      <w:r w:rsidR="00116F0F" w:rsidRPr="00F31231">
        <w:rPr>
          <w:lang w:val="en-GB"/>
        </w:rPr>
        <w:t xml:space="preserve">    </w:t>
      </w:r>
    </w:p>
    <w:p w14:paraId="58EBE189" w14:textId="7E15F070" w:rsidR="00EF688E" w:rsidRPr="009957F0" w:rsidRDefault="00EF688E" w:rsidP="006365AD">
      <w:pPr>
        <w:numPr>
          <w:ilvl w:val="1"/>
          <w:numId w:val="3"/>
        </w:numPr>
        <w:tabs>
          <w:tab w:val="clear" w:pos="1134"/>
          <w:tab w:val="clear" w:pos="1247"/>
          <w:tab w:val="clear" w:pos="1814"/>
          <w:tab w:val="clear" w:pos="2381"/>
          <w:tab w:val="clear" w:pos="2948"/>
          <w:tab w:val="clear" w:pos="3515"/>
          <w:tab w:val="left" w:pos="624"/>
        </w:tabs>
        <w:spacing w:after="120"/>
        <w:ind w:firstLine="624"/>
        <w:rPr>
          <w:lang w:val="en-GB"/>
        </w:rPr>
      </w:pPr>
      <w:r w:rsidRPr="009957F0">
        <w:rPr>
          <w:lang w:val="en-GB"/>
        </w:rPr>
        <w:t xml:space="preserve">Implementation of pilot projects to support </w:t>
      </w:r>
      <w:r w:rsidR="00051B21" w:rsidRPr="009957F0">
        <w:rPr>
          <w:lang w:val="en-GB"/>
        </w:rPr>
        <w:t xml:space="preserve">the </w:t>
      </w:r>
      <w:r w:rsidRPr="009957F0">
        <w:rPr>
          <w:lang w:val="en-GB"/>
        </w:rPr>
        <w:t>development and adoption of economic incentives and cost</w:t>
      </w:r>
      <w:r w:rsidR="00051B21" w:rsidRPr="009957F0">
        <w:rPr>
          <w:lang w:val="en-GB"/>
        </w:rPr>
        <w:t>-</w:t>
      </w:r>
      <w:r w:rsidRPr="009957F0">
        <w:rPr>
          <w:lang w:val="en-GB"/>
        </w:rPr>
        <w:t>recovery schemes for the sound management of chemicals, upon request</w:t>
      </w:r>
      <w:r w:rsidR="001C1216" w:rsidRPr="009957F0">
        <w:rPr>
          <w:lang w:val="en-GB"/>
        </w:rPr>
        <w:t>;</w:t>
      </w:r>
    </w:p>
    <w:p w14:paraId="6C381A56" w14:textId="05D1C5D4" w:rsidR="00EF688E" w:rsidRPr="00BC1292" w:rsidRDefault="00EF688E" w:rsidP="006365AD">
      <w:pPr>
        <w:numPr>
          <w:ilvl w:val="1"/>
          <w:numId w:val="3"/>
        </w:numPr>
        <w:tabs>
          <w:tab w:val="clear" w:pos="1134"/>
          <w:tab w:val="clear" w:pos="1247"/>
          <w:tab w:val="clear" w:pos="1814"/>
          <w:tab w:val="clear" w:pos="2381"/>
          <w:tab w:val="clear" w:pos="2948"/>
          <w:tab w:val="clear" w:pos="3515"/>
          <w:tab w:val="left" w:pos="624"/>
        </w:tabs>
        <w:spacing w:after="120"/>
        <w:ind w:firstLine="624"/>
        <w:rPr>
          <w:lang w:val="en-GB"/>
        </w:rPr>
      </w:pPr>
      <w:r w:rsidRPr="009957F0">
        <w:rPr>
          <w:lang w:val="en-GB"/>
        </w:rPr>
        <w:t xml:space="preserve">Analysis </w:t>
      </w:r>
      <w:r w:rsidR="001C1216" w:rsidRPr="009957F0">
        <w:rPr>
          <w:lang w:val="en-GB"/>
        </w:rPr>
        <w:t xml:space="preserve">to </w:t>
      </w:r>
      <w:r w:rsidR="00BD18A0" w:rsidRPr="009957F0">
        <w:rPr>
          <w:lang w:val="en-GB"/>
        </w:rPr>
        <w:t>determine</w:t>
      </w:r>
      <w:r w:rsidR="00051B21" w:rsidRPr="009957F0">
        <w:rPr>
          <w:lang w:val="en-GB"/>
        </w:rPr>
        <w:t xml:space="preserve"> </w:t>
      </w:r>
      <w:r w:rsidRPr="009957F0">
        <w:rPr>
          <w:lang w:val="en-GB"/>
        </w:rPr>
        <w:t>how the Special Programme and</w:t>
      </w:r>
      <w:r>
        <w:rPr>
          <w:lang w:val="en-GB"/>
        </w:rPr>
        <w:t xml:space="preserve"> other financial mechanisms in the chemicals and waste cluster can </w:t>
      </w:r>
      <w:r w:rsidR="001C1216">
        <w:rPr>
          <w:lang w:val="en-GB"/>
        </w:rPr>
        <w:t xml:space="preserve">most </w:t>
      </w:r>
      <w:r>
        <w:rPr>
          <w:lang w:val="en-GB"/>
        </w:rPr>
        <w:t xml:space="preserve">effectively support mainstreaming activities as part of institutional strengthening and coordination of implementation of the </w:t>
      </w:r>
      <w:r w:rsidR="00051B21">
        <w:rPr>
          <w:lang w:val="en-GB"/>
        </w:rPr>
        <w:t>chemicals and wastes conventions</w:t>
      </w:r>
      <w:r>
        <w:rPr>
          <w:lang w:val="en-GB"/>
        </w:rPr>
        <w:t xml:space="preserve"> and </w:t>
      </w:r>
      <w:r w:rsidR="00051B21">
        <w:rPr>
          <w:lang w:val="en-GB"/>
        </w:rPr>
        <w:t>the Strategic Approach</w:t>
      </w:r>
      <w:r>
        <w:rPr>
          <w:lang w:val="en-GB"/>
        </w:rPr>
        <w:t>.</w:t>
      </w:r>
    </w:p>
    <w:p w14:paraId="3F573FB7" w14:textId="4486B5A4" w:rsidR="00EF688E" w:rsidRPr="009A533B" w:rsidRDefault="00C97677" w:rsidP="006365AD">
      <w:pPr>
        <w:pStyle w:val="CH2"/>
      </w:pPr>
      <w:r>
        <w:tab/>
        <w:t>B</w:t>
      </w:r>
      <w:r w:rsidR="00EF688E" w:rsidRPr="009A533B">
        <w:t>.</w:t>
      </w:r>
      <w:r w:rsidR="00EF688E" w:rsidRPr="009A533B">
        <w:tab/>
      </w:r>
      <w:r w:rsidR="00EF688E">
        <w:t>Industry involvement</w:t>
      </w:r>
    </w:p>
    <w:p w14:paraId="19C8B8F6" w14:textId="7EF32A5E" w:rsidR="00EF688E" w:rsidRPr="00CD0280" w:rsidRDefault="00EF688E" w:rsidP="006365AD">
      <w:pPr>
        <w:pStyle w:val="Normalnumber"/>
        <w:numPr>
          <w:ilvl w:val="0"/>
          <w:numId w:val="7"/>
        </w:numPr>
        <w:tabs>
          <w:tab w:val="clear" w:pos="1871"/>
          <w:tab w:val="clear" w:pos="2495"/>
        </w:tabs>
        <w:rPr>
          <w:rFonts w:asciiTheme="majorBidi" w:hAnsiTheme="majorBidi" w:cstheme="majorBidi"/>
        </w:rPr>
      </w:pPr>
      <w:r w:rsidRPr="001934F4">
        <w:rPr>
          <w:rFonts w:asciiTheme="majorBidi" w:hAnsiTheme="majorBidi" w:cstheme="majorBidi"/>
        </w:rPr>
        <w:t>Opportunities</w:t>
      </w:r>
      <w:r w:rsidRPr="00CD0280">
        <w:rPr>
          <w:rFonts w:asciiTheme="majorBidi" w:hAnsiTheme="majorBidi" w:cstheme="majorBidi"/>
        </w:rPr>
        <w:t xml:space="preserve"> for consideration and further action in the area of </w:t>
      </w:r>
      <w:r w:rsidR="00051B21" w:rsidRPr="00CD0280">
        <w:rPr>
          <w:rFonts w:asciiTheme="majorBidi" w:hAnsiTheme="majorBidi" w:cstheme="majorBidi"/>
        </w:rPr>
        <w:t xml:space="preserve">industry involvement </w:t>
      </w:r>
      <w:r w:rsidRPr="00CD0280">
        <w:rPr>
          <w:rFonts w:asciiTheme="majorBidi" w:hAnsiTheme="majorBidi" w:cstheme="majorBidi"/>
        </w:rPr>
        <w:t>include:</w:t>
      </w:r>
    </w:p>
    <w:p w14:paraId="446C85EA" w14:textId="0EECA6B0" w:rsidR="00EF688E" w:rsidRPr="00BC1292" w:rsidRDefault="00EF688E" w:rsidP="006365AD">
      <w:pPr>
        <w:numPr>
          <w:ilvl w:val="1"/>
          <w:numId w:val="3"/>
        </w:numPr>
        <w:tabs>
          <w:tab w:val="clear" w:pos="1134"/>
          <w:tab w:val="clear" w:pos="1247"/>
          <w:tab w:val="clear" w:pos="1814"/>
          <w:tab w:val="clear" w:pos="2381"/>
          <w:tab w:val="clear" w:pos="2948"/>
          <w:tab w:val="clear" w:pos="3515"/>
        </w:tabs>
        <w:spacing w:after="120"/>
        <w:ind w:firstLine="624"/>
        <w:rPr>
          <w:lang w:val="en-GB"/>
        </w:rPr>
      </w:pPr>
      <w:r w:rsidRPr="00BC1292">
        <w:rPr>
          <w:lang w:val="en-GB"/>
        </w:rPr>
        <w:t>Implement</w:t>
      </w:r>
      <w:r w:rsidR="00051B21">
        <w:rPr>
          <w:lang w:val="en-GB"/>
        </w:rPr>
        <w:t>ation</w:t>
      </w:r>
      <w:r w:rsidRPr="00BC1292">
        <w:rPr>
          <w:lang w:val="en-GB"/>
        </w:rPr>
        <w:t xml:space="preserve"> </w:t>
      </w:r>
      <w:r w:rsidR="00787CEB">
        <w:rPr>
          <w:lang w:val="en-GB"/>
        </w:rPr>
        <w:t xml:space="preserve">of </w:t>
      </w:r>
      <w:r w:rsidRPr="00BC1292">
        <w:rPr>
          <w:lang w:val="en-GB"/>
        </w:rPr>
        <w:t>and scal</w:t>
      </w:r>
      <w:r w:rsidR="00051B21">
        <w:rPr>
          <w:lang w:val="en-GB"/>
        </w:rPr>
        <w:t>ing</w:t>
      </w:r>
      <w:r w:rsidR="001C1216">
        <w:rPr>
          <w:lang w:val="en-GB"/>
        </w:rPr>
        <w:t>-</w:t>
      </w:r>
      <w:r w:rsidRPr="00BC1292">
        <w:rPr>
          <w:lang w:val="en-GB"/>
        </w:rPr>
        <w:t xml:space="preserve">up action under the </w:t>
      </w:r>
      <w:r w:rsidR="00051B21">
        <w:rPr>
          <w:lang w:val="en-GB"/>
        </w:rPr>
        <w:t xml:space="preserve">memorandum of understanding </w:t>
      </w:r>
      <w:r w:rsidRPr="00BC1292">
        <w:rPr>
          <w:lang w:val="en-GB"/>
        </w:rPr>
        <w:t xml:space="preserve">with </w:t>
      </w:r>
      <w:r w:rsidR="00051B21" w:rsidRPr="00BD3D32">
        <w:rPr>
          <w:lang w:val="en-GB"/>
        </w:rPr>
        <w:t>ICCA</w:t>
      </w:r>
      <w:r w:rsidRPr="00BD3D32">
        <w:rPr>
          <w:lang w:val="en-GB"/>
        </w:rPr>
        <w:t xml:space="preserve"> on</w:t>
      </w:r>
      <w:r w:rsidRPr="00044652">
        <w:rPr>
          <w:lang w:val="en-GB"/>
        </w:rPr>
        <w:t xml:space="preserve"> a strengthened</w:t>
      </w:r>
      <w:r w:rsidRPr="00BC1292">
        <w:rPr>
          <w:lang w:val="en-GB"/>
        </w:rPr>
        <w:t xml:space="preserve"> partnership </w:t>
      </w:r>
      <w:r w:rsidR="00051B21">
        <w:rPr>
          <w:lang w:val="en-GB"/>
        </w:rPr>
        <w:t>for the</w:t>
      </w:r>
      <w:r w:rsidRPr="00BC1292">
        <w:rPr>
          <w:lang w:val="en-GB"/>
        </w:rPr>
        <w:t xml:space="preserve"> sound management of chemicals</w:t>
      </w:r>
      <w:r w:rsidR="00051B21">
        <w:rPr>
          <w:lang w:val="en-GB"/>
        </w:rPr>
        <w:t>;</w:t>
      </w:r>
    </w:p>
    <w:p w14:paraId="125A45F7" w14:textId="095065DF" w:rsidR="00EF688E" w:rsidRPr="00BC1292" w:rsidRDefault="00EF688E" w:rsidP="006365AD">
      <w:pPr>
        <w:numPr>
          <w:ilvl w:val="1"/>
          <w:numId w:val="3"/>
        </w:numPr>
        <w:tabs>
          <w:tab w:val="clear" w:pos="1134"/>
          <w:tab w:val="clear" w:pos="1247"/>
          <w:tab w:val="clear" w:pos="1814"/>
          <w:tab w:val="clear" w:pos="2381"/>
          <w:tab w:val="clear" w:pos="2948"/>
          <w:tab w:val="clear" w:pos="3515"/>
        </w:tabs>
        <w:spacing w:after="120"/>
        <w:ind w:firstLine="624"/>
        <w:rPr>
          <w:lang w:val="en-GB"/>
        </w:rPr>
      </w:pPr>
      <w:r w:rsidRPr="00BC1292">
        <w:rPr>
          <w:lang w:val="en-GB"/>
        </w:rPr>
        <w:t xml:space="preserve">Development of partnerships with </w:t>
      </w:r>
      <w:r w:rsidRPr="006365AD">
        <w:rPr>
          <w:lang w:val="en-US"/>
        </w:rPr>
        <w:t xml:space="preserve">multinational companies and </w:t>
      </w:r>
      <w:r w:rsidR="00C2718A">
        <w:rPr>
          <w:lang w:val="en-US"/>
        </w:rPr>
        <w:t>small and medium</w:t>
      </w:r>
      <w:r w:rsidR="00C2718A">
        <w:rPr>
          <w:lang w:val="en-US"/>
        </w:rPr>
        <w:noBreakHyphen/>
      </w:r>
      <w:r w:rsidR="00051B21">
        <w:rPr>
          <w:lang w:val="en-US"/>
        </w:rPr>
        <w:t xml:space="preserve">sized enterprises </w:t>
      </w:r>
      <w:r w:rsidR="001C1216">
        <w:rPr>
          <w:lang w:val="en-US"/>
        </w:rPr>
        <w:t>to</w:t>
      </w:r>
      <w:r w:rsidRPr="006365AD">
        <w:rPr>
          <w:lang w:val="en-US"/>
        </w:rPr>
        <w:t xml:space="preserve"> design and implement results-based chemicals management capacity development initiatives at the regional and national level</w:t>
      </w:r>
      <w:r w:rsidR="00051B21">
        <w:rPr>
          <w:lang w:val="en-US"/>
        </w:rPr>
        <w:t>s</w:t>
      </w:r>
      <w:r w:rsidR="00051B21">
        <w:rPr>
          <w:lang w:val="en-GB"/>
        </w:rPr>
        <w:t>;</w:t>
      </w:r>
      <w:r w:rsidRPr="00BC1292">
        <w:rPr>
          <w:lang w:val="en-GB"/>
        </w:rPr>
        <w:t xml:space="preserve"> </w:t>
      </w:r>
    </w:p>
    <w:p w14:paraId="1420E4CC" w14:textId="1DB7921B" w:rsidR="00051B21" w:rsidRDefault="00EF688E" w:rsidP="006365AD">
      <w:pPr>
        <w:numPr>
          <w:ilvl w:val="1"/>
          <w:numId w:val="3"/>
        </w:numPr>
        <w:tabs>
          <w:tab w:val="clear" w:pos="1134"/>
          <w:tab w:val="clear" w:pos="1247"/>
          <w:tab w:val="clear" w:pos="1814"/>
          <w:tab w:val="clear" w:pos="2381"/>
          <w:tab w:val="clear" w:pos="2948"/>
          <w:tab w:val="clear" w:pos="3515"/>
        </w:tabs>
        <w:spacing w:after="120"/>
        <w:ind w:firstLine="624"/>
        <w:rPr>
          <w:lang w:val="en-GB"/>
        </w:rPr>
      </w:pPr>
      <w:r w:rsidRPr="00BC1292">
        <w:rPr>
          <w:lang w:val="en-GB"/>
        </w:rPr>
        <w:t>Development</w:t>
      </w:r>
      <w:r w:rsidR="00827EEE">
        <w:rPr>
          <w:lang w:val="en-GB"/>
        </w:rPr>
        <w:t xml:space="preserve"> </w:t>
      </w:r>
      <w:r w:rsidRPr="00BC1292">
        <w:rPr>
          <w:lang w:val="en-GB"/>
        </w:rPr>
        <w:t xml:space="preserve">of guidance </w:t>
      </w:r>
      <w:r w:rsidR="00051B21">
        <w:rPr>
          <w:lang w:val="en-GB"/>
        </w:rPr>
        <w:t>for:</w:t>
      </w:r>
    </w:p>
    <w:p w14:paraId="192EF66F" w14:textId="45178B11" w:rsidR="00051B21" w:rsidRPr="008A70FE" w:rsidRDefault="00051B21" w:rsidP="00AD0078">
      <w:pPr>
        <w:pStyle w:val="Normalnumber"/>
        <w:numPr>
          <w:ilvl w:val="0"/>
          <w:numId w:val="107"/>
        </w:numPr>
        <w:ind w:left="3119" w:hanging="624"/>
      </w:pPr>
      <w:r w:rsidRPr="008A70FE">
        <w:t>The in</w:t>
      </w:r>
      <w:r w:rsidR="00EF688E" w:rsidRPr="008A70FE">
        <w:t>tegrat</w:t>
      </w:r>
      <w:r w:rsidRPr="008A70FE">
        <w:t>ion of</w:t>
      </w:r>
      <w:r w:rsidR="00EF688E" w:rsidRPr="008A70FE">
        <w:t xml:space="preserve"> chemicals and waste management in all stages of the chemicals value chain</w:t>
      </w:r>
      <w:r w:rsidRPr="008A70FE">
        <w:t>;</w:t>
      </w:r>
      <w:r w:rsidR="00EF688E" w:rsidRPr="008A70FE">
        <w:t xml:space="preserve"> </w:t>
      </w:r>
    </w:p>
    <w:p w14:paraId="2C3AD40C" w14:textId="333EE2C5" w:rsidR="00EF688E" w:rsidRPr="00BC1292" w:rsidRDefault="00C2718A" w:rsidP="008A70FE">
      <w:pPr>
        <w:pStyle w:val="Normalnumber"/>
        <w:numPr>
          <w:ilvl w:val="0"/>
          <w:numId w:val="107"/>
        </w:numPr>
        <w:ind w:left="3119" w:hanging="624"/>
      </w:pPr>
      <w:r w:rsidRPr="008A70FE">
        <w:t xml:space="preserve">The </w:t>
      </w:r>
      <w:r w:rsidR="00EF688E" w:rsidRPr="008A70FE">
        <w:t>develop</w:t>
      </w:r>
      <w:r w:rsidRPr="008A70FE">
        <w:t>ment of</w:t>
      </w:r>
      <w:r w:rsidR="00827EEE" w:rsidRPr="008A70FE">
        <w:t xml:space="preserve"> </w:t>
      </w:r>
      <w:r w:rsidR="00EF688E" w:rsidRPr="008A70FE">
        <w:t xml:space="preserve">national plans to ensure </w:t>
      </w:r>
      <w:r w:rsidRPr="008A70FE">
        <w:t xml:space="preserve">the </w:t>
      </w:r>
      <w:r w:rsidR="00EF688E" w:rsidRPr="008A70FE">
        <w:t>involvement of industry through different legal and voluntary means</w:t>
      </w:r>
      <w:r w:rsidRPr="008A70FE">
        <w:t>;</w:t>
      </w:r>
    </w:p>
    <w:p w14:paraId="67E5967D" w14:textId="12F37257" w:rsidR="00EF688E" w:rsidRPr="00BC1292" w:rsidRDefault="00EF688E" w:rsidP="006365AD">
      <w:pPr>
        <w:numPr>
          <w:ilvl w:val="1"/>
          <w:numId w:val="3"/>
        </w:numPr>
        <w:tabs>
          <w:tab w:val="clear" w:pos="1134"/>
          <w:tab w:val="clear" w:pos="1247"/>
          <w:tab w:val="clear" w:pos="1814"/>
          <w:tab w:val="clear" w:pos="2381"/>
          <w:tab w:val="clear" w:pos="2948"/>
          <w:tab w:val="clear" w:pos="3515"/>
        </w:tabs>
        <w:spacing w:after="120"/>
        <w:ind w:firstLine="624"/>
        <w:rPr>
          <w:lang w:val="en-GB"/>
        </w:rPr>
      </w:pPr>
      <w:r w:rsidRPr="00BC1292">
        <w:rPr>
          <w:lang w:val="en-GB"/>
        </w:rPr>
        <w:t>Consideration of new innovative financial instruments</w:t>
      </w:r>
      <w:r w:rsidR="00C2718A">
        <w:rPr>
          <w:lang w:val="en-GB"/>
        </w:rPr>
        <w:t>,</w:t>
      </w:r>
      <w:r w:rsidRPr="00BC1292">
        <w:rPr>
          <w:lang w:val="en-GB"/>
        </w:rPr>
        <w:t xml:space="preserve"> mechanism</w:t>
      </w:r>
      <w:r w:rsidR="00C2718A">
        <w:rPr>
          <w:lang w:val="en-GB"/>
        </w:rPr>
        <w:t>s</w:t>
      </w:r>
      <w:r w:rsidRPr="00BC1292">
        <w:rPr>
          <w:lang w:val="en-GB"/>
        </w:rPr>
        <w:t xml:space="preserve"> and advisory services to scale up investments and technology transfer for </w:t>
      </w:r>
      <w:r w:rsidR="00C2718A">
        <w:rPr>
          <w:lang w:val="en-GB"/>
        </w:rPr>
        <w:t xml:space="preserve">the </w:t>
      </w:r>
      <w:r w:rsidRPr="00BC1292">
        <w:rPr>
          <w:lang w:val="en-GB"/>
        </w:rPr>
        <w:t>sound management of chemicals and waste</w:t>
      </w:r>
      <w:r w:rsidR="00C2718A">
        <w:rPr>
          <w:lang w:val="en-GB"/>
        </w:rPr>
        <w:t>s;</w:t>
      </w:r>
    </w:p>
    <w:p w14:paraId="6DCB3A36" w14:textId="038E6A85" w:rsidR="00EF688E" w:rsidRPr="00BC1292" w:rsidRDefault="001C1216" w:rsidP="006365AD">
      <w:pPr>
        <w:numPr>
          <w:ilvl w:val="1"/>
          <w:numId w:val="3"/>
        </w:numPr>
        <w:tabs>
          <w:tab w:val="clear" w:pos="1134"/>
          <w:tab w:val="clear" w:pos="1247"/>
          <w:tab w:val="clear" w:pos="1814"/>
          <w:tab w:val="clear" w:pos="2381"/>
          <w:tab w:val="clear" w:pos="2948"/>
          <w:tab w:val="clear" w:pos="3515"/>
        </w:tabs>
        <w:spacing w:after="120"/>
        <w:ind w:firstLine="624"/>
        <w:rPr>
          <w:lang w:val="en-GB"/>
        </w:rPr>
      </w:pPr>
      <w:r>
        <w:rPr>
          <w:lang w:val="en-GB"/>
        </w:rPr>
        <w:t>Collaboration</w:t>
      </w:r>
      <w:r w:rsidR="00EF688E" w:rsidRPr="00BC1292">
        <w:rPr>
          <w:lang w:val="en-GB"/>
        </w:rPr>
        <w:t xml:space="preserve"> with industry</w:t>
      </w:r>
      <w:r w:rsidR="00EF688E">
        <w:rPr>
          <w:lang w:val="en-GB"/>
        </w:rPr>
        <w:t xml:space="preserve"> </w:t>
      </w:r>
      <w:r w:rsidR="00EF688E" w:rsidRPr="00BC1292">
        <w:rPr>
          <w:lang w:val="en-GB"/>
        </w:rPr>
        <w:t>and other relevant stakeholders to advance sustainable chemistry.</w:t>
      </w:r>
    </w:p>
    <w:p w14:paraId="28850CAD" w14:textId="77777777" w:rsidR="00EF688E" w:rsidRPr="009A533B" w:rsidRDefault="00C97677" w:rsidP="006365AD">
      <w:pPr>
        <w:pStyle w:val="CH2"/>
      </w:pPr>
      <w:r>
        <w:tab/>
      </w:r>
      <w:r w:rsidR="00EF688E" w:rsidRPr="009A533B">
        <w:t>C.</w:t>
      </w:r>
      <w:r w:rsidR="00EF688E" w:rsidRPr="009A533B">
        <w:tab/>
        <w:t>Dedicated external financing</w:t>
      </w:r>
    </w:p>
    <w:p w14:paraId="32F74508" w14:textId="0E5DC625" w:rsidR="00EF688E" w:rsidRPr="00CD0280" w:rsidRDefault="00EF688E" w:rsidP="006365AD">
      <w:pPr>
        <w:pStyle w:val="Normalnumber"/>
        <w:numPr>
          <w:ilvl w:val="0"/>
          <w:numId w:val="7"/>
        </w:numPr>
        <w:tabs>
          <w:tab w:val="clear" w:pos="1871"/>
          <w:tab w:val="clear" w:pos="2495"/>
        </w:tabs>
      </w:pPr>
      <w:r w:rsidRPr="00CD0280">
        <w:t xml:space="preserve">Opportunities </w:t>
      </w:r>
      <w:r w:rsidRPr="00CD0280">
        <w:rPr>
          <w:rFonts w:asciiTheme="majorBidi" w:hAnsiTheme="majorBidi" w:cstheme="majorBidi"/>
        </w:rPr>
        <w:t xml:space="preserve">for consideration and further action </w:t>
      </w:r>
      <w:r w:rsidRPr="00CD0280">
        <w:t xml:space="preserve">in the area of </w:t>
      </w:r>
      <w:r w:rsidR="00C2718A" w:rsidRPr="00CD0280">
        <w:t xml:space="preserve">dedicated external financing </w:t>
      </w:r>
      <w:r w:rsidRPr="00CD0280">
        <w:t>include, for example:</w:t>
      </w:r>
    </w:p>
    <w:p w14:paraId="5320119B" w14:textId="2076200A" w:rsidR="00EF688E" w:rsidRPr="00BC1292" w:rsidRDefault="00EF688E" w:rsidP="006365AD">
      <w:pPr>
        <w:numPr>
          <w:ilvl w:val="1"/>
          <w:numId w:val="3"/>
        </w:numPr>
        <w:tabs>
          <w:tab w:val="clear" w:pos="1134"/>
          <w:tab w:val="clear" w:pos="1247"/>
          <w:tab w:val="clear" w:pos="1814"/>
          <w:tab w:val="clear" w:pos="2381"/>
          <w:tab w:val="clear" w:pos="2948"/>
          <w:tab w:val="clear" w:pos="3515"/>
        </w:tabs>
        <w:spacing w:after="120"/>
        <w:ind w:firstLine="624"/>
        <w:rPr>
          <w:lang w:val="en-GB"/>
        </w:rPr>
      </w:pPr>
      <w:r w:rsidRPr="00BC1292">
        <w:rPr>
          <w:lang w:val="en-GB"/>
        </w:rPr>
        <w:t>Ensuring sustainable funding for the Special Programme by encouraging multi-year donor contributions</w:t>
      </w:r>
      <w:r w:rsidR="00C2718A">
        <w:rPr>
          <w:lang w:val="en-GB"/>
        </w:rPr>
        <w:t>;</w:t>
      </w:r>
    </w:p>
    <w:p w14:paraId="10504F03" w14:textId="2143DBA4" w:rsidR="00EF688E" w:rsidRPr="00BC1292" w:rsidRDefault="00EF688E" w:rsidP="006365AD">
      <w:pPr>
        <w:numPr>
          <w:ilvl w:val="1"/>
          <w:numId w:val="3"/>
        </w:numPr>
        <w:tabs>
          <w:tab w:val="clear" w:pos="1134"/>
          <w:tab w:val="clear" w:pos="1247"/>
          <w:tab w:val="clear" w:pos="1814"/>
          <w:tab w:val="clear" w:pos="2381"/>
          <w:tab w:val="clear" w:pos="2948"/>
          <w:tab w:val="clear" w:pos="3515"/>
        </w:tabs>
        <w:spacing w:after="120"/>
        <w:ind w:firstLine="624"/>
        <w:rPr>
          <w:lang w:val="en-GB"/>
        </w:rPr>
      </w:pPr>
      <w:r w:rsidRPr="00BC1292">
        <w:rPr>
          <w:lang w:val="en-GB"/>
        </w:rPr>
        <w:t>Exploring opportunities and leveraging co-funding for institutional capacity development at the national level through funding sources other than the Special Programme</w:t>
      </w:r>
      <w:r w:rsidR="00C2718A">
        <w:rPr>
          <w:lang w:val="en-GB"/>
        </w:rPr>
        <w:t>;</w:t>
      </w:r>
      <w:r w:rsidRPr="00BC1292">
        <w:rPr>
          <w:lang w:val="en-GB"/>
        </w:rPr>
        <w:t xml:space="preserve"> </w:t>
      </w:r>
    </w:p>
    <w:p w14:paraId="73F3E88C" w14:textId="61CBBCCB" w:rsidR="00EF688E" w:rsidRPr="00BC1292" w:rsidRDefault="00EF688E" w:rsidP="00A55160">
      <w:pPr>
        <w:keepNext/>
        <w:keepLines/>
        <w:numPr>
          <w:ilvl w:val="1"/>
          <w:numId w:val="3"/>
        </w:numPr>
        <w:tabs>
          <w:tab w:val="clear" w:pos="1134"/>
          <w:tab w:val="clear" w:pos="1247"/>
          <w:tab w:val="clear" w:pos="1814"/>
          <w:tab w:val="clear" w:pos="2381"/>
          <w:tab w:val="clear" w:pos="2948"/>
          <w:tab w:val="clear" w:pos="3515"/>
        </w:tabs>
        <w:spacing w:after="120"/>
        <w:ind w:firstLine="624"/>
        <w:rPr>
          <w:lang w:val="en-GB"/>
        </w:rPr>
      </w:pPr>
      <w:r w:rsidRPr="00BC1292">
        <w:rPr>
          <w:lang w:val="en-GB"/>
        </w:rPr>
        <w:t xml:space="preserve">Creating linkages with opportunities </w:t>
      </w:r>
      <w:r w:rsidR="009957F0">
        <w:rPr>
          <w:lang w:val="en-GB"/>
        </w:rPr>
        <w:t>arising</w:t>
      </w:r>
      <w:r w:rsidR="009957F0" w:rsidRPr="00BC1292">
        <w:rPr>
          <w:lang w:val="en-GB"/>
        </w:rPr>
        <w:t xml:space="preserve"> </w:t>
      </w:r>
      <w:r w:rsidRPr="00BC1292">
        <w:rPr>
          <w:lang w:val="en-GB"/>
        </w:rPr>
        <w:t>from the implement</w:t>
      </w:r>
      <w:r w:rsidR="00C2718A">
        <w:rPr>
          <w:lang w:val="en-GB"/>
        </w:rPr>
        <w:t>ation</w:t>
      </w:r>
      <w:r w:rsidRPr="00BC1292">
        <w:rPr>
          <w:lang w:val="en-GB"/>
        </w:rPr>
        <w:t xml:space="preserve"> of the 2015 Addis Ababa Action Agenda of the Third International Conference</w:t>
      </w:r>
      <w:r>
        <w:rPr>
          <w:lang w:val="en-GB"/>
        </w:rPr>
        <w:t xml:space="preserve"> on Financing for Development</w:t>
      </w:r>
      <w:r w:rsidR="00C2718A">
        <w:rPr>
          <w:lang w:val="en-GB"/>
        </w:rPr>
        <w:t>;</w:t>
      </w:r>
      <w:r w:rsidRPr="00BC1292">
        <w:rPr>
          <w:lang w:val="en-GB"/>
        </w:rPr>
        <w:t xml:space="preserve"> </w:t>
      </w:r>
    </w:p>
    <w:p w14:paraId="6F2D477B" w14:textId="6016928F" w:rsidR="00EF688E" w:rsidRPr="00CD0280" w:rsidRDefault="00EF688E" w:rsidP="00A55160">
      <w:pPr>
        <w:keepNext/>
        <w:keepLines/>
        <w:numPr>
          <w:ilvl w:val="1"/>
          <w:numId w:val="3"/>
        </w:numPr>
        <w:tabs>
          <w:tab w:val="clear" w:pos="1134"/>
          <w:tab w:val="clear" w:pos="1247"/>
          <w:tab w:val="clear" w:pos="1814"/>
          <w:tab w:val="clear" w:pos="2381"/>
          <w:tab w:val="clear" w:pos="2948"/>
          <w:tab w:val="clear" w:pos="3515"/>
        </w:tabs>
        <w:spacing w:after="120"/>
        <w:ind w:firstLine="624"/>
        <w:rPr>
          <w:lang w:val="en-GB"/>
        </w:rPr>
      </w:pPr>
      <w:r w:rsidRPr="00CD0280">
        <w:rPr>
          <w:lang w:val="en-GB"/>
        </w:rPr>
        <w:t>Explor</w:t>
      </w:r>
      <w:r w:rsidR="001C1216">
        <w:rPr>
          <w:lang w:val="en-GB"/>
        </w:rPr>
        <w:t>ing</w:t>
      </w:r>
      <w:r w:rsidRPr="00CD0280">
        <w:rPr>
          <w:lang w:val="en-GB"/>
        </w:rPr>
        <w:t xml:space="preserve"> linkages with </w:t>
      </w:r>
      <w:r w:rsidR="00B47E92">
        <w:rPr>
          <w:lang w:val="en-GB"/>
        </w:rPr>
        <w:t>the Global Environment Facility (</w:t>
      </w:r>
      <w:r w:rsidRPr="00CD0280">
        <w:rPr>
          <w:lang w:val="en-GB"/>
        </w:rPr>
        <w:t>GEF</w:t>
      </w:r>
      <w:r w:rsidR="00B47E92">
        <w:rPr>
          <w:lang w:val="en-GB"/>
        </w:rPr>
        <w:t>)</w:t>
      </w:r>
      <w:r w:rsidR="00C2718A">
        <w:rPr>
          <w:lang w:val="en-GB"/>
        </w:rPr>
        <w:t>,</w:t>
      </w:r>
      <w:r w:rsidRPr="00CD0280">
        <w:rPr>
          <w:lang w:val="en-GB"/>
        </w:rPr>
        <w:t xml:space="preserve"> including the </w:t>
      </w:r>
      <w:r w:rsidR="00B00930" w:rsidRPr="00B500DE">
        <w:rPr>
          <w:lang w:val="en-GB"/>
        </w:rPr>
        <w:t>integrated approach p</w:t>
      </w:r>
      <w:r w:rsidRPr="00B500DE">
        <w:rPr>
          <w:lang w:val="en-GB"/>
        </w:rPr>
        <w:t>ilots, s</w:t>
      </w:r>
      <w:r w:rsidRPr="00CD0280">
        <w:rPr>
          <w:lang w:val="en-GB"/>
        </w:rPr>
        <w:t>uch as the one on sustainable cities.</w:t>
      </w:r>
    </w:p>
    <w:p w14:paraId="3E6FFEC1" w14:textId="77777777" w:rsidR="006851F6" w:rsidRDefault="006851F6" w:rsidP="00EF688E">
      <w:pPr>
        <w:rPr>
          <w:rFonts w:asciiTheme="majorBidi" w:hAnsiTheme="majorBidi"/>
          <w:bCs/>
          <w:sz w:val="28"/>
          <w:szCs w:val="28"/>
          <w:lang w:val="en-GB"/>
        </w:rPr>
        <w:sectPr w:rsidR="006851F6" w:rsidSect="009173F1">
          <w:headerReference w:type="even" r:id="rId11"/>
          <w:headerReference w:type="default" r:id="rId12"/>
          <w:footerReference w:type="even" r:id="rId13"/>
          <w:footerReference w:type="default" r:id="rId14"/>
          <w:headerReference w:type="first" r:id="rId15"/>
          <w:footerReference w:type="first" r:id="rId16"/>
          <w:pgSz w:w="11906" w:h="16838" w:code="9"/>
          <w:pgMar w:top="907" w:right="992" w:bottom="1418" w:left="1418" w:header="539" w:footer="975" w:gutter="0"/>
          <w:cols w:space="539"/>
          <w:titlePg/>
          <w:docGrid w:linePitch="360"/>
        </w:sectPr>
      </w:pPr>
    </w:p>
    <w:p w14:paraId="4E112BCD" w14:textId="44A952EA" w:rsidR="00BF601C" w:rsidRDefault="00EF688E" w:rsidP="006365AD">
      <w:pPr>
        <w:pStyle w:val="ZZAnxheader"/>
      </w:pPr>
      <w:r w:rsidRPr="00CD0280">
        <w:lastRenderedPageBreak/>
        <w:t>Annex</w:t>
      </w:r>
    </w:p>
    <w:p w14:paraId="03CA3A88" w14:textId="4763A346" w:rsidR="00EF688E" w:rsidRPr="00CD0280" w:rsidRDefault="00EF688E" w:rsidP="006365AD">
      <w:pPr>
        <w:pStyle w:val="ZZAnxtitle"/>
      </w:pPr>
      <w:r w:rsidRPr="00CD0280">
        <w:t>Key milestones in the</w:t>
      </w:r>
      <w:r w:rsidR="00827EEE">
        <w:t xml:space="preserve"> </w:t>
      </w:r>
      <w:r w:rsidRPr="00CD0280">
        <w:t xml:space="preserve">development of the </w:t>
      </w:r>
      <w:r w:rsidR="00A10097">
        <w:t>i</w:t>
      </w:r>
      <w:r w:rsidRPr="00CD0280">
        <w:t xml:space="preserve">ntegrated </w:t>
      </w:r>
      <w:r w:rsidR="00A10097">
        <w:t>a</w:t>
      </w:r>
      <w:r w:rsidRPr="00CD0280">
        <w:t>pproach</w:t>
      </w:r>
      <w:r w:rsidR="003C52E6">
        <w:t xml:space="preserve"> to financing</w:t>
      </w:r>
      <w:r w:rsidR="009957F0">
        <w:t xml:space="preserve"> </w:t>
      </w:r>
      <w:r w:rsidR="00E07F72">
        <w:t xml:space="preserve">the </w:t>
      </w:r>
      <w:r w:rsidR="00E07F72" w:rsidRPr="00827EEE">
        <w:t>sound management of chemicals and waste</w:t>
      </w:r>
      <w:r w:rsidR="00E07F72" w:rsidRPr="00F31231">
        <w:rPr>
          <w:highlight w:val="yellow"/>
        </w:rPr>
        <w:t xml:space="preserve"> </w:t>
      </w:r>
    </w:p>
    <w:p w14:paraId="6C82353C" w14:textId="074EC9EC" w:rsidR="00EF688E" w:rsidRDefault="00EF688E" w:rsidP="00A55160">
      <w:pPr>
        <w:pStyle w:val="Normalnumber"/>
        <w:tabs>
          <w:tab w:val="clear" w:pos="1247"/>
          <w:tab w:val="clear" w:pos="1871"/>
          <w:tab w:val="clear" w:pos="2495"/>
        </w:tabs>
        <w:ind w:left="1247" w:firstLine="0"/>
      </w:pPr>
      <w:r w:rsidRPr="001972BC">
        <w:rPr>
          <w:b/>
          <w:bCs/>
        </w:rPr>
        <w:t>2010</w:t>
      </w:r>
      <w:r>
        <w:rPr>
          <w:b/>
          <w:bCs/>
        </w:rPr>
        <w:t xml:space="preserve">, </w:t>
      </w:r>
      <w:r w:rsidR="00A10097">
        <w:rPr>
          <w:b/>
          <w:bCs/>
        </w:rPr>
        <w:t xml:space="preserve">UNEP Governing Council decision </w:t>
      </w:r>
      <w:r w:rsidRPr="001972BC">
        <w:rPr>
          <w:b/>
          <w:bCs/>
        </w:rPr>
        <w:t>SS.XI/8</w:t>
      </w:r>
      <w:r w:rsidR="000B63E9">
        <w:rPr>
          <w:b/>
          <w:bCs/>
        </w:rPr>
        <w:t>.</w:t>
      </w:r>
      <w:r w:rsidR="000B63E9">
        <w:t xml:space="preserve"> </w:t>
      </w:r>
      <w:r w:rsidRPr="00EA075C">
        <w:t xml:space="preserve">The development of the </w:t>
      </w:r>
      <w:r w:rsidR="00B00930">
        <w:t>integrated approach</w:t>
      </w:r>
      <w:r w:rsidR="00B00930" w:rsidRPr="00EA075C">
        <w:t xml:space="preserve"> </w:t>
      </w:r>
      <w:r w:rsidRPr="00EA075C">
        <w:t xml:space="preserve">was initiated </w:t>
      </w:r>
      <w:r>
        <w:t>by the Executive Director of UNEP through the establishment of a consultative process on financing options for chemicals and wastes.</w:t>
      </w:r>
      <w:r>
        <w:rPr>
          <w:rStyle w:val="FootnoteReference"/>
          <w:rFonts w:asciiTheme="majorBidi" w:hAnsiTheme="majorBidi" w:cstheme="majorBidi"/>
        </w:rPr>
        <w:footnoteReference w:id="8"/>
      </w:r>
      <w:r w:rsidR="00D8585D" w:rsidRPr="00D8585D">
        <w:t xml:space="preserve"> </w:t>
      </w:r>
      <w:r w:rsidR="00D8585D">
        <w:t>In 2010, in its decision SS.XI/8, t</w:t>
      </w:r>
      <w:r>
        <w:t xml:space="preserve">he </w:t>
      </w:r>
      <w:r w:rsidR="000B63E9">
        <w:t xml:space="preserve">UNEP </w:t>
      </w:r>
      <w:r>
        <w:t xml:space="preserve">Governing Council welcomed the establishment of the consultative process and the work carried out by UNEP in this regard. </w:t>
      </w:r>
      <w:r w:rsidR="006B75B3">
        <w:t xml:space="preserve">In addition, the Governing Council </w:t>
      </w:r>
      <w:r>
        <w:t xml:space="preserve">requested </w:t>
      </w:r>
      <w:r w:rsidRPr="00C46F94">
        <w:t>the Executive Director to continue leading the consultative process and suggest</w:t>
      </w:r>
      <w:r w:rsidR="006B75B3">
        <w:t>ed</w:t>
      </w:r>
      <w:r w:rsidRPr="00C46F94">
        <w:t xml:space="preserve"> drawing more on the experience of the multilateral environmental agreements and the work of the International Conference on Chemicals Management, </w:t>
      </w:r>
      <w:r w:rsidR="006B75B3">
        <w:t>GEF</w:t>
      </w:r>
      <w:r w:rsidRPr="00C46F94">
        <w:t xml:space="preserve">, </w:t>
      </w:r>
      <w:r w:rsidR="006B75B3">
        <w:t>UNDP</w:t>
      </w:r>
      <w:r w:rsidRPr="00C46F94">
        <w:t>, the World Bank and other relevant organizations</w:t>
      </w:r>
      <w:r>
        <w:t>.</w:t>
      </w:r>
    </w:p>
    <w:p w14:paraId="282BCB38" w14:textId="0A0679D4" w:rsidR="00265D48" w:rsidRPr="00A55160" w:rsidRDefault="006B75B3" w:rsidP="00A55160">
      <w:pPr>
        <w:pStyle w:val="Normalnumber"/>
        <w:tabs>
          <w:tab w:val="clear" w:pos="1247"/>
          <w:tab w:val="clear" w:pos="1871"/>
          <w:tab w:val="clear" w:pos="2495"/>
        </w:tabs>
        <w:ind w:left="1247" w:firstLine="0"/>
      </w:pPr>
      <w:r w:rsidRPr="001934F4">
        <w:t>It</w:t>
      </w:r>
      <w:r w:rsidR="00EF688E" w:rsidRPr="001934F4">
        <w:rPr>
          <w:rFonts w:asciiTheme="majorBidi" w:hAnsiTheme="majorBidi" w:cstheme="majorBidi"/>
          <w:iCs/>
        </w:rPr>
        <w:t xml:space="preserve"> also requested</w:t>
      </w:r>
      <w:r w:rsidR="00827EEE">
        <w:rPr>
          <w:rFonts w:asciiTheme="majorBidi" w:hAnsiTheme="majorBidi" w:cstheme="majorBidi"/>
          <w:iCs/>
        </w:rPr>
        <w:t xml:space="preserve"> </w:t>
      </w:r>
      <w:r w:rsidR="00EF688E" w:rsidRPr="00C845C3">
        <w:rPr>
          <w:rFonts w:asciiTheme="majorBidi" w:hAnsiTheme="majorBidi" w:cstheme="majorBidi"/>
        </w:rPr>
        <w:t xml:space="preserve">the Executive Director, in preparing documents for the next stage of the consultative process, to ensure that the comments and the contributions of Governments, in particular participating invited parties and stakeholders at the second meeting of the consultative process on financing options for chemicals and wastes, held in 2009 in Bangkok, </w:t>
      </w:r>
      <w:r>
        <w:rPr>
          <w:rFonts w:asciiTheme="majorBidi" w:hAnsiTheme="majorBidi" w:cstheme="majorBidi"/>
        </w:rPr>
        <w:t>we</w:t>
      </w:r>
      <w:r w:rsidR="00EF688E" w:rsidRPr="00C845C3">
        <w:rPr>
          <w:rFonts w:asciiTheme="majorBidi" w:hAnsiTheme="majorBidi" w:cstheme="majorBidi"/>
        </w:rPr>
        <w:t>re incorporated into a revised version of the note by the Executive Director on financing the chemicals and wastes agenda</w:t>
      </w:r>
      <w:r w:rsidR="00EF688E" w:rsidRPr="00C845C3">
        <w:rPr>
          <w:rStyle w:val="FootnoteReference"/>
          <w:rFonts w:asciiTheme="majorBidi" w:hAnsiTheme="majorBidi" w:cstheme="majorBidi"/>
        </w:rPr>
        <w:footnoteReference w:id="9"/>
      </w:r>
      <w:r w:rsidR="00EF688E" w:rsidRPr="00C845C3">
        <w:rPr>
          <w:rFonts w:asciiTheme="majorBidi" w:hAnsiTheme="majorBidi" w:cstheme="majorBidi"/>
        </w:rPr>
        <w:t xml:space="preserve"> and into the action</w:t>
      </w:r>
      <w:r w:rsidR="00EF688E" w:rsidRPr="00C845C3">
        <w:rPr>
          <w:rFonts w:asciiTheme="majorBidi" w:hAnsiTheme="majorBidi" w:cstheme="majorBidi"/>
        </w:rPr>
        <w:noBreakHyphen/>
        <w:t>oriented summary of policy options for financing chemicals and wastes</w:t>
      </w:r>
      <w:r w:rsidR="00EF688E">
        <w:rPr>
          <w:rFonts w:asciiTheme="majorBidi" w:hAnsiTheme="majorBidi" w:cstheme="majorBidi"/>
        </w:rPr>
        <w:t>.</w:t>
      </w:r>
      <w:r w:rsidR="00EF688E" w:rsidRPr="00C845C3">
        <w:rPr>
          <w:rStyle w:val="FootnoteReference"/>
          <w:rFonts w:asciiTheme="majorBidi" w:hAnsiTheme="majorBidi" w:cstheme="majorBidi"/>
        </w:rPr>
        <w:footnoteReference w:id="10"/>
      </w:r>
      <w:r w:rsidR="00EF688E">
        <w:rPr>
          <w:rFonts w:asciiTheme="majorBidi" w:hAnsiTheme="majorBidi" w:cstheme="majorBidi"/>
        </w:rPr>
        <w:t xml:space="preserve"> The Executive </w:t>
      </w:r>
      <w:r>
        <w:rPr>
          <w:rFonts w:asciiTheme="majorBidi" w:hAnsiTheme="majorBidi" w:cstheme="majorBidi"/>
        </w:rPr>
        <w:t>D</w:t>
      </w:r>
      <w:r w:rsidR="00EF688E">
        <w:rPr>
          <w:rFonts w:asciiTheme="majorBidi" w:hAnsiTheme="majorBidi" w:cstheme="majorBidi"/>
        </w:rPr>
        <w:t xml:space="preserve">irector was furthermore </w:t>
      </w:r>
      <w:r>
        <w:rPr>
          <w:rFonts w:asciiTheme="majorBidi" w:hAnsiTheme="majorBidi" w:cstheme="majorBidi"/>
        </w:rPr>
        <w:t xml:space="preserve">requested </w:t>
      </w:r>
      <w:r w:rsidR="00265D48">
        <w:rPr>
          <w:rFonts w:asciiTheme="majorBidi" w:hAnsiTheme="majorBidi" w:cstheme="majorBidi"/>
        </w:rPr>
        <w:t xml:space="preserve">to report on the progress made and the direction of the consultative process on financing options for chemicals and wastes to relevant intergovernmental processes, with the aim of providing </w:t>
      </w:r>
      <w:r w:rsidR="00EF688E">
        <w:rPr>
          <w:rFonts w:asciiTheme="majorBidi" w:hAnsiTheme="majorBidi" w:cstheme="majorBidi"/>
        </w:rPr>
        <w:t xml:space="preserve">a final </w:t>
      </w:r>
      <w:r w:rsidR="00EF688E" w:rsidRPr="00F17FD4">
        <w:rPr>
          <w:rFonts w:asciiTheme="majorBidi" w:hAnsiTheme="majorBidi" w:cstheme="majorBidi"/>
        </w:rPr>
        <w:t>report for consideration by the Governing Council/Global Ministerial Environment Forum at its twelfth special session, in 2012, and of achieving possible decisions at the third session of the International Conference on Chemicals Management, in 2012, and at the twenty-seventh session of the Governing Council/Global Ministe</w:t>
      </w:r>
      <w:r w:rsidR="00EF688E">
        <w:rPr>
          <w:rFonts w:asciiTheme="majorBidi" w:hAnsiTheme="majorBidi" w:cstheme="majorBidi"/>
        </w:rPr>
        <w:t>rial Environment Forum, in 2013.</w:t>
      </w:r>
      <w:r w:rsidR="00265D48" w:rsidRPr="00265D48">
        <w:t xml:space="preserve"> </w:t>
      </w:r>
    </w:p>
    <w:p w14:paraId="138549DC" w14:textId="37726393" w:rsidR="00EF688E" w:rsidRPr="005710AC" w:rsidRDefault="00EF688E" w:rsidP="006365AD">
      <w:pPr>
        <w:pStyle w:val="Normalnumber"/>
        <w:tabs>
          <w:tab w:val="clear" w:pos="1247"/>
          <w:tab w:val="clear" w:pos="1871"/>
          <w:tab w:val="clear" w:pos="2495"/>
        </w:tabs>
        <w:ind w:left="1247" w:firstLine="0"/>
      </w:pPr>
      <w:r>
        <w:rPr>
          <w:b/>
          <w:bCs/>
        </w:rPr>
        <w:t xml:space="preserve">2010, </w:t>
      </w:r>
      <w:r w:rsidR="00147A46">
        <w:rPr>
          <w:b/>
          <w:bCs/>
        </w:rPr>
        <w:t xml:space="preserve">United Nations </w:t>
      </w:r>
      <w:r>
        <w:rPr>
          <w:b/>
          <w:bCs/>
        </w:rPr>
        <w:t>G</w:t>
      </w:r>
      <w:r w:rsidR="00265D48">
        <w:rPr>
          <w:b/>
          <w:bCs/>
        </w:rPr>
        <w:t>eneral Asse</w:t>
      </w:r>
      <w:r w:rsidR="00265D48" w:rsidRPr="00B500DE">
        <w:rPr>
          <w:b/>
          <w:bCs/>
        </w:rPr>
        <w:t xml:space="preserve">mbly resolution </w:t>
      </w:r>
      <w:r w:rsidRPr="00B500DE">
        <w:rPr>
          <w:b/>
          <w:bCs/>
        </w:rPr>
        <w:t>65/162</w:t>
      </w:r>
      <w:r w:rsidR="00265D48" w:rsidRPr="00B500DE">
        <w:rPr>
          <w:b/>
          <w:bCs/>
        </w:rPr>
        <w:t>.</w:t>
      </w:r>
      <w:r w:rsidRPr="00B500DE">
        <w:rPr>
          <w:b/>
          <w:bCs/>
        </w:rPr>
        <w:t xml:space="preserve"> </w:t>
      </w:r>
      <w:r w:rsidR="00265D48" w:rsidRPr="00B500DE">
        <w:t>In December 2010, in its resolution 65/162, t</w:t>
      </w:r>
      <w:r w:rsidRPr="00B500DE">
        <w:t xml:space="preserve">he General Assembly of the United Nations welcomed the consultative process on financing options for chemicals and wastes and expressed support for further efforts through </w:t>
      </w:r>
      <w:r w:rsidR="00265D48" w:rsidRPr="00B500DE">
        <w:t>UNEP</w:t>
      </w:r>
      <w:r w:rsidRPr="00B500DE">
        <w:t xml:space="preserve"> to continue </w:t>
      </w:r>
      <w:r w:rsidR="00B500DE" w:rsidRPr="00B500DE">
        <w:t>those</w:t>
      </w:r>
      <w:r w:rsidRPr="00B500DE">
        <w:t xml:space="preserve"> discussions,</w:t>
      </w:r>
      <w:r w:rsidR="00B500DE" w:rsidRPr="00B500DE">
        <w:t xml:space="preserve"> and in that regard encouraged</w:t>
      </w:r>
      <w:r w:rsidRPr="00B500DE">
        <w:t xml:space="preserve"> cooperation and c</w:t>
      </w:r>
      <w:r w:rsidRPr="0084493C">
        <w:t>oordination among the</w:t>
      </w:r>
      <w:r w:rsidR="00B500DE">
        <w:t xml:space="preserve"> secretariats of the Basel, Rotterdam and Stockholm conventions</w:t>
      </w:r>
      <w:r w:rsidRPr="0084493C">
        <w:t xml:space="preserve"> and support </w:t>
      </w:r>
      <w:r w:rsidR="00B500DE">
        <w:t xml:space="preserve">for </w:t>
      </w:r>
      <w:r w:rsidRPr="0084493C">
        <w:t>Governments in their efforts to implement, comply with and enforce th</w:t>
      </w:r>
      <w:r w:rsidR="00B500DE">
        <w:t>o</w:t>
      </w:r>
      <w:r w:rsidRPr="0084493C">
        <w:t>se multila</w:t>
      </w:r>
      <w:r>
        <w:t>teral environmental agreements.</w:t>
      </w:r>
    </w:p>
    <w:p w14:paraId="7B6F4899" w14:textId="742B4A4A" w:rsidR="00EF688E" w:rsidRDefault="00EF688E" w:rsidP="006365AD">
      <w:pPr>
        <w:pStyle w:val="Normalnumber"/>
        <w:tabs>
          <w:tab w:val="clear" w:pos="1247"/>
          <w:tab w:val="clear" w:pos="1871"/>
          <w:tab w:val="clear" w:pos="2495"/>
        </w:tabs>
        <w:ind w:left="1247" w:firstLine="0"/>
        <w:rPr>
          <w:rFonts w:asciiTheme="majorBidi" w:hAnsiTheme="majorBidi" w:cstheme="majorBidi"/>
        </w:rPr>
      </w:pPr>
      <w:r>
        <w:rPr>
          <w:rFonts w:asciiTheme="majorBidi" w:hAnsiTheme="majorBidi" w:cstheme="majorBidi"/>
          <w:b/>
          <w:bCs/>
          <w:lang w:val="en-US"/>
        </w:rPr>
        <w:t xml:space="preserve">2011, </w:t>
      </w:r>
      <w:r w:rsidR="007D75D7">
        <w:rPr>
          <w:rFonts w:asciiTheme="majorBidi" w:hAnsiTheme="majorBidi" w:cstheme="majorBidi"/>
          <w:b/>
          <w:bCs/>
          <w:lang w:val="en-US"/>
        </w:rPr>
        <w:t xml:space="preserve">UNEP </w:t>
      </w:r>
      <w:r>
        <w:rPr>
          <w:rFonts w:asciiTheme="majorBidi" w:hAnsiTheme="majorBidi" w:cstheme="majorBidi"/>
          <w:b/>
          <w:bCs/>
          <w:lang w:val="en-US"/>
        </w:rPr>
        <w:t>G</w:t>
      </w:r>
      <w:r w:rsidR="00265D48">
        <w:rPr>
          <w:rFonts w:asciiTheme="majorBidi" w:hAnsiTheme="majorBidi" w:cstheme="majorBidi"/>
          <w:b/>
          <w:bCs/>
          <w:lang w:val="en-US"/>
        </w:rPr>
        <w:t>overning Council decision</w:t>
      </w:r>
      <w:r w:rsidRPr="00A31C76">
        <w:rPr>
          <w:rFonts w:asciiTheme="majorBidi" w:hAnsiTheme="majorBidi" w:cstheme="majorBidi"/>
          <w:b/>
          <w:bCs/>
          <w:lang w:val="en-US"/>
        </w:rPr>
        <w:t xml:space="preserve"> 26/7</w:t>
      </w:r>
      <w:r w:rsidR="00265D48" w:rsidRPr="00A31C76">
        <w:rPr>
          <w:rFonts w:asciiTheme="majorBidi" w:hAnsiTheme="majorBidi" w:cstheme="majorBidi"/>
          <w:b/>
          <w:bCs/>
          <w:lang w:val="en-US"/>
        </w:rPr>
        <w:t>.</w:t>
      </w:r>
      <w:r w:rsidRPr="00A31C76">
        <w:rPr>
          <w:rFonts w:asciiTheme="majorBidi" w:hAnsiTheme="majorBidi" w:cstheme="majorBidi"/>
          <w:b/>
          <w:bCs/>
          <w:lang w:val="en-US"/>
        </w:rPr>
        <w:t xml:space="preserve"> </w:t>
      </w:r>
      <w:r w:rsidR="00265D48" w:rsidRPr="006365AD">
        <w:rPr>
          <w:rFonts w:asciiTheme="majorBidi" w:hAnsiTheme="majorBidi" w:cstheme="majorBidi"/>
          <w:bCs/>
          <w:lang w:val="en-US"/>
        </w:rPr>
        <w:t xml:space="preserve">In February 2011, in its decision 26/7, </w:t>
      </w:r>
      <w:r w:rsidR="00265D48" w:rsidRPr="00A31C76">
        <w:rPr>
          <w:rFonts w:asciiTheme="majorBidi" w:hAnsiTheme="majorBidi" w:cstheme="majorBidi"/>
        </w:rPr>
        <w:t xml:space="preserve">the </w:t>
      </w:r>
      <w:r w:rsidRPr="00A31C76">
        <w:rPr>
          <w:rFonts w:asciiTheme="majorBidi" w:hAnsiTheme="majorBidi" w:cstheme="majorBidi"/>
        </w:rPr>
        <w:t xml:space="preserve">Governing Council of UNEP requested UNEP </w:t>
      </w:r>
      <w:r w:rsidRPr="00A31C76">
        <w:rPr>
          <w:rFonts w:ascii="TimesNewRomanPSMT" w:hAnsi="TimesNewRomanPSMT" w:cs="TimesNewRomanPSMT"/>
        </w:rPr>
        <w:t>to continue</w:t>
      </w:r>
      <w:r w:rsidRPr="00C86463">
        <w:rPr>
          <w:rFonts w:ascii="TimesNewRomanPSMT" w:hAnsi="TimesNewRomanPSMT" w:cs="TimesNewRomanPSMT"/>
        </w:rPr>
        <w:t xml:space="preserve"> to provide support for the consultative process</w:t>
      </w:r>
      <w:r>
        <w:rPr>
          <w:rFonts w:ascii="TimesNewRomanPSMT" w:hAnsi="TimesNewRomanPSMT" w:cs="TimesNewRomanPSMT"/>
        </w:rPr>
        <w:t xml:space="preserve">. </w:t>
      </w:r>
      <w:r w:rsidR="00265D48">
        <w:rPr>
          <w:rFonts w:ascii="TimesNewRomanPSMT" w:hAnsi="TimesNewRomanPSMT" w:cs="TimesNewRomanPSMT"/>
        </w:rPr>
        <w:t>It also</w:t>
      </w:r>
      <w:r>
        <w:rPr>
          <w:rFonts w:ascii="TimesNewRomanPSMT" w:hAnsi="TimesNewRomanPSMT" w:cs="TimesNewRomanPSMT"/>
        </w:rPr>
        <w:t xml:space="preserve"> requested </w:t>
      </w:r>
      <w:r w:rsidR="00265D48">
        <w:rPr>
          <w:rFonts w:ascii="TimesNewRomanPSMT" w:hAnsi="TimesNewRomanPSMT" w:cs="TimesNewRomanPSMT"/>
        </w:rPr>
        <w:t xml:space="preserve">the Executive Director of UNEP </w:t>
      </w:r>
      <w:r w:rsidRPr="00C86463">
        <w:rPr>
          <w:rFonts w:ascii="TimesNewRomanPSMT" w:hAnsi="TimesNewRomanPSMT" w:cs="TimesNewRomanPSMT"/>
        </w:rPr>
        <w:t>to submit a final report to the Governing Council/Global Ministerial Environment Forum at its twelfth special session on the implementation of decision SS.XI/8 and of decision</w:t>
      </w:r>
      <w:r w:rsidR="00265D48">
        <w:rPr>
          <w:rFonts w:ascii="TimesNewRomanPSMT" w:hAnsi="TimesNewRomanPSMT" w:cs="TimesNewRomanPSMT"/>
        </w:rPr>
        <w:t xml:space="preserve"> 26/7</w:t>
      </w:r>
      <w:r w:rsidRPr="00C86463">
        <w:rPr>
          <w:rFonts w:ascii="TimesNewRomanPSMT" w:hAnsi="TimesNewRomanPSMT" w:cs="TimesNewRomanPSMT"/>
        </w:rPr>
        <w:t>.</w:t>
      </w:r>
    </w:p>
    <w:p w14:paraId="774100F4" w14:textId="3BCDF677" w:rsidR="00EF688E" w:rsidRPr="008946FE" w:rsidRDefault="00EF688E" w:rsidP="006365AD">
      <w:pPr>
        <w:pStyle w:val="Normalnumber"/>
        <w:tabs>
          <w:tab w:val="clear" w:pos="1247"/>
          <w:tab w:val="clear" w:pos="1871"/>
          <w:tab w:val="clear" w:pos="2495"/>
        </w:tabs>
        <w:ind w:left="1247" w:firstLine="0"/>
        <w:rPr>
          <w:rFonts w:asciiTheme="majorBidi" w:hAnsiTheme="majorBidi" w:cstheme="majorBidi"/>
        </w:rPr>
      </w:pPr>
      <w:r>
        <w:rPr>
          <w:rFonts w:asciiTheme="majorBidi" w:hAnsiTheme="majorBidi" w:cstheme="majorBidi"/>
          <w:b/>
          <w:bCs/>
        </w:rPr>
        <w:t xml:space="preserve">2011, </w:t>
      </w:r>
      <w:r w:rsidR="00147A46">
        <w:rPr>
          <w:rFonts w:asciiTheme="majorBidi" w:hAnsiTheme="majorBidi" w:cstheme="majorBidi"/>
          <w:b/>
          <w:bCs/>
        </w:rPr>
        <w:t xml:space="preserve">decision </w:t>
      </w:r>
      <w:r>
        <w:rPr>
          <w:rFonts w:asciiTheme="majorBidi" w:hAnsiTheme="majorBidi" w:cstheme="majorBidi"/>
          <w:b/>
          <w:bCs/>
        </w:rPr>
        <w:t>SC-5/26</w:t>
      </w:r>
      <w:r w:rsidR="00147A46">
        <w:rPr>
          <w:rFonts w:asciiTheme="majorBidi" w:hAnsiTheme="majorBidi" w:cstheme="majorBidi"/>
          <w:b/>
          <w:bCs/>
        </w:rPr>
        <w:t xml:space="preserve"> of the Conference of the Parties to the Stockholm Convention</w:t>
      </w:r>
      <w:r w:rsidR="00A31C76">
        <w:rPr>
          <w:rFonts w:asciiTheme="majorBidi" w:hAnsiTheme="majorBidi" w:cstheme="majorBidi"/>
          <w:b/>
          <w:bCs/>
        </w:rPr>
        <w:t>.</w:t>
      </w:r>
      <w:r>
        <w:rPr>
          <w:rFonts w:asciiTheme="majorBidi" w:hAnsiTheme="majorBidi" w:cstheme="majorBidi"/>
          <w:b/>
          <w:bCs/>
        </w:rPr>
        <w:t xml:space="preserve"> </w:t>
      </w:r>
      <w:r w:rsidR="00A31C76" w:rsidRPr="006365AD">
        <w:rPr>
          <w:rFonts w:asciiTheme="majorBidi" w:hAnsiTheme="majorBidi" w:cstheme="majorBidi"/>
          <w:bCs/>
        </w:rPr>
        <w:t xml:space="preserve">In April 2011, in its decision SC-5/26, </w:t>
      </w:r>
      <w:r w:rsidR="00A31C76" w:rsidRPr="00A31C76">
        <w:rPr>
          <w:rFonts w:asciiTheme="majorBidi" w:hAnsiTheme="majorBidi" w:cstheme="majorBidi"/>
        </w:rPr>
        <w:t>t</w:t>
      </w:r>
      <w:r w:rsidRPr="008946FE">
        <w:rPr>
          <w:rFonts w:asciiTheme="majorBidi" w:hAnsiTheme="majorBidi" w:cstheme="majorBidi"/>
        </w:rPr>
        <w:t xml:space="preserve">he Conference of the Parties </w:t>
      </w:r>
      <w:r w:rsidR="008E47B8">
        <w:rPr>
          <w:rFonts w:asciiTheme="majorBidi" w:hAnsiTheme="majorBidi" w:cstheme="majorBidi"/>
        </w:rPr>
        <w:t>to</w:t>
      </w:r>
      <w:r w:rsidRPr="008946FE">
        <w:rPr>
          <w:rFonts w:asciiTheme="majorBidi" w:hAnsiTheme="majorBidi" w:cstheme="majorBidi"/>
        </w:rPr>
        <w:t xml:space="preserve"> the Stockholm </w:t>
      </w:r>
      <w:r w:rsidR="008E47B8">
        <w:rPr>
          <w:rFonts w:asciiTheme="majorBidi" w:hAnsiTheme="majorBidi" w:cstheme="majorBidi"/>
        </w:rPr>
        <w:t>C</w:t>
      </w:r>
      <w:r>
        <w:rPr>
          <w:rFonts w:asciiTheme="majorBidi" w:hAnsiTheme="majorBidi" w:cstheme="majorBidi"/>
        </w:rPr>
        <w:t>onvention requested</w:t>
      </w:r>
      <w:r w:rsidRPr="008946FE">
        <w:rPr>
          <w:rFonts w:asciiTheme="majorBidi" w:hAnsiTheme="majorBidi" w:cstheme="majorBidi"/>
        </w:rPr>
        <w:t xml:space="preserve"> the Executive Secretary to take into account the outcomes of the </w:t>
      </w:r>
      <w:r w:rsidR="00A31C76">
        <w:rPr>
          <w:rFonts w:asciiTheme="majorBidi" w:hAnsiTheme="majorBidi" w:cstheme="majorBidi"/>
        </w:rPr>
        <w:t xml:space="preserve">consultative </w:t>
      </w:r>
      <w:r w:rsidRPr="008946FE">
        <w:rPr>
          <w:rFonts w:asciiTheme="majorBidi" w:hAnsiTheme="majorBidi" w:cstheme="majorBidi"/>
        </w:rPr>
        <w:t>process</w:t>
      </w:r>
      <w:r w:rsidR="00A31C76">
        <w:rPr>
          <w:rFonts w:asciiTheme="majorBidi" w:hAnsiTheme="majorBidi" w:cstheme="majorBidi"/>
        </w:rPr>
        <w:t xml:space="preserve"> on financing options on chemicals and wastes</w:t>
      </w:r>
      <w:r w:rsidRPr="008946FE">
        <w:rPr>
          <w:rFonts w:asciiTheme="majorBidi" w:hAnsiTheme="majorBidi" w:cstheme="majorBidi"/>
        </w:rPr>
        <w:t xml:space="preserve"> referred to in paragraph 5 </w:t>
      </w:r>
      <w:r w:rsidR="00B55A43">
        <w:rPr>
          <w:rFonts w:asciiTheme="majorBidi" w:hAnsiTheme="majorBidi" w:cstheme="majorBidi"/>
        </w:rPr>
        <w:t>of the decision, that recalled the consultative process,</w:t>
      </w:r>
      <w:r w:rsidR="00B55A43" w:rsidRPr="008946FE">
        <w:rPr>
          <w:rFonts w:asciiTheme="majorBidi" w:hAnsiTheme="majorBidi" w:cstheme="majorBidi"/>
        </w:rPr>
        <w:t xml:space="preserve"> </w:t>
      </w:r>
      <w:r w:rsidRPr="008946FE">
        <w:rPr>
          <w:rFonts w:asciiTheme="majorBidi" w:hAnsiTheme="majorBidi" w:cstheme="majorBidi"/>
        </w:rPr>
        <w:t>in his consultations on ways and means to improve the efficiency of the work of the Conference of the Parties with regard to financial resources and mechanisms.</w:t>
      </w:r>
    </w:p>
    <w:p w14:paraId="13CE75B9" w14:textId="07F55063" w:rsidR="00EF688E" w:rsidRDefault="00EF688E" w:rsidP="006365AD">
      <w:pPr>
        <w:pStyle w:val="Normalnumber"/>
        <w:tabs>
          <w:tab w:val="clear" w:pos="1247"/>
          <w:tab w:val="clear" w:pos="1871"/>
          <w:tab w:val="clear" w:pos="2495"/>
        </w:tabs>
        <w:ind w:left="1247" w:firstLine="0"/>
        <w:rPr>
          <w:rFonts w:ascii="TimesNewRomanPSMT" w:hAnsi="TimesNewRomanPSMT" w:cs="TimesNewRomanPSMT"/>
        </w:rPr>
      </w:pPr>
      <w:r>
        <w:rPr>
          <w:rFonts w:asciiTheme="majorBidi" w:hAnsiTheme="majorBidi" w:cstheme="majorBidi"/>
          <w:b/>
          <w:bCs/>
          <w:lang w:val="en-US"/>
        </w:rPr>
        <w:t xml:space="preserve">2012, </w:t>
      </w:r>
      <w:r w:rsidR="007D75D7">
        <w:rPr>
          <w:rFonts w:asciiTheme="majorBidi" w:hAnsiTheme="majorBidi" w:cstheme="majorBidi"/>
          <w:b/>
          <w:bCs/>
          <w:lang w:val="en-US"/>
        </w:rPr>
        <w:t xml:space="preserve">UNEP </w:t>
      </w:r>
      <w:r w:rsidR="00A31C76">
        <w:rPr>
          <w:rFonts w:asciiTheme="majorBidi" w:hAnsiTheme="majorBidi" w:cstheme="majorBidi"/>
          <w:b/>
          <w:bCs/>
          <w:lang w:val="en-US"/>
        </w:rPr>
        <w:t>Governing Council decision SS</w:t>
      </w:r>
      <w:r>
        <w:rPr>
          <w:rFonts w:asciiTheme="majorBidi" w:hAnsiTheme="majorBidi" w:cstheme="majorBidi"/>
          <w:b/>
          <w:bCs/>
          <w:lang w:val="en-US"/>
        </w:rPr>
        <w:t>.XII/4</w:t>
      </w:r>
      <w:r w:rsidR="00A31C76">
        <w:rPr>
          <w:rFonts w:asciiTheme="majorBidi" w:hAnsiTheme="majorBidi" w:cstheme="majorBidi"/>
          <w:b/>
          <w:bCs/>
          <w:lang w:val="en-US"/>
        </w:rPr>
        <w:t>.</w:t>
      </w:r>
      <w:r>
        <w:rPr>
          <w:rFonts w:asciiTheme="majorBidi" w:hAnsiTheme="majorBidi" w:cstheme="majorBidi"/>
          <w:b/>
          <w:bCs/>
          <w:lang w:val="en-US"/>
        </w:rPr>
        <w:t xml:space="preserve"> </w:t>
      </w:r>
      <w:r w:rsidR="00A31C76" w:rsidRPr="006365AD">
        <w:rPr>
          <w:rFonts w:asciiTheme="majorBidi" w:hAnsiTheme="majorBidi" w:cstheme="majorBidi"/>
          <w:bCs/>
          <w:lang w:val="en-US"/>
        </w:rPr>
        <w:t>In February 2012, in its decision SS.XII/4,</w:t>
      </w:r>
      <w:r w:rsidR="00A31C76">
        <w:rPr>
          <w:rFonts w:asciiTheme="majorBidi" w:hAnsiTheme="majorBidi" w:cstheme="majorBidi"/>
          <w:b/>
          <w:bCs/>
          <w:lang w:val="en-US"/>
        </w:rPr>
        <w:t xml:space="preserve"> </w:t>
      </w:r>
      <w:r w:rsidR="00A31C76">
        <w:rPr>
          <w:rFonts w:asciiTheme="majorBidi" w:hAnsiTheme="majorBidi" w:cstheme="majorBidi"/>
        </w:rPr>
        <w:t>t</w:t>
      </w:r>
      <w:r w:rsidR="00A31C76" w:rsidRPr="005710AC">
        <w:rPr>
          <w:rFonts w:asciiTheme="majorBidi" w:hAnsiTheme="majorBidi" w:cstheme="majorBidi"/>
        </w:rPr>
        <w:t xml:space="preserve">he </w:t>
      </w:r>
      <w:r w:rsidRPr="005710AC">
        <w:rPr>
          <w:rFonts w:asciiTheme="majorBidi" w:hAnsiTheme="majorBidi" w:cstheme="majorBidi"/>
        </w:rPr>
        <w:t>Governing Council</w:t>
      </w:r>
      <w:r w:rsidR="00A31C76">
        <w:rPr>
          <w:rFonts w:asciiTheme="majorBidi" w:hAnsiTheme="majorBidi" w:cstheme="majorBidi"/>
        </w:rPr>
        <w:t xml:space="preserve"> requested</w:t>
      </w:r>
      <w:r>
        <w:rPr>
          <w:rFonts w:asciiTheme="majorBidi" w:hAnsiTheme="majorBidi" w:cstheme="majorBidi"/>
        </w:rPr>
        <w:t xml:space="preserve"> </w:t>
      </w:r>
      <w:r w:rsidRPr="005710AC">
        <w:rPr>
          <w:rFonts w:ascii="TimesNewRomanPSMT" w:hAnsi="TimesNewRomanPSMT" w:cs="TimesNewRomanPSMT"/>
        </w:rPr>
        <w:t xml:space="preserve">the Executive Director to continue to provide support to the consultative process, subject to the availability of </w:t>
      </w:r>
      <w:r>
        <w:rPr>
          <w:rFonts w:ascii="TimesNewRomanPSMT" w:hAnsi="TimesNewRomanPSMT" w:cs="TimesNewRomanPSMT"/>
        </w:rPr>
        <w:t>extra</w:t>
      </w:r>
      <w:r w:rsidRPr="005710AC">
        <w:rPr>
          <w:rFonts w:ascii="TimesNewRomanPSMT" w:hAnsi="TimesNewRomanPSMT" w:cs="TimesNewRomanPSMT"/>
        </w:rPr>
        <w:t>budgetary resources, with a view to elaborating further a</w:t>
      </w:r>
      <w:r>
        <w:rPr>
          <w:rFonts w:ascii="TimesNewRomanPSMT" w:hAnsi="TimesNewRomanPSMT" w:cs="TimesNewRomanPSMT"/>
        </w:rPr>
        <w:t xml:space="preserve"> </w:t>
      </w:r>
      <w:r w:rsidRPr="005710AC">
        <w:rPr>
          <w:rFonts w:ascii="TimesNewRomanPSMT" w:hAnsi="TimesNewRomanPSMT" w:cs="TimesNewRomanPSMT"/>
        </w:rPr>
        <w:t xml:space="preserve">final outcome based on the </w:t>
      </w:r>
      <w:r w:rsidR="00B00930">
        <w:rPr>
          <w:rFonts w:ascii="TimesNewRomanPSMT" w:hAnsi="TimesNewRomanPSMT" w:cs="TimesNewRomanPSMT"/>
        </w:rPr>
        <w:t>integrated approach</w:t>
      </w:r>
      <w:r w:rsidR="00B00930" w:rsidRPr="005710AC">
        <w:rPr>
          <w:rFonts w:ascii="TimesNewRomanPSMT" w:hAnsi="TimesNewRomanPSMT" w:cs="TimesNewRomanPSMT"/>
        </w:rPr>
        <w:t xml:space="preserve"> </w:t>
      </w:r>
      <w:r w:rsidRPr="005710AC">
        <w:rPr>
          <w:rFonts w:ascii="TimesNewRomanPSMT" w:hAnsi="TimesNewRomanPSMT" w:cs="TimesNewRomanPSMT"/>
        </w:rPr>
        <w:t>to financing the sound management of chemicals and</w:t>
      </w:r>
      <w:r>
        <w:rPr>
          <w:rFonts w:ascii="TimesNewRomanPSMT" w:hAnsi="TimesNewRomanPSMT" w:cs="TimesNewRomanPSMT"/>
        </w:rPr>
        <w:t xml:space="preserve"> wastes. </w:t>
      </w:r>
      <w:r w:rsidR="00A31C76">
        <w:rPr>
          <w:rFonts w:ascii="TimesNewRomanPSMT" w:hAnsi="TimesNewRomanPSMT" w:cs="TimesNewRomanPSMT"/>
        </w:rPr>
        <w:t xml:space="preserve">In the same decision, it </w:t>
      </w:r>
      <w:r>
        <w:rPr>
          <w:rFonts w:ascii="TimesNewRomanPSMT" w:hAnsi="TimesNewRomanPSMT" w:cs="TimesNewRomanPSMT"/>
        </w:rPr>
        <w:t>also requested</w:t>
      </w:r>
      <w:r w:rsidRPr="008946FE">
        <w:rPr>
          <w:i/>
          <w:iCs/>
        </w:rPr>
        <w:t xml:space="preserve"> </w:t>
      </w:r>
      <w:r w:rsidRPr="008946FE">
        <w:rPr>
          <w:rFonts w:ascii="TimesNewRomanPSMT" w:hAnsi="TimesNewRomanPSMT" w:cs="TimesNewRomanPSMT"/>
        </w:rPr>
        <w:t>the Executive Director, taking into consideration the outcome document</w:t>
      </w:r>
      <w:r>
        <w:rPr>
          <w:rFonts w:ascii="TimesNewRomanPSMT" w:hAnsi="TimesNewRomanPSMT" w:cs="TimesNewRomanPSMT"/>
        </w:rPr>
        <w:t xml:space="preserve"> </w:t>
      </w:r>
      <w:r w:rsidRPr="008946FE">
        <w:rPr>
          <w:rFonts w:ascii="TimesNewRomanPSMT" w:hAnsi="TimesNewRomanPSMT" w:cs="TimesNewRomanPSMT"/>
        </w:rPr>
        <w:t>of the consultative process and his final report, to prepare a draft proposal, and to seek advice thereon</w:t>
      </w:r>
      <w:r>
        <w:rPr>
          <w:rFonts w:ascii="TimesNewRomanPSMT" w:hAnsi="TimesNewRomanPSMT" w:cs="TimesNewRomanPSMT"/>
        </w:rPr>
        <w:t xml:space="preserve"> </w:t>
      </w:r>
      <w:r w:rsidRPr="008946FE">
        <w:rPr>
          <w:rFonts w:ascii="TimesNewRomanPSMT" w:hAnsi="TimesNewRomanPSMT" w:cs="TimesNewRomanPSMT"/>
        </w:rPr>
        <w:t>through a consultative process, for consideration and possible decision at the third session of the</w:t>
      </w:r>
      <w:r>
        <w:rPr>
          <w:rFonts w:ascii="TimesNewRomanPSMT" w:hAnsi="TimesNewRomanPSMT" w:cs="TimesNewRomanPSMT"/>
        </w:rPr>
        <w:t xml:space="preserve"> </w:t>
      </w:r>
      <w:r w:rsidRPr="008946FE">
        <w:rPr>
          <w:rFonts w:ascii="TimesNewRomanPSMT" w:hAnsi="TimesNewRomanPSMT" w:cs="TimesNewRomanPSMT"/>
        </w:rPr>
        <w:t>International Conference on Chemicals Management, in</w:t>
      </w:r>
      <w:r>
        <w:rPr>
          <w:rFonts w:ascii="TimesNewRomanPSMT" w:hAnsi="TimesNewRomanPSMT" w:cs="TimesNewRomanPSMT"/>
        </w:rPr>
        <w:t xml:space="preserve"> 2012, and at the </w:t>
      </w:r>
      <w:r w:rsidR="00A31C76">
        <w:rPr>
          <w:rFonts w:ascii="TimesNewRomanPSMT" w:hAnsi="TimesNewRomanPSMT" w:cs="TimesNewRomanPSMT"/>
        </w:rPr>
        <w:t>twenty-seventh</w:t>
      </w:r>
      <w:r w:rsidR="00827EEE">
        <w:rPr>
          <w:rFonts w:ascii="TimesNewRomanPSMT" w:hAnsi="TimesNewRomanPSMT" w:cs="TimesNewRomanPSMT"/>
        </w:rPr>
        <w:t xml:space="preserve"> </w:t>
      </w:r>
      <w:r w:rsidRPr="008946FE">
        <w:rPr>
          <w:rFonts w:ascii="TimesNewRomanPSMT" w:hAnsi="TimesNewRomanPSMT" w:cs="TimesNewRomanPSMT"/>
        </w:rPr>
        <w:t>session of the</w:t>
      </w:r>
      <w:r>
        <w:rPr>
          <w:rFonts w:ascii="TimesNewRomanPSMT" w:hAnsi="TimesNewRomanPSMT" w:cs="TimesNewRomanPSMT"/>
        </w:rPr>
        <w:t xml:space="preserve"> </w:t>
      </w:r>
      <w:r w:rsidRPr="008946FE">
        <w:rPr>
          <w:rFonts w:ascii="TimesNewRomanPSMT" w:hAnsi="TimesNewRomanPSMT" w:cs="TimesNewRomanPSMT"/>
        </w:rPr>
        <w:t>Governing Council/Global Ministe</w:t>
      </w:r>
      <w:r>
        <w:rPr>
          <w:rFonts w:ascii="TimesNewRomanPSMT" w:hAnsi="TimesNewRomanPSMT" w:cs="TimesNewRomanPSMT"/>
        </w:rPr>
        <w:t xml:space="preserve">rial Environment </w:t>
      </w:r>
      <w:r>
        <w:rPr>
          <w:rFonts w:ascii="TimesNewRomanPSMT" w:hAnsi="TimesNewRomanPSMT" w:cs="TimesNewRomanPSMT"/>
        </w:rPr>
        <w:lastRenderedPageBreak/>
        <w:t xml:space="preserve">Forum, in 2013. </w:t>
      </w:r>
      <w:r w:rsidR="00A31C76">
        <w:rPr>
          <w:rFonts w:ascii="TimesNewRomanPSMT" w:hAnsi="TimesNewRomanPSMT" w:cs="TimesNewRomanPSMT"/>
        </w:rPr>
        <w:t>It further</w:t>
      </w:r>
      <w:r>
        <w:rPr>
          <w:rFonts w:ascii="TimesNewRomanPSMT" w:hAnsi="TimesNewRomanPSMT" w:cs="TimesNewRomanPSMT"/>
        </w:rPr>
        <w:t xml:space="preserve"> requested </w:t>
      </w:r>
      <w:r w:rsidRPr="008946FE">
        <w:rPr>
          <w:rFonts w:ascii="TimesNewRomanPSMT" w:hAnsi="TimesNewRomanPSMT" w:cs="TimesNewRomanPSMT"/>
        </w:rPr>
        <w:t>the Executive Director, in collaboration with relevant partners, to</w:t>
      </w:r>
      <w:r>
        <w:rPr>
          <w:rFonts w:ascii="TimesNewRomanPSMT" w:hAnsi="TimesNewRomanPSMT" w:cs="TimesNewRomanPSMT"/>
        </w:rPr>
        <w:t xml:space="preserve"> </w:t>
      </w:r>
      <w:r w:rsidRPr="008946FE">
        <w:rPr>
          <w:rFonts w:ascii="TimesNewRomanPSMT" w:hAnsi="TimesNewRomanPSMT" w:cs="TimesNewRomanPSMT"/>
        </w:rPr>
        <w:t>continue to raise awareness of the importance of the sound management of chemicals and wastes and</w:t>
      </w:r>
      <w:r>
        <w:rPr>
          <w:rFonts w:ascii="TimesNewRomanPSMT" w:hAnsi="TimesNewRomanPSMT" w:cs="TimesNewRomanPSMT"/>
        </w:rPr>
        <w:t xml:space="preserve"> </w:t>
      </w:r>
      <w:r w:rsidRPr="008946FE">
        <w:rPr>
          <w:rFonts w:ascii="TimesNewRomanPSMT" w:hAnsi="TimesNewRomanPSMT" w:cs="TimesNewRomanPSMT"/>
        </w:rPr>
        <w:t>to report on progress in the implementation of the decision to the participants in relevant</w:t>
      </w:r>
      <w:r>
        <w:rPr>
          <w:rFonts w:ascii="TimesNewRomanPSMT" w:hAnsi="TimesNewRomanPSMT" w:cs="TimesNewRomanPSMT"/>
        </w:rPr>
        <w:t xml:space="preserve"> intergovernmental processes and meetings.</w:t>
      </w:r>
    </w:p>
    <w:p w14:paraId="3D8CE1EB" w14:textId="37BBFD6B" w:rsidR="00EF688E" w:rsidRPr="007D75D7" w:rsidRDefault="00EF688E" w:rsidP="006365AD">
      <w:pPr>
        <w:pStyle w:val="Normalnumber"/>
        <w:tabs>
          <w:tab w:val="clear" w:pos="1247"/>
          <w:tab w:val="clear" w:pos="1871"/>
          <w:tab w:val="clear" w:pos="2495"/>
        </w:tabs>
        <w:ind w:left="1247" w:firstLine="0"/>
        <w:rPr>
          <w:rFonts w:asciiTheme="majorBidi" w:hAnsiTheme="majorBidi" w:cstheme="majorBidi"/>
        </w:rPr>
      </w:pPr>
      <w:r>
        <w:rPr>
          <w:rFonts w:asciiTheme="majorBidi" w:hAnsiTheme="majorBidi" w:cstheme="majorBidi"/>
          <w:b/>
          <w:bCs/>
        </w:rPr>
        <w:t>201</w:t>
      </w:r>
      <w:r w:rsidRPr="007D75D7">
        <w:rPr>
          <w:rFonts w:asciiTheme="majorBidi" w:hAnsiTheme="majorBidi" w:cstheme="majorBidi"/>
          <w:b/>
          <w:bCs/>
        </w:rPr>
        <w:t xml:space="preserve">2, </w:t>
      </w:r>
      <w:r w:rsidR="00147A46" w:rsidRPr="006365AD">
        <w:rPr>
          <w:rFonts w:asciiTheme="majorBidi" w:hAnsiTheme="majorBidi" w:cstheme="majorBidi"/>
          <w:b/>
          <w:bCs/>
        </w:rPr>
        <w:t xml:space="preserve">resolution </w:t>
      </w:r>
      <w:r w:rsidRPr="007D75D7">
        <w:rPr>
          <w:rFonts w:asciiTheme="majorBidi" w:hAnsiTheme="majorBidi" w:cstheme="majorBidi"/>
          <w:b/>
          <w:bCs/>
        </w:rPr>
        <w:t>III/1</w:t>
      </w:r>
      <w:r w:rsidR="00147A46" w:rsidRPr="007D75D7">
        <w:rPr>
          <w:rFonts w:asciiTheme="majorBidi" w:hAnsiTheme="majorBidi" w:cstheme="majorBidi"/>
          <w:b/>
          <w:bCs/>
        </w:rPr>
        <w:t xml:space="preserve"> of the International Conference on Chemicals Management</w:t>
      </w:r>
      <w:r w:rsidR="00A31C76" w:rsidRPr="007D75D7">
        <w:rPr>
          <w:rFonts w:asciiTheme="majorBidi" w:hAnsiTheme="majorBidi" w:cstheme="majorBidi"/>
          <w:b/>
          <w:bCs/>
        </w:rPr>
        <w:t xml:space="preserve">. </w:t>
      </w:r>
      <w:r w:rsidR="00A31C76" w:rsidRPr="006365AD">
        <w:rPr>
          <w:rFonts w:asciiTheme="majorBidi" w:hAnsiTheme="majorBidi" w:cstheme="majorBidi"/>
          <w:bCs/>
        </w:rPr>
        <w:t xml:space="preserve">In September 2012, in its resolution III/1, </w:t>
      </w:r>
      <w:r w:rsidRPr="007D75D7">
        <w:rPr>
          <w:rFonts w:asciiTheme="majorBidi" w:hAnsiTheme="majorBidi" w:cstheme="majorBidi"/>
        </w:rPr>
        <w:t xml:space="preserve">the International Conference on Chemicals Management welcomed </w:t>
      </w:r>
      <w:r w:rsidR="007D75D7" w:rsidRPr="007D75D7">
        <w:rPr>
          <w:rFonts w:asciiTheme="majorBidi" w:hAnsiTheme="majorBidi" w:cstheme="majorBidi"/>
        </w:rPr>
        <w:t xml:space="preserve">that </w:t>
      </w:r>
      <w:r w:rsidRPr="007D75D7">
        <w:rPr>
          <w:rFonts w:asciiTheme="majorBidi" w:hAnsiTheme="majorBidi" w:cstheme="majorBidi"/>
        </w:rPr>
        <w:t xml:space="preserve">the proposal </w:t>
      </w:r>
      <w:r w:rsidR="007D75D7" w:rsidRPr="007D75D7">
        <w:rPr>
          <w:rFonts w:asciiTheme="majorBidi" w:hAnsiTheme="majorBidi" w:cstheme="majorBidi"/>
        </w:rPr>
        <w:t xml:space="preserve">on </w:t>
      </w:r>
      <w:r w:rsidRPr="007D75D7">
        <w:rPr>
          <w:rFonts w:asciiTheme="majorBidi" w:hAnsiTheme="majorBidi" w:cstheme="majorBidi"/>
        </w:rPr>
        <w:t xml:space="preserve">an </w:t>
      </w:r>
      <w:r w:rsidR="00B57F0F" w:rsidRPr="007D75D7">
        <w:rPr>
          <w:rFonts w:asciiTheme="majorBidi" w:hAnsiTheme="majorBidi" w:cstheme="majorBidi"/>
        </w:rPr>
        <w:t xml:space="preserve">integrated approach </w:t>
      </w:r>
      <w:r w:rsidR="007D75D7" w:rsidRPr="007D75D7">
        <w:rPr>
          <w:rFonts w:asciiTheme="majorBidi" w:hAnsiTheme="majorBidi" w:cstheme="majorBidi"/>
        </w:rPr>
        <w:t xml:space="preserve">to </w:t>
      </w:r>
      <w:r w:rsidRPr="007D75D7">
        <w:rPr>
          <w:rFonts w:asciiTheme="majorBidi" w:hAnsiTheme="majorBidi" w:cstheme="majorBidi"/>
        </w:rPr>
        <w:t>financing</w:t>
      </w:r>
      <w:r w:rsidR="007D75D7" w:rsidRPr="007D75D7">
        <w:rPr>
          <w:rFonts w:asciiTheme="majorBidi" w:hAnsiTheme="majorBidi" w:cstheme="majorBidi"/>
        </w:rPr>
        <w:t xml:space="preserve"> the sound management of</w:t>
      </w:r>
      <w:r w:rsidRPr="007D75D7">
        <w:rPr>
          <w:rFonts w:asciiTheme="majorBidi" w:hAnsiTheme="majorBidi" w:cstheme="majorBidi"/>
        </w:rPr>
        <w:t xml:space="preserve"> chemicals and waste</w:t>
      </w:r>
      <w:r w:rsidR="00B55A43">
        <w:rPr>
          <w:rFonts w:asciiTheme="majorBidi" w:hAnsiTheme="majorBidi" w:cstheme="majorBidi"/>
        </w:rPr>
        <w:t>s</w:t>
      </w:r>
      <w:r w:rsidRPr="007D75D7">
        <w:rPr>
          <w:rFonts w:asciiTheme="majorBidi" w:hAnsiTheme="majorBidi" w:cstheme="majorBidi"/>
        </w:rPr>
        <w:t xml:space="preserve"> being develop</w:t>
      </w:r>
      <w:r w:rsidR="00A31C76" w:rsidRPr="007D75D7">
        <w:rPr>
          <w:rFonts w:asciiTheme="majorBidi" w:hAnsiTheme="majorBidi" w:cstheme="majorBidi"/>
        </w:rPr>
        <w:t>ed</w:t>
      </w:r>
      <w:r w:rsidRPr="007D75D7">
        <w:rPr>
          <w:rFonts w:asciiTheme="majorBidi" w:hAnsiTheme="majorBidi" w:cstheme="majorBidi"/>
        </w:rPr>
        <w:t xml:space="preserve"> by the Executive Director of UNEP </w:t>
      </w:r>
      <w:r w:rsidR="007D75D7" w:rsidRPr="007D75D7">
        <w:rPr>
          <w:rFonts w:asciiTheme="majorBidi" w:hAnsiTheme="majorBidi" w:cstheme="majorBidi"/>
        </w:rPr>
        <w:t>covered</w:t>
      </w:r>
      <w:r w:rsidRPr="007D75D7">
        <w:rPr>
          <w:rFonts w:asciiTheme="majorBidi" w:hAnsiTheme="majorBidi" w:cstheme="majorBidi"/>
        </w:rPr>
        <w:t xml:space="preserve"> </w:t>
      </w:r>
      <w:r w:rsidR="00A31C76" w:rsidRPr="007D75D7">
        <w:rPr>
          <w:rFonts w:asciiTheme="majorBidi" w:hAnsiTheme="majorBidi" w:cstheme="majorBidi"/>
        </w:rPr>
        <w:t>the Strategic Approach</w:t>
      </w:r>
      <w:r w:rsidRPr="007D75D7">
        <w:rPr>
          <w:rFonts w:asciiTheme="majorBidi" w:hAnsiTheme="majorBidi" w:cstheme="majorBidi"/>
        </w:rPr>
        <w:t xml:space="preserve">. </w:t>
      </w:r>
      <w:r w:rsidR="00A31C76" w:rsidRPr="007D75D7">
        <w:rPr>
          <w:rFonts w:asciiTheme="majorBidi" w:hAnsiTheme="majorBidi" w:cstheme="majorBidi"/>
        </w:rPr>
        <w:t>In the same r</w:t>
      </w:r>
      <w:r w:rsidRPr="007D75D7">
        <w:rPr>
          <w:rFonts w:asciiTheme="majorBidi" w:hAnsiTheme="majorBidi" w:cstheme="majorBidi"/>
        </w:rPr>
        <w:t>esolution</w:t>
      </w:r>
      <w:r w:rsidR="00A31C76" w:rsidRPr="007D75D7">
        <w:rPr>
          <w:rFonts w:asciiTheme="majorBidi" w:hAnsiTheme="majorBidi" w:cstheme="majorBidi"/>
        </w:rPr>
        <w:t xml:space="preserve">, the Conference </w:t>
      </w:r>
      <w:r w:rsidRPr="007D75D7">
        <w:rPr>
          <w:rFonts w:asciiTheme="majorBidi" w:hAnsiTheme="majorBidi" w:cstheme="majorBidi"/>
        </w:rPr>
        <w:t xml:space="preserve">acknowledged that long-term financing of the Strategic Approach should be based on the concept of an </w:t>
      </w:r>
      <w:r w:rsidR="00B57F0F" w:rsidRPr="007D75D7">
        <w:rPr>
          <w:rFonts w:asciiTheme="majorBidi" w:hAnsiTheme="majorBidi" w:cstheme="majorBidi"/>
        </w:rPr>
        <w:t>integrated approach tha</w:t>
      </w:r>
      <w:r w:rsidRPr="007D75D7">
        <w:rPr>
          <w:rFonts w:asciiTheme="majorBidi" w:hAnsiTheme="majorBidi" w:cstheme="majorBidi"/>
        </w:rPr>
        <w:t>t, as reflected in the outcome document of the consultative process on financing options for chemicals and wastes, include</w:t>
      </w:r>
      <w:r w:rsidR="00A31C76" w:rsidRPr="007D75D7">
        <w:rPr>
          <w:rFonts w:asciiTheme="majorBidi" w:hAnsiTheme="majorBidi" w:cstheme="majorBidi"/>
        </w:rPr>
        <w:t>d</w:t>
      </w:r>
      <w:r w:rsidRPr="007D75D7">
        <w:rPr>
          <w:rFonts w:asciiTheme="majorBidi" w:hAnsiTheme="majorBidi" w:cstheme="majorBidi"/>
        </w:rPr>
        <w:t xml:space="preserve"> mainstreaming, industry involvement and external financing, all of which need</w:t>
      </w:r>
      <w:r w:rsidR="00A31C76" w:rsidRPr="007D75D7">
        <w:rPr>
          <w:rFonts w:asciiTheme="majorBidi" w:hAnsiTheme="majorBidi" w:cstheme="majorBidi"/>
        </w:rPr>
        <w:t>ed</w:t>
      </w:r>
      <w:r w:rsidRPr="007D75D7">
        <w:rPr>
          <w:rFonts w:asciiTheme="majorBidi" w:hAnsiTheme="majorBidi" w:cstheme="majorBidi"/>
        </w:rPr>
        <w:t xml:space="preserve"> further clarification in order to become operational.</w:t>
      </w:r>
      <w:r w:rsidR="00827EEE" w:rsidRPr="007D75D7">
        <w:rPr>
          <w:rFonts w:asciiTheme="majorBidi" w:hAnsiTheme="majorBidi" w:cstheme="majorBidi"/>
        </w:rPr>
        <w:t xml:space="preserve"> </w:t>
      </w:r>
      <w:r w:rsidR="00A31C76" w:rsidRPr="007D75D7">
        <w:rPr>
          <w:rFonts w:asciiTheme="majorBidi" w:hAnsiTheme="majorBidi" w:cstheme="majorBidi"/>
          <w:iCs/>
        </w:rPr>
        <w:t xml:space="preserve">It </w:t>
      </w:r>
      <w:r w:rsidRPr="007D75D7">
        <w:rPr>
          <w:rFonts w:asciiTheme="majorBidi" w:hAnsiTheme="majorBidi" w:cstheme="majorBidi"/>
          <w:iCs/>
        </w:rPr>
        <w:t>requested</w:t>
      </w:r>
      <w:r w:rsidR="00827EEE" w:rsidRPr="007D75D7">
        <w:rPr>
          <w:rFonts w:asciiTheme="majorBidi" w:hAnsiTheme="majorBidi" w:cstheme="majorBidi"/>
          <w:i/>
        </w:rPr>
        <w:t xml:space="preserve"> </w:t>
      </w:r>
      <w:r w:rsidRPr="007D75D7">
        <w:rPr>
          <w:rFonts w:asciiTheme="majorBidi" w:hAnsiTheme="majorBidi" w:cstheme="majorBidi"/>
        </w:rPr>
        <w:t xml:space="preserve">that the Strategic Approach be part of any </w:t>
      </w:r>
      <w:r w:rsidR="00B57F0F" w:rsidRPr="007D75D7">
        <w:rPr>
          <w:rFonts w:asciiTheme="majorBidi" w:hAnsiTheme="majorBidi" w:cstheme="majorBidi"/>
        </w:rPr>
        <w:t>integrated approach</w:t>
      </w:r>
      <w:r w:rsidRPr="007D75D7">
        <w:rPr>
          <w:rFonts w:asciiTheme="majorBidi" w:hAnsiTheme="majorBidi" w:cstheme="majorBidi"/>
        </w:rPr>
        <w:t xml:space="preserve"> for long-term financing of the chemicals and waste cluster.</w:t>
      </w:r>
    </w:p>
    <w:p w14:paraId="60C3D04E" w14:textId="04AB11F5" w:rsidR="00EF688E" w:rsidRPr="006365AD" w:rsidRDefault="00A31C76" w:rsidP="006365AD">
      <w:pPr>
        <w:pStyle w:val="Normalnumber"/>
        <w:tabs>
          <w:tab w:val="clear" w:pos="1247"/>
          <w:tab w:val="clear" w:pos="1871"/>
          <w:tab w:val="clear" w:pos="2495"/>
        </w:tabs>
        <w:ind w:left="1247" w:firstLine="0"/>
        <w:rPr>
          <w:rFonts w:asciiTheme="majorBidi" w:hAnsiTheme="majorBidi" w:cstheme="majorBidi"/>
        </w:rPr>
      </w:pPr>
      <w:r w:rsidRPr="006365AD">
        <w:rPr>
          <w:rFonts w:asciiTheme="majorBidi" w:hAnsiTheme="majorBidi" w:cstheme="majorBidi"/>
        </w:rPr>
        <w:t>In the same resolution, the Conference</w:t>
      </w:r>
      <w:r w:rsidR="00EF688E" w:rsidRPr="006365AD">
        <w:rPr>
          <w:rFonts w:asciiTheme="majorBidi" w:hAnsiTheme="majorBidi" w:cstheme="majorBidi"/>
        </w:rPr>
        <w:t xml:space="preserve"> invited the Executive Director in the finalization of his proposal on an </w:t>
      </w:r>
      <w:r w:rsidR="00B57F0F" w:rsidRPr="006365AD">
        <w:rPr>
          <w:rFonts w:asciiTheme="majorBidi" w:hAnsiTheme="majorBidi" w:cstheme="majorBidi"/>
        </w:rPr>
        <w:t xml:space="preserve">integrated approach to </w:t>
      </w:r>
      <w:r w:rsidR="00EF688E" w:rsidRPr="006365AD">
        <w:rPr>
          <w:rFonts w:asciiTheme="majorBidi" w:hAnsiTheme="majorBidi" w:cstheme="majorBidi"/>
        </w:rPr>
        <w:t xml:space="preserve">the financing of the sound management of chemicals and wastes and the Governing Council of </w:t>
      </w:r>
      <w:r w:rsidRPr="006365AD">
        <w:rPr>
          <w:rFonts w:asciiTheme="majorBidi" w:hAnsiTheme="majorBidi" w:cstheme="majorBidi"/>
        </w:rPr>
        <w:t>UNEP</w:t>
      </w:r>
      <w:r w:rsidR="00EF688E" w:rsidRPr="006365AD">
        <w:rPr>
          <w:rFonts w:asciiTheme="majorBidi" w:hAnsiTheme="majorBidi" w:cstheme="majorBidi"/>
        </w:rPr>
        <w:t xml:space="preserve"> in its deliberations on the proposal to take into consideration the need to strengthen the implementation of the financial consideration as discussed in paragraph 19 of the Overarching Policy Strategy in the context of the existing chemicals and waste cluster, taking into account the rich debate held during the third session of the Conference as reflected in the report of that session.</w:t>
      </w:r>
    </w:p>
    <w:p w14:paraId="56CCE836" w14:textId="3A21828C" w:rsidR="00EF688E" w:rsidRPr="000074B7" w:rsidRDefault="00EF688E" w:rsidP="006365AD">
      <w:pPr>
        <w:pStyle w:val="Normalnumber"/>
        <w:tabs>
          <w:tab w:val="clear" w:pos="1247"/>
          <w:tab w:val="clear" w:pos="1871"/>
          <w:tab w:val="clear" w:pos="2495"/>
        </w:tabs>
        <w:ind w:left="1247" w:firstLine="0"/>
        <w:rPr>
          <w:rFonts w:asciiTheme="majorBidi" w:hAnsiTheme="majorBidi" w:cstheme="majorBidi"/>
        </w:rPr>
      </w:pPr>
      <w:r>
        <w:rPr>
          <w:rFonts w:asciiTheme="majorBidi" w:hAnsiTheme="majorBidi" w:cstheme="majorBidi"/>
          <w:b/>
          <w:bCs/>
        </w:rPr>
        <w:t xml:space="preserve">2013, </w:t>
      </w:r>
      <w:r w:rsidR="007D75D7">
        <w:rPr>
          <w:rFonts w:asciiTheme="majorBidi" w:hAnsiTheme="majorBidi" w:cstheme="majorBidi"/>
          <w:b/>
          <w:bCs/>
        </w:rPr>
        <w:t xml:space="preserve">UNEP </w:t>
      </w:r>
      <w:r>
        <w:rPr>
          <w:rFonts w:asciiTheme="majorBidi" w:hAnsiTheme="majorBidi" w:cstheme="majorBidi"/>
          <w:b/>
          <w:bCs/>
        </w:rPr>
        <w:t>G</w:t>
      </w:r>
      <w:r w:rsidR="00A31C76">
        <w:rPr>
          <w:rFonts w:asciiTheme="majorBidi" w:hAnsiTheme="majorBidi" w:cstheme="majorBidi"/>
          <w:b/>
          <w:bCs/>
        </w:rPr>
        <w:t>overning Coun</w:t>
      </w:r>
      <w:r w:rsidR="00A31C76" w:rsidRPr="00F31231">
        <w:rPr>
          <w:rFonts w:asciiTheme="majorBidi" w:hAnsiTheme="majorBidi" w:cstheme="majorBidi"/>
          <w:b/>
          <w:bCs/>
        </w:rPr>
        <w:t>cil decision</w:t>
      </w:r>
      <w:r w:rsidRPr="00F31231">
        <w:rPr>
          <w:rFonts w:asciiTheme="majorBidi" w:hAnsiTheme="majorBidi" w:cstheme="majorBidi"/>
          <w:b/>
          <w:bCs/>
        </w:rPr>
        <w:t xml:space="preserve"> 27/12</w:t>
      </w:r>
      <w:r w:rsidR="0045738B" w:rsidRPr="00F31231">
        <w:rPr>
          <w:rFonts w:asciiTheme="majorBidi" w:hAnsiTheme="majorBidi" w:cstheme="majorBidi"/>
          <w:b/>
          <w:bCs/>
        </w:rPr>
        <w:t xml:space="preserve"> VIII</w:t>
      </w:r>
      <w:r w:rsidR="00A31C76" w:rsidRPr="00F31231">
        <w:rPr>
          <w:rFonts w:asciiTheme="majorBidi" w:hAnsiTheme="majorBidi" w:cstheme="majorBidi"/>
          <w:b/>
          <w:bCs/>
        </w:rPr>
        <w:t>.</w:t>
      </w:r>
      <w:r>
        <w:rPr>
          <w:rFonts w:asciiTheme="majorBidi" w:hAnsiTheme="majorBidi" w:cstheme="majorBidi"/>
          <w:b/>
          <w:bCs/>
        </w:rPr>
        <w:t xml:space="preserve"> </w:t>
      </w:r>
      <w:r w:rsidR="00A31C76">
        <w:rPr>
          <w:rFonts w:asciiTheme="majorBidi" w:hAnsiTheme="majorBidi" w:cstheme="majorBidi"/>
          <w:bCs/>
        </w:rPr>
        <w:t>In Febru</w:t>
      </w:r>
      <w:r w:rsidR="00A31C76" w:rsidRPr="006365AD">
        <w:rPr>
          <w:rFonts w:asciiTheme="majorBidi" w:hAnsiTheme="majorBidi" w:cstheme="majorBidi"/>
          <w:bCs/>
        </w:rPr>
        <w:t xml:space="preserve">ary 2013, in its decision 27/12, </w:t>
      </w:r>
      <w:r w:rsidR="00A31C76" w:rsidRPr="006365AD">
        <w:rPr>
          <w:rFonts w:asciiTheme="majorBidi" w:hAnsiTheme="majorBidi" w:cstheme="majorBidi"/>
        </w:rPr>
        <w:t xml:space="preserve">the </w:t>
      </w:r>
      <w:r w:rsidRPr="006365AD">
        <w:rPr>
          <w:rFonts w:asciiTheme="majorBidi" w:hAnsiTheme="majorBidi" w:cstheme="majorBidi"/>
        </w:rPr>
        <w:t>Governing Council of UNEP welcomed</w:t>
      </w:r>
      <w:r w:rsidR="00A31C76" w:rsidRPr="006365AD">
        <w:rPr>
          <w:rFonts w:asciiTheme="majorBidi" w:hAnsiTheme="majorBidi" w:cstheme="majorBidi"/>
        </w:rPr>
        <w:t xml:space="preserve"> </w:t>
      </w:r>
      <w:r w:rsidRPr="006365AD">
        <w:rPr>
          <w:rFonts w:asciiTheme="majorBidi" w:hAnsiTheme="majorBidi" w:cstheme="majorBidi"/>
        </w:rPr>
        <w:t xml:space="preserve">an </w:t>
      </w:r>
      <w:r w:rsidR="00B57F0F" w:rsidRPr="006365AD">
        <w:rPr>
          <w:rFonts w:asciiTheme="majorBidi" w:hAnsiTheme="majorBidi" w:cstheme="majorBidi"/>
        </w:rPr>
        <w:t xml:space="preserve">integrated approach to address the financing of the sound management of chemicals and wastes and underscored </w:t>
      </w:r>
      <w:r w:rsidRPr="006365AD">
        <w:rPr>
          <w:rFonts w:asciiTheme="majorBidi" w:hAnsiTheme="majorBidi" w:cstheme="majorBidi"/>
        </w:rPr>
        <w:t>that the three compo</w:t>
      </w:r>
      <w:r w:rsidRPr="000074B7">
        <w:rPr>
          <w:rFonts w:asciiTheme="majorBidi" w:hAnsiTheme="majorBidi" w:cstheme="majorBidi"/>
        </w:rPr>
        <w:t xml:space="preserve">nents of an </w:t>
      </w:r>
      <w:r w:rsidR="00A31C76">
        <w:rPr>
          <w:rFonts w:asciiTheme="majorBidi" w:hAnsiTheme="majorBidi" w:cstheme="majorBidi"/>
        </w:rPr>
        <w:t>i</w:t>
      </w:r>
      <w:r>
        <w:rPr>
          <w:rFonts w:asciiTheme="majorBidi" w:hAnsiTheme="majorBidi" w:cstheme="majorBidi"/>
        </w:rPr>
        <w:t xml:space="preserve">ntegrated </w:t>
      </w:r>
      <w:r w:rsidR="00A31C76">
        <w:rPr>
          <w:rFonts w:asciiTheme="majorBidi" w:hAnsiTheme="majorBidi" w:cstheme="majorBidi"/>
        </w:rPr>
        <w:t>a</w:t>
      </w:r>
      <w:r>
        <w:rPr>
          <w:rFonts w:asciiTheme="majorBidi" w:hAnsiTheme="majorBidi" w:cstheme="majorBidi"/>
        </w:rPr>
        <w:t>pproach</w:t>
      </w:r>
      <w:r w:rsidRPr="000074B7">
        <w:rPr>
          <w:rFonts w:asciiTheme="majorBidi" w:hAnsiTheme="majorBidi" w:cstheme="majorBidi"/>
        </w:rPr>
        <w:t xml:space="preserve">, mainstreaming, industry involvement and dedicated external finance, </w:t>
      </w:r>
      <w:r w:rsidR="00147A46">
        <w:rPr>
          <w:rFonts w:asciiTheme="majorBidi" w:hAnsiTheme="majorBidi" w:cstheme="majorBidi"/>
        </w:rPr>
        <w:t>we</w:t>
      </w:r>
      <w:r w:rsidRPr="000074B7">
        <w:rPr>
          <w:rFonts w:asciiTheme="majorBidi" w:hAnsiTheme="majorBidi" w:cstheme="majorBidi"/>
        </w:rPr>
        <w:t xml:space="preserve">re mutually reinforcing and </w:t>
      </w:r>
      <w:r w:rsidR="00147A46">
        <w:rPr>
          <w:rFonts w:asciiTheme="majorBidi" w:hAnsiTheme="majorBidi" w:cstheme="majorBidi"/>
        </w:rPr>
        <w:t>we</w:t>
      </w:r>
      <w:r w:rsidRPr="000074B7">
        <w:rPr>
          <w:rFonts w:asciiTheme="majorBidi" w:hAnsiTheme="majorBidi" w:cstheme="majorBidi"/>
        </w:rPr>
        <w:t xml:space="preserve">re all important for the financing of </w:t>
      </w:r>
      <w:r w:rsidR="00147A46">
        <w:rPr>
          <w:rFonts w:asciiTheme="majorBidi" w:hAnsiTheme="majorBidi" w:cstheme="majorBidi"/>
        </w:rPr>
        <w:t xml:space="preserve">the </w:t>
      </w:r>
      <w:r w:rsidRPr="000074B7">
        <w:rPr>
          <w:rFonts w:asciiTheme="majorBidi" w:hAnsiTheme="majorBidi" w:cstheme="majorBidi"/>
        </w:rPr>
        <w:t>sound management of chemicals and wastes.</w:t>
      </w:r>
    </w:p>
    <w:p w14:paraId="137EF11E" w14:textId="0510ADBC" w:rsidR="00EF688E" w:rsidRPr="00FE2966" w:rsidRDefault="00147A46" w:rsidP="006365AD">
      <w:pPr>
        <w:pStyle w:val="Normalnumber"/>
        <w:tabs>
          <w:tab w:val="clear" w:pos="1247"/>
          <w:tab w:val="clear" w:pos="1871"/>
          <w:tab w:val="clear" w:pos="2495"/>
        </w:tabs>
        <w:ind w:left="1247" w:firstLine="0"/>
      </w:pPr>
      <w:r>
        <w:rPr>
          <w:rFonts w:asciiTheme="majorBidi" w:hAnsiTheme="majorBidi" w:cstheme="majorBidi"/>
        </w:rPr>
        <w:t>In the same d</w:t>
      </w:r>
      <w:r w:rsidR="00EF688E" w:rsidRPr="00FE2966">
        <w:rPr>
          <w:rFonts w:asciiTheme="majorBidi" w:hAnsiTheme="majorBidi" w:cstheme="majorBidi"/>
        </w:rPr>
        <w:t>ecision</w:t>
      </w:r>
      <w:r>
        <w:rPr>
          <w:rFonts w:asciiTheme="majorBidi" w:hAnsiTheme="majorBidi" w:cstheme="majorBidi"/>
        </w:rPr>
        <w:t>, the Governing Council</w:t>
      </w:r>
      <w:r w:rsidR="00EF688E" w:rsidRPr="00FE2966">
        <w:rPr>
          <w:rFonts w:asciiTheme="majorBidi" w:hAnsiTheme="majorBidi" w:cstheme="majorBidi"/>
        </w:rPr>
        <w:t xml:space="preserve"> also invited </w:t>
      </w:r>
      <w:r w:rsidR="00EF688E" w:rsidRPr="00F62871">
        <w:t>Governments to consider es</w:t>
      </w:r>
      <w:r w:rsidR="00EF688E">
        <w:t xml:space="preserve">tablishing, through an existing </w:t>
      </w:r>
      <w:r w:rsidR="00EF688E" w:rsidRPr="00F62871">
        <w:t xml:space="preserve">institution, a special programme, funded by voluntary contributions, to support institutional strengthening at the national level for implementation of the Basel, Rotterdam and Stockholm conventions, the future Minamata </w:t>
      </w:r>
      <w:r w:rsidR="00EF688E" w:rsidRPr="00FE2966">
        <w:t>Convention and the Strategic Approach, noting that each respective governing body would have to determine the participation of its entity in the special programme.</w:t>
      </w:r>
    </w:p>
    <w:p w14:paraId="56D10FD8" w14:textId="27FDC39E" w:rsidR="00EF688E" w:rsidRPr="0019196F" w:rsidRDefault="00147A46">
      <w:pPr>
        <w:pStyle w:val="Normalnumber"/>
        <w:tabs>
          <w:tab w:val="clear" w:pos="1247"/>
          <w:tab w:val="clear" w:pos="1871"/>
          <w:tab w:val="clear" w:pos="2495"/>
        </w:tabs>
        <w:ind w:left="1247" w:firstLine="0"/>
      </w:pPr>
      <w:r>
        <w:t xml:space="preserve">It also </w:t>
      </w:r>
      <w:r w:rsidR="00EF688E">
        <w:t xml:space="preserve">requested the Executive Director </w:t>
      </w:r>
      <w:r w:rsidR="00EF688E" w:rsidRPr="0019196F">
        <w:t xml:space="preserve">to facilitate and support a country-led meeting of </w:t>
      </w:r>
      <w:r>
        <w:t>G</w:t>
      </w:r>
      <w:r w:rsidR="00EF688E" w:rsidRPr="0019196F">
        <w:t xml:space="preserve">overnments and regional economic integration organizations, open to interested stakeholders, including potential donors, the private sector, civil society, </w:t>
      </w:r>
      <w:r>
        <w:t>UNEP</w:t>
      </w:r>
      <w:r w:rsidR="00EF688E" w:rsidRPr="0019196F">
        <w:t xml:space="preserve">, </w:t>
      </w:r>
      <w:r>
        <w:t>GEF</w:t>
      </w:r>
      <w:r w:rsidR="00EF688E" w:rsidRPr="0019196F">
        <w:t>, other relevant intergovernmental organizations and international financial institutions</w:t>
      </w:r>
      <w:r w:rsidR="00D432FE">
        <w:t>,</w:t>
      </w:r>
      <w:r w:rsidR="00EF688E" w:rsidRPr="0019196F">
        <w:t xml:space="preserve"> and the secretariats of the Basel, Rotterdam and Stockholm </w:t>
      </w:r>
      <w:r>
        <w:t>c</w:t>
      </w:r>
      <w:r w:rsidR="00EF688E" w:rsidRPr="0019196F">
        <w:t>onventions and the Strategic Approach, to further develop terms of reference for such a special programme, including:</w:t>
      </w:r>
    </w:p>
    <w:p w14:paraId="2D59ABAF" w14:textId="77777777" w:rsidR="00EF688E" w:rsidRPr="0019196F" w:rsidRDefault="00EF688E" w:rsidP="006365AD">
      <w:pPr>
        <w:pStyle w:val="Normalnumber"/>
        <w:numPr>
          <w:ilvl w:val="0"/>
          <w:numId w:val="86"/>
        </w:numPr>
        <w:ind w:left="1247" w:firstLine="624"/>
      </w:pPr>
      <w:r w:rsidRPr="0019196F">
        <w:t xml:space="preserve">A definition of institutional strengthening; </w:t>
      </w:r>
    </w:p>
    <w:p w14:paraId="641C26B9" w14:textId="3760CF37" w:rsidR="00EF688E" w:rsidRPr="0019196F" w:rsidRDefault="00EF688E" w:rsidP="006365AD">
      <w:pPr>
        <w:pStyle w:val="Normalnumber"/>
        <w:numPr>
          <w:ilvl w:val="0"/>
          <w:numId w:val="86"/>
        </w:numPr>
        <w:ind w:left="1247" w:firstLine="624"/>
      </w:pPr>
      <w:r w:rsidRPr="0019196F">
        <w:t xml:space="preserve">The duration of the </w:t>
      </w:r>
      <w:r w:rsidR="00EF0CCB">
        <w:t>S</w:t>
      </w:r>
      <w:r w:rsidR="00EF0CCB" w:rsidRPr="0019196F">
        <w:t xml:space="preserve">pecial </w:t>
      </w:r>
      <w:r w:rsidR="00EF0CCB">
        <w:t>P</w:t>
      </w:r>
      <w:r w:rsidRPr="0019196F">
        <w:t xml:space="preserve">rogramme; </w:t>
      </w:r>
    </w:p>
    <w:p w14:paraId="2706725B" w14:textId="2C325369" w:rsidR="00EF688E" w:rsidRPr="0019196F" w:rsidRDefault="00EF688E" w:rsidP="006365AD">
      <w:pPr>
        <w:pStyle w:val="Normalnumber"/>
        <w:numPr>
          <w:ilvl w:val="0"/>
          <w:numId w:val="86"/>
        </w:numPr>
        <w:ind w:left="1247" w:firstLine="624"/>
      </w:pPr>
      <w:r w:rsidRPr="0019196F">
        <w:t xml:space="preserve">Clear parameters and eligibility criteria; </w:t>
      </w:r>
    </w:p>
    <w:p w14:paraId="3D5DDD28" w14:textId="740A5A84" w:rsidR="00EF688E" w:rsidRPr="0019196F" w:rsidRDefault="00EF688E" w:rsidP="006365AD">
      <w:pPr>
        <w:pStyle w:val="Normalnumber"/>
        <w:numPr>
          <w:ilvl w:val="0"/>
          <w:numId w:val="86"/>
        </w:numPr>
        <w:ind w:left="1247" w:firstLine="624"/>
      </w:pPr>
      <w:r w:rsidRPr="0019196F">
        <w:t xml:space="preserve">Practical arrangements necessary to make the </w:t>
      </w:r>
      <w:r w:rsidR="00EF0CCB">
        <w:t>S</w:t>
      </w:r>
      <w:r w:rsidRPr="0019196F">
        <w:t xml:space="preserve">pecial </w:t>
      </w:r>
      <w:r w:rsidR="00EF0CCB">
        <w:t>P</w:t>
      </w:r>
      <w:r w:rsidRPr="0019196F">
        <w:t>rogramme operational</w:t>
      </w:r>
      <w:r w:rsidR="00147A46">
        <w:t>.</w:t>
      </w:r>
      <w:r w:rsidRPr="0019196F">
        <w:t xml:space="preserve"> </w:t>
      </w:r>
    </w:p>
    <w:p w14:paraId="1BDEDFAD" w14:textId="05EDE58C" w:rsidR="00EF688E" w:rsidRDefault="00147A46" w:rsidP="006365AD">
      <w:pPr>
        <w:pStyle w:val="Normalnumber"/>
        <w:tabs>
          <w:tab w:val="clear" w:pos="1247"/>
          <w:tab w:val="clear" w:pos="1871"/>
          <w:tab w:val="clear" w:pos="2495"/>
        </w:tabs>
        <w:ind w:left="1247" w:firstLine="0"/>
      </w:pPr>
      <w:r>
        <w:t>In the same de</w:t>
      </w:r>
      <w:r w:rsidR="00EF688E" w:rsidRPr="00E66123">
        <w:t>cision</w:t>
      </w:r>
      <w:r>
        <w:t>, the Governing Council also</w:t>
      </w:r>
      <w:r w:rsidR="00EF688E" w:rsidRPr="00E66123">
        <w:t xml:space="preserve"> requested the Executive Director to submit to the governing body of </w:t>
      </w:r>
      <w:r>
        <w:t xml:space="preserve">UNEP </w:t>
      </w:r>
      <w:r w:rsidR="00EF688E" w:rsidRPr="00E66123">
        <w:t xml:space="preserve">within three years a report on the implementation of the </w:t>
      </w:r>
      <w:r>
        <w:t>i</w:t>
      </w:r>
      <w:r w:rsidR="00EF688E">
        <w:t xml:space="preserve">ntegrated </w:t>
      </w:r>
      <w:r>
        <w:t>a</w:t>
      </w:r>
      <w:r w:rsidR="00EF688E">
        <w:t>pproach.</w:t>
      </w:r>
    </w:p>
    <w:p w14:paraId="5037B3BB" w14:textId="73C1824B" w:rsidR="00EF688E" w:rsidRDefault="00EF688E" w:rsidP="006365AD">
      <w:pPr>
        <w:pStyle w:val="Normalnumber"/>
        <w:tabs>
          <w:tab w:val="clear" w:pos="1247"/>
          <w:tab w:val="clear" w:pos="1871"/>
          <w:tab w:val="clear" w:pos="2495"/>
        </w:tabs>
        <w:ind w:left="1247" w:firstLine="0"/>
      </w:pPr>
      <w:r>
        <w:rPr>
          <w:b/>
          <w:bCs/>
        </w:rPr>
        <w:t>2014</w:t>
      </w:r>
      <w:r w:rsidRPr="00F31231">
        <w:rPr>
          <w:b/>
          <w:bCs/>
        </w:rPr>
        <w:t xml:space="preserve">, </w:t>
      </w:r>
      <w:r w:rsidR="00147A46" w:rsidRPr="00F31231">
        <w:rPr>
          <w:b/>
          <w:bCs/>
        </w:rPr>
        <w:t xml:space="preserve">resolution </w:t>
      </w:r>
      <w:r w:rsidRPr="00F31231">
        <w:rPr>
          <w:b/>
          <w:bCs/>
        </w:rPr>
        <w:t>1/5</w:t>
      </w:r>
      <w:r w:rsidR="00147A46" w:rsidRPr="00F31231">
        <w:rPr>
          <w:b/>
          <w:bCs/>
        </w:rPr>
        <w:t xml:space="preserve"> of t</w:t>
      </w:r>
      <w:r w:rsidR="00147A46">
        <w:rPr>
          <w:b/>
          <w:bCs/>
        </w:rPr>
        <w:t>he United Nations Environment Assembly of UNEP</w:t>
      </w:r>
      <w:r w:rsidR="00B534C7">
        <w:rPr>
          <w:b/>
          <w:bCs/>
        </w:rPr>
        <w:t>.</w:t>
      </w:r>
      <w:r>
        <w:rPr>
          <w:b/>
          <w:bCs/>
        </w:rPr>
        <w:t xml:space="preserve"> </w:t>
      </w:r>
      <w:r w:rsidR="00147A46">
        <w:rPr>
          <w:bCs/>
        </w:rPr>
        <w:t xml:space="preserve">In June 2014, </w:t>
      </w:r>
      <w:r>
        <w:t>in</w:t>
      </w:r>
      <w:r w:rsidR="00147A46">
        <w:t xml:space="preserve"> its</w:t>
      </w:r>
      <w:r>
        <w:t xml:space="preserve"> </w:t>
      </w:r>
      <w:r w:rsidR="00147A46">
        <w:t>r</w:t>
      </w:r>
      <w:r>
        <w:t>esolution 1/5</w:t>
      </w:r>
      <w:r w:rsidR="00147A46">
        <w:t>, the United Nations Environment Assembly</w:t>
      </w:r>
      <w:r w:rsidR="00D7619F">
        <w:t xml:space="preserve"> </w:t>
      </w:r>
      <w:r w:rsidR="00B534C7">
        <w:t>adopted</w:t>
      </w:r>
      <w:r>
        <w:t xml:space="preserve"> the terms of reference for a special programme, to be funded by voluntary contributions, to support institutional strengthening at the national level to enhance the implementation of the Basel, Rotterdam and Stockholm conventions, the Minamata Convention and the Strategic Approach.</w:t>
      </w:r>
    </w:p>
    <w:p w14:paraId="3541A619" w14:textId="3B66F6CF" w:rsidR="00EF688E" w:rsidRDefault="00EF688E" w:rsidP="006365AD">
      <w:pPr>
        <w:pStyle w:val="Normalnumber"/>
        <w:tabs>
          <w:tab w:val="clear" w:pos="1247"/>
          <w:tab w:val="clear" w:pos="1871"/>
          <w:tab w:val="clear" w:pos="2495"/>
        </w:tabs>
        <w:ind w:left="1247" w:firstLine="0"/>
      </w:pPr>
      <w:r w:rsidRPr="005A4E4D">
        <w:rPr>
          <w:b/>
        </w:rPr>
        <w:t xml:space="preserve">2015, </w:t>
      </w:r>
      <w:r w:rsidR="00B534C7">
        <w:rPr>
          <w:b/>
        </w:rPr>
        <w:t xml:space="preserve">decision </w:t>
      </w:r>
      <w:r w:rsidRPr="005A4E4D">
        <w:rPr>
          <w:b/>
        </w:rPr>
        <w:t>SC-7/22</w:t>
      </w:r>
      <w:r w:rsidR="00B534C7" w:rsidRPr="00B534C7">
        <w:rPr>
          <w:rFonts w:asciiTheme="majorBidi" w:hAnsiTheme="majorBidi" w:cstheme="majorBidi"/>
          <w:b/>
          <w:bCs/>
        </w:rPr>
        <w:t xml:space="preserve"> </w:t>
      </w:r>
      <w:r w:rsidR="00B534C7">
        <w:rPr>
          <w:rFonts w:asciiTheme="majorBidi" w:hAnsiTheme="majorBidi" w:cstheme="majorBidi"/>
          <w:b/>
          <w:bCs/>
        </w:rPr>
        <w:t>of the Conference of the Parties to the Stockholm Convention.</w:t>
      </w:r>
      <w:r w:rsidRPr="006365AD">
        <w:t xml:space="preserve"> </w:t>
      </w:r>
      <w:r w:rsidR="00B534C7">
        <w:t>In May 2015, in its decision SC-7/22, t</w:t>
      </w:r>
      <w:r w:rsidR="00B534C7" w:rsidRPr="006B50BB">
        <w:t xml:space="preserve">he </w:t>
      </w:r>
      <w:r w:rsidR="00B534C7">
        <w:t>C</w:t>
      </w:r>
      <w:r w:rsidRPr="006B50BB">
        <w:t xml:space="preserve">onference of the Parties </w:t>
      </w:r>
      <w:r w:rsidR="00B534C7">
        <w:t>to</w:t>
      </w:r>
      <w:r w:rsidRPr="006B50BB">
        <w:t xml:space="preserve"> the Stockholm Convention joined the United Nations Environment Assembly of </w:t>
      </w:r>
      <w:r w:rsidR="00B534C7">
        <w:t>UNEP</w:t>
      </w:r>
      <w:r w:rsidRPr="006B50BB">
        <w:t xml:space="preserve"> in welcoming </w:t>
      </w:r>
      <w:r w:rsidR="00B57F0F" w:rsidRPr="006B50BB">
        <w:t xml:space="preserve">an </w:t>
      </w:r>
      <w:r w:rsidR="00B57F0F">
        <w:t>integrated approach</w:t>
      </w:r>
      <w:r w:rsidR="00B57F0F" w:rsidRPr="006B50BB">
        <w:t xml:space="preserve"> to addressing the financing of the sound management of chemicals and wastes, underscoring </w:t>
      </w:r>
      <w:r w:rsidRPr="006B50BB">
        <w:t xml:space="preserve">that the three components of an integrated approach, mainstreaming, industry involvement and dedicated </w:t>
      </w:r>
      <w:r w:rsidRPr="006B50BB">
        <w:lastRenderedPageBreak/>
        <w:t xml:space="preserve">external finance, </w:t>
      </w:r>
      <w:r w:rsidR="00B534C7">
        <w:t>were</w:t>
      </w:r>
      <w:r w:rsidRPr="006B50BB">
        <w:t xml:space="preserve"> mutually reinforcing and </w:t>
      </w:r>
      <w:r w:rsidR="00B534C7">
        <w:t>were</w:t>
      </w:r>
      <w:r w:rsidRPr="006B50BB">
        <w:t xml:space="preserve"> all important for the financing of the sound management of chemicals and waste at all levels and emphasizing the importance of implementing the three components, as agreed in decision </w:t>
      </w:r>
      <w:r w:rsidR="00B534C7">
        <w:t xml:space="preserve">UNEP Governing Council decision </w:t>
      </w:r>
      <w:r w:rsidRPr="006B50BB">
        <w:t>27/12</w:t>
      </w:r>
      <w:r w:rsidR="00B534C7">
        <w:t>. It</w:t>
      </w:r>
      <w:r w:rsidRPr="006B50BB">
        <w:t xml:space="preserve"> request</w:t>
      </w:r>
      <w:r w:rsidR="00B534C7">
        <w:t>ed</w:t>
      </w:r>
      <w:r w:rsidRPr="006B50BB">
        <w:t xml:space="preserve"> the </w:t>
      </w:r>
      <w:r w:rsidR="00B534C7">
        <w:t>s</w:t>
      </w:r>
      <w:r w:rsidRPr="006B50BB">
        <w:t>ecretariat to assist parties in that respect, subject to the availability of resources, and recognize</w:t>
      </w:r>
      <w:r w:rsidR="00B534C7">
        <w:t>d</w:t>
      </w:r>
      <w:r w:rsidRPr="006B50BB">
        <w:t xml:space="preserve"> the importance of the join</w:t>
      </w:r>
      <w:r>
        <w:t>t programme of work to that end.</w:t>
      </w:r>
    </w:p>
    <w:p w14:paraId="328DE0A1" w14:textId="2A39C4FE" w:rsidR="00EF688E" w:rsidRPr="005F5C7E" w:rsidRDefault="00A37D64" w:rsidP="006365AD">
      <w:pPr>
        <w:pStyle w:val="Normalnumber"/>
        <w:tabs>
          <w:tab w:val="clear" w:pos="1247"/>
          <w:tab w:val="clear" w:pos="1871"/>
          <w:tab w:val="clear" w:pos="2495"/>
        </w:tabs>
        <w:ind w:left="1247" w:firstLine="0"/>
      </w:pPr>
      <w:r>
        <w:t>In the same decision, the Conference of the Parties</w:t>
      </w:r>
      <w:r w:rsidR="00EF688E">
        <w:t xml:space="preserve"> welcomed </w:t>
      </w:r>
      <w:r w:rsidR="00EF688E" w:rsidRPr="006B50BB">
        <w:t xml:space="preserve">United Nations Environment Assembly resolution 1/5, including the agreement to </w:t>
      </w:r>
      <w:r w:rsidR="00EF688E" w:rsidRPr="00F31231">
        <w:t xml:space="preserve">establish the </w:t>
      </w:r>
      <w:r w:rsidR="009957F0" w:rsidRPr="00F31231">
        <w:t>S</w:t>
      </w:r>
      <w:r w:rsidR="00EF688E" w:rsidRPr="00F31231">
        <w:t xml:space="preserve">pecial </w:t>
      </w:r>
      <w:r w:rsidR="009957F0" w:rsidRPr="00F31231">
        <w:t>P</w:t>
      </w:r>
      <w:r w:rsidR="00EF688E" w:rsidRPr="00F31231">
        <w:t>rogramme to support institutional strengthening at the national level for the implementation of the Basel Convention, the Rotterdam Convention, the Stockholm Convention, the Minamata Convention and the Strategic Approach, and look</w:t>
      </w:r>
      <w:r w:rsidRPr="00F31231">
        <w:t>ed</w:t>
      </w:r>
      <w:r w:rsidR="00EF688E" w:rsidRPr="00F31231">
        <w:t xml:space="preserve"> forward to the early start of the </w:t>
      </w:r>
      <w:r w:rsidR="009957F0" w:rsidRPr="00F31231">
        <w:t>S</w:t>
      </w:r>
      <w:r w:rsidR="00EF688E" w:rsidRPr="00F31231">
        <w:t xml:space="preserve">pecial </w:t>
      </w:r>
      <w:r w:rsidR="009957F0" w:rsidRPr="00F31231">
        <w:t>P</w:t>
      </w:r>
      <w:r w:rsidR="00EF688E" w:rsidRPr="00F31231">
        <w:t xml:space="preserve">rogramme’s operations. </w:t>
      </w:r>
    </w:p>
    <w:p w14:paraId="01B4595C" w14:textId="1854A549" w:rsidR="00EF688E" w:rsidRPr="005776C5" w:rsidRDefault="00A37D64" w:rsidP="006365AD">
      <w:pPr>
        <w:pStyle w:val="Normalnumber"/>
        <w:tabs>
          <w:tab w:val="clear" w:pos="1247"/>
          <w:tab w:val="clear" w:pos="1871"/>
          <w:tab w:val="clear" w:pos="2495"/>
        </w:tabs>
        <w:ind w:left="1247" w:firstLine="0"/>
        <w:rPr>
          <w:rFonts w:asciiTheme="majorBidi" w:hAnsiTheme="majorBidi" w:cstheme="majorBidi"/>
        </w:rPr>
      </w:pPr>
      <w:r w:rsidRPr="00F31231">
        <w:t xml:space="preserve">In the same </w:t>
      </w:r>
      <w:r w:rsidR="00EF688E" w:rsidRPr="00F31231">
        <w:t>decision</w:t>
      </w:r>
      <w:r w:rsidRPr="00F31231">
        <w:t>, it</w:t>
      </w:r>
      <w:r w:rsidR="00EF688E" w:rsidRPr="00F31231">
        <w:t xml:space="preserve"> welcomed that according to the terms of reference of the </w:t>
      </w:r>
      <w:r w:rsidR="009957F0" w:rsidRPr="00F31231">
        <w:t>S</w:t>
      </w:r>
      <w:r w:rsidR="00EF688E" w:rsidRPr="00F31231">
        <w:t xml:space="preserve">pecial </w:t>
      </w:r>
      <w:r w:rsidR="009957F0" w:rsidRPr="00F31231">
        <w:t>P</w:t>
      </w:r>
      <w:r w:rsidR="00EF688E" w:rsidRPr="00F31231">
        <w:t xml:space="preserve">rogramme the Executive Secretary may participate as an observer in the meetings of the executive board of the </w:t>
      </w:r>
      <w:r w:rsidR="009957F0" w:rsidRPr="00F31231">
        <w:t>S</w:t>
      </w:r>
      <w:r w:rsidR="00EF688E" w:rsidRPr="00F31231">
        <w:t xml:space="preserve">pecial </w:t>
      </w:r>
      <w:r w:rsidR="009957F0" w:rsidRPr="00F31231">
        <w:t>P</w:t>
      </w:r>
      <w:r w:rsidR="00EF688E" w:rsidRPr="00F31231">
        <w:t>rogramme, request</w:t>
      </w:r>
      <w:r w:rsidRPr="00F31231">
        <w:t>ed</w:t>
      </w:r>
      <w:r w:rsidR="00EF688E" w:rsidRPr="00F31231">
        <w:t xml:space="preserve"> him to attend such meetings and request</w:t>
      </w:r>
      <w:r w:rsidRPr="00F31231">
        <w:t>ed</w:t>
      </w:r>
      <w:r w:rsidR="00EF688E" w:rsidRPr="00F31231">
        <w:t xml:space="preserve"> the </w:t>
      </w:r>
      <w:r w:rsidRPr="00F31231">
        <w:t>s</w:t>
      </w:r>
      <w:r w:rsidR="00EF688E" w:rsidRPr="00F31231">
        <w:t xml:space="preserve">ecretariat to cooperate, as appropriate, with the secretariat of the </w:t>
      </w:r>
      <w:r w:rsidR="009957F0" w:rsidRPr="00F31231">
        <w:t>S</w:t>
      </w:r>
      <w:r w:rsidR="00EF688E" w:rsidRPr="00F31231">
        <w:t xml:space="preserve">pecial </w:t>
      </w:r>
      <w:r w:rsidR="009957F0" w:rsidRPr="00F31231">
        <w:t>P</w:t>
      </w:r>
      <w:r w:rsidR="00EF688E" w:rsidRPr="00F31231">
        <w:t>rogramme</w:t>
      </w:r>
      <w:r w:rsidRPr="00F31231">
        <w:t>. It also</w:t>
      </w:r>
      <w:r w:rsidR="00EF688E" w:rsidRPr="00F31231">
        <w:t xml:space="preserve"> </w:t>
      </w:r>
      <w:r w:rsidR="00EF688E" w:rsidRPr="00F31231">
        <w:rPr>
          <w:iCs/>
        </w:rPr>
        <w:t>requested</w:t>
      </w:r>
      <w:r w:rsidR="00EF688E" w:rsidRPr="00F31231">
        <w:t xml:space="preserve"> the Executive Secretary to continue to ensure that the activities of the </w:t>
      </w:r>
      <w:r w:rsidRPr="00F31231">
        <w:t>s</w:t>
      </w:r>
      <w:r w:rsidR="00EF688E" w:rsidRPr="00F31231">
        <w:t>ecretariat and its</w:t>
      </w:r>
      <w:r w:rsidR="00EF688E" w:rsidRPr="006B50BB">
        <w:t xml:space="preserve"> support to parties under the Basel, Rotterdam and Stockholm conventions t</w:t>
      </w:r>
      <w:r>
        <w:t>ook</w:t>
      </w:r>
      <w:r w:rsidR="00EF688E" w:rsidRPr="006B50BB">
        <w:t xml:space="preserve"> as reference the </w:t>
      </w:r>
      <w:r w:rsidR="00B57F0F">
        <w:t>integrated approach</w:t>
      </w:r>
      <w:r w:rsidR="00B57F0F" w:rsidRPr="006B50BB">
        <w:t xml:space="preserve"> </w:t>
      </w:r>
      <w:r w:rsidR="00EF688E" w:rsidRPr="006B50BB">
        <w:t xml:space="preserve">and the programmes of </w:t>
      </w:r>
      <w:r w:rsidR="00EF688E">
        <w:t>work of the three conventions.</w:t>
      </w:r>
    </w:p>
    <w:p w14:paraId="44D01E60" w14:textId="0255AABB" w:rsidR="00EF688E" w:rsidRPr="006365AD" w:rsidRDefault="00EF688E" w:rsidP="006365AD">
      <w:pPr>
        <w:pStyle w:val="Normalnumber"/>
        <w:tabs>
          <w:tab w:val="clear" w:pos="1247"/>
          <w:tab w:val="clear" w:pos="1871"/>
          <w:tab w:val="clear" w:pos="2495"/>
        </w:tabs>
        <w:ind w:left="1247" w:firstLine="0"/>
      </w:pPr>
      <w:r w:rsidRPr="006365AD">
        <w:rPr>
          <w:b/>
        </w:rPr>
        <w:t xml:space="preserve">2015, </w:t>
      </w:r>
      <w:r w:rsidR="00A37D64">
        <w:rPr>
          <w:b/>
        </w:rPr>
        <w:t xml:space="preserve">resolution </w:t>
      </w:r>
      <w:r w:rsidRPr="006365AD">
        <w:rPr>
          <w:b/>
        </w:rPr>
        <w:t>IV</w:t>
      </w:r>
      <w:r w:rsidR="00A37D64">
        <w:rPr>
          <w:b/>
        </w:rPr>
        <w:t>/</w:t>
      </w:r>
      <w:r w:rsidRPr="006365AD">
        <w:rPr>
          <w:b/>
        </w:rPr>
        <w:t>1</w:t>
      </w:r>
      <w:r w:rsidR="00A37D64">
        <w:rPr>
          <w:b/>
        </w:rPr>
        <w:t xml:space="preserve"> of the International Conference on Chemicals Management.</w:t>
      </w:r>
      <w:r w:rsidRPr="006365AD">
        <w:t xml:space="preserve"> </w:t>
      </w:r>
      <w:r w:rsidR="00A37D64">
        <w:t xml:space="preserve">In October 2015, in its resolution IV/1, the </w:t>
      </w:r>
      <w:r w:rsidRPr="006365AD">
        <w:t>International Conference on Chemicals Management welcomed the</w:t>
      </w:r>
      <w:r w:rsidR="00B57F0F" w:rsidRPr="00D46ED9">
        <w:t xml:space="preserve"> integrated approac</w:t>
      </w:r>
      <w:r w:rsidRPr="006365AD">
        <w:t xml:space="preserve">h to financing the sound management of chemicals and wastes developed by </w:t>
      </w:r>
      <w:r w:rsidR="00A37D64">
        <w:t>UNEP</w:t>
      </w:r>
      <w:r w:rsidRPr="006365AD">
        <w:t xml:space="preserve">, which </w:t>
      </w:r>
      <w:r w:rsidR="00A37D64">
        <w:t>was</w:t>
      </w:r>
      <w:r w:rsidRPr="006365AD">
        <w:t xml:space="preserve"> applicable to the Strategic Approach and underscore</w:t>
      </w:r>
      <w:r w:rsidR="00A37D64">
        <w:t>d</w:t>
      </w:r>
      <w:r w:rsidRPr="006365AD">
        <w:t xml:space="preserve"> that the three components of an </w:t>
      </w:r>
      <w:r w:rsidR="00A37D64">
        <w:t>i</w:t>
      </w:r>
      <w:r w:rsidRPr="006365AD">
        <w:t xml:space="preserve">ntegrated </w:t>
      </w:r>
      <w:r w:rsidR="00A37D64">
        <w:t>a</w:t>
      </w:r>
      <w:r w:rsidRPr="006365AD">
        <w:t xml:space="preserve">pproach, namely mainstreaming, industry involvement and dedicated external financing, </w:t>
      </w:r>
      <w:r w:rsidR="00A37D64">
        <w:t>we</w:t>
      </w:r>
      <w:r w:rsidRPr="006365AD">
        <w:t xml:space="preserve">re mutually reinforcing and </w:t>
      </w:r>
      <w:r w:rsidR="00A37D64">
        <w:t>we</w:t>
      </w:r>
      <w:r w:rsidRPr="006365AD">
        <w:t>re all important for the financing of the sound management of chemicals and waste at all levels.</w:t>
      </w:r>
    </w:p>
    <w:p w14:paraId="108DC09E" w14:textId="4962DE4D" w:rsidR="00EF688E" w:rsidRPr="009357D2" w:rsidRDefault="00A37D64" w:rsidP="006365AD">
      <w:pPr>
        <w:pStyle w:val="Normalnumber"/>
        <w:tabs>
          <w:tab w:val="clear" w:pos="1247"/>
          <w:tab w:val="clear" w:pos="1871"/>
          <w:tab w:val="clear" w:pos="2495"/>
        </w:tabs>
        <w:ind w:left="1247" w:firstLine="0"/>
      </w:pPr>
      <w:r>
        <w:t>In the same decision, the Conference</w:t>
      </w:r>
      <w:r w:rsidR="00EF688E" w:rsidRPr="009357D2">
        <w:t xml:space="preserve"> welcomed the Special Programme as one of the elements of dedicated external financing under the </w:t>
      </w:r>
      <w:r w:rsidR="00B57F0F" w:rsidRPr="009357D2">
        <w:t>integrated approach a</w:t>
      </w:r>
      <w:r w:rsidR="00EF688E" w:rsidRPr="009357D2">
        <w:t xml:space="preserve">greed by the United Nations Environment Assembly.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0"/>
        <w:gridCol w:w="1921"/>
        <w:gridCol w:w="1921"/>
        <w:gridCol w:w="1921"/>
        <w:gridCol w:w="1921"/>
      </w:tblGrid>
      <w:tr w:rsidR="00D46ED9" w:rsidRPr="00FF44DF" w14:paraId="50C06F6C" w14:textId="77777777" w:rsidTr="00D46ED9">
        <w:tc>
          <w:tcPr>
            <w:tcW w:w="1920" w:type="dxa"/>
          </w:tcPr>
          <w:p w14:paraId="292331A9" w14:textId="77777777" w:rsidR="00D46ED9" w:rsidRDefault="00D46ED9" w:rsidP="00D46ED9">
            <w:pPr>
              <w:pStyle w:val="Normalnumber"/>
              <w:numPr>
                <w:ilvl w:val="0"/>
                <w:numId w:val="0"/>
              </w:numPr>
              <w:tabs>
                <w:tab w:val="clear" w:pos="1247"/>
                <w:tab w:val="clear" w:pos="1871"/>
                <w:tab w:val="clear" w:pos="2495"/>
              </w:tabs>
              <w:spacing w:before="520" w:after="0"/>
            </w:pPr>
          </w:p>
        </w:tc>
        <w:tc>
          <w:tcPr>
            <w:tcW w:w="1921" w:type="dxa"/>
          </w:tcPr>
          <w:p w14:paraId="4634E614" w14:textId="77777777" w:rsidR="00D46ED9" w:rsidRDefault="00D46ED9" w:rsidP="00D46ED9">
            <w:pPr>
              <w:pStyle w:val="Normalnumber"/>
              <w:numPr>
                <w:ilvl w:val="0"/>
                <w:numId w:val="0"/>
              </w:numPr>
              <w:tabs>
                <w:tab w:val="clear" w:pos="1247"/>
                <w:tab w:val="clear" w:pos="1871"/>
                <w:tab w:val="clear" w:pos="2495"/>
              </w:tabs>
              <w:spacing w:before="520" w:after="0"/>
            </w:pPr>
          </w:p>
        </w:tc>
        <w:tc>
          <w:tcPr>
            <w:tcW w:w="1921" w:type="dxa"/>
            <w:tcBorders>
              <w:bottom w:val="single" w:sz="4" w:space="0" w:color="auto"/>
            </w:tcBorders>
          </w:tcPr>
          <w:p w14:paraId="766B6441" w14:textId="77777777" w:rsidR="00D46ED9" w:rsidRDefault="00D46ED9" w:rsidP="00D46ED9">
            <w:pPr>
              <w:pStyle w:val="Normalnumber"/>
              <w:numPr>
                <w:ilvl w:val="0"/>
                <w:numId w:val="0"/>
              </w:numPr>
              <w:tabs>
                <w:tab w:val="clear" w:pos="1247"/>
                <w:tab w:val="clear" w:pos="1871"/>
                <w:tab w:val="clear" w:pos="2495"/>
              </w:tabs>
              <w:spacing w:before="520" w:after="0"/>
            </w:pPr>
          </w:p>
        </w:tc>
        <w:tc>
          <w:tcPr>
            <w:tcW w:w="1921" w:type="dxa"/>
          </w:tcPr>
          <w:p w14:paraId="10F20D66" w14:textId="77777777" w:rsidR="00D46ED9" w:rsidRDefault="00D46ED9" w:rsidP="00D46ED9">
            <w:pPr>
              <w:pStyle w:val="Normalnumber"/>
              <w:numPr>
                <w:ilvl w:val="0"/>
                <w:numId w:val="0"/>
              </w:numPr>
              <w:tabs>
                <w:tab w:val="clear" w:pos="1247"/>
                <w:tab w:val="clear" w:pos="1871"/>
                <w:tab w:val="clear" w:pos="2495"/>
              </w:tabs>
              <w:spacing w:before="520" w:after="0"/>
            </w:pPr>
          </w:p>
        </w:tc>
        <w:tc>
          <w:tcPr>
            <w:tcW w:w="1921" w:type="dxa"/>
          </w:tcPr>
          <w:p w14:paraId="30F8B83B" w14:textId="77777777" w:rsidR="00D46ED9" w:rsidRDefault="00D46ED9" w:rsidP="00D46ED9">
            <w:pPr>
              <w:pStyle w:val="Normalnumber"/>
              <w:numPr>
                <w:ilvl w:val="0"/>
                <w:numId w:val="0"/>
              </w:numPr>
              <w:tabs>
                <w:tab w:val="clear" w:pos="1247"/>
                <w:tab w:val="clear" w:pos="1871"/>
                <w:tab w:val="clear" w:pos="2495"/>
              </w:tabs>
              <w:spacing w:before="520" w:after="0"/>
            </w:pPr>
          </w:p>
        </w:tc>
      </w:tr>
    </w:tbl>
    <w:p w14:paraId="017F60B9" w14:textId="77777777" w:rsidR="000E1536" w:rsidRPr="000E1536" w:rsidRDefault="000E1536" w:rsidP="006365AD">
      <w:pPr>
        <w:pStyle w:val="Normalnumber"/>
        <w:numPr>
          <w:ilvl w:val="0"/>
          <w:numId w:val="0"/>
        </w:numPr>
        <w:tabs>
          <w:tab w:val="clear" w:pos="1247"/>
          <w:tab w:val="clear" w:pos="1871"/>
          <w:tab w:val="clear" w:pos="2495"/>
        </w:tabs>
        <w:ind w:left="1247"/>
      </w:pPr>
    </w:p>
    <w:sectPr w:rsidR="000E1536" w:rsidRPr="000E1536" w:rsidSect="009173F1">
      <w:headerReference w:type="even" r:id="rId17"/>
      <w:headerReference w:type="first" r:id="rId18"/>
      <w:footerReference w:type="first" r:id="rId19"/>
      <w:footnotePr>
        <w:numRestart w:val="eachSect"/>
      </w:footnotePr>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12FB17" w14:textId="77777777" w:rsidR="006E0ECE" w:rsidRDefault="006E0ECE">
      <w:r>
        <w:separator/>
      </w:r>
    </w:p>
  </w:endnote>
  <w:endnote w:type="continuationSeparator" w:id="0">
    <w:p w14:paraId="37BF9968" w14:textId="77777777" w:rsidR="006E0ECE" w:rsidRDefault="006E0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variable"/>
    <w:sig w:usb0="00000000"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65786" w14:textId="77777777" w:rsidR="003C3F8D" w:rsidRDefault="003C3F8D">
    <w:pPr>
      <w:pStyle w:val="Footer"/>
    </w:pPr>
    <w:r>
      <w:rPr>
        <w:rStyle w:val="PageNumber"/>
      </w:rPr>
      <w:fldChar w:fldCharType="begin"/>
    </w:r>
    <w:r>
      <w:rPr>
        <w:rStyle w:val="PageNumber"/>
      </w:rPr>
      <w:instrText xml:space="preserve"> PAGE </w:instrText>
    </w:r>
    <w:r>
      <w:rPr>
        <w:rStyle w:val="PageNumber"/>
      </w:rPr>
      <w:fldChar w:fldCharType="separate"/>
    </w:r>
    <w:r w:rsidR="00C55D6E">
      <w:rPr>
        <w:rStyle w:val="PageNumber"/>
        <w:noProof/>
      </w:rPr>
      <w:t>10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65548" w14:textId="77777777" w:rsidR="003C3F8D" w:rsidRDefault="003C3F8D"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C55D6E">
      <w:rPr>
        <w:rStyle w:val="PageNumber"/>
        <w:noProof/>
      </w:rPr>
      <w:t>11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156354"/>
      <w:docPartObj>
        <w:docPartGallery w:val="Page Numbers (Bottom of Page)"/>
        <w:docPartUnique/>
      </w:docPartObj>
    </w:sdtPr>
    <w:sdtEndPr>
      <w:rPr>
        <w:noProof/>
      </w:rPr>
    </w:sdtEndPr>
    <w:sdtContent>
      <w:p w14:paraId="5A486CD0" w14:textId="281D3D1C" w:rsidR="003C3F8D" w:rsidRPr="006851F6" w:rsidRDefault="003C3F8D" w:rsidP="00716A15">
        <w:pPr>
          <w:pStyle w:val="Normal-pool"/>
          <w:rPr>
            <w:sz w:val="18"/>
          </w:rPr>
        </w:pPr>
        <w:r>
          <w:t>K1601889</w:t>
        </w:r>
        <w:r>
          <w:tab/>
        </w:r>
        <w:r w:rsidR="00982320">
          <w:t>13</w:t>
        </w:r>
        <w:r>
          <w:t>0416</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762610992"/>
      <w:docPartObj>
        <w:docPartGallery w:val="Page Numbers (Bottom of Page)"/>
        <w:docPartUnique/>
      </w:docPartObj>
    </w:sdtPr>
    <w:sdtEndPr>
      <w:rPr>
        <w:noProof/>
      </w:rPr>
    </w:sdtEndPr>
    <w:sdtContent>
      <w:p w14:paraId="66C77306" w14:textId="3D53CB37" w:rsidR="003C3F8D" w:rsidRPr="00EA19B4" w:rsidRDefault="003C3F8D" w:rsidP="00EA19B4">
        <w:pPr>
          <w:pStyle w:val="Normal-pool"/>
          <w:jc w:val="right"/>
          <w:rPr>
            <w:b/>
            <w:sz w:val="18"/>
          </w:rPr>
        </w:pPr>
        <w:r w:rsidRPr="00EA19B4">
          <w:rPr>
            <w:b/>
          </w:rPr>
          <w:t>9</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736F7" w14:textId="77777777" w:rsidR="006E0ECE" w:rsidRPr="00FA582B" w:rsidRDefault="006E0ECE" w:rsidP="006365AD">
      <w:pPr>
        <w:tabs>
          <w:tab w:val="clear" w:pos="1247"/>
          <w:tab w:val="clear" w:pos="1814"/>
          <w:tab w:val="clear" w:pos="2381"/>
          <w:tab w:val="clear" w:pos="2948"/>
          <w:tab w:val="clear" w:pos="3515"/>
          <w:tab w:val="left" w:pos="624"/>
        </w:tabs>
        <w:spacing w:before="60"/>
        <w:ind w:left="624"/>
        <w:rPr>
          <w:sz w:val="18"/>
          <w:szCs w:val="18"/>
        </w:rPr>
      </w:pPr>
      <w:r w:rsidRPr="00FA582B">
        <w:rPr>
          <w:sz w:val="18"/>
          <w:szCs w:val="18"/>
        </w:rPr>
        <w:separator/>
      </w:r>
    </w:p>
  </w:footnote>
  <w:footnote w:type="continuationSeparator" w:id="0">
    <w:p w14:paraId="3EBFB286" w14:textId="77777777" w:rsidR="006E0ECE" w:rsidRDefault="006E0ECE">
      <w:r>
        <w:continuationSeparator/>
      </w:r>
    </w:p>
  </w:footnote>
  <w:footnote w:id="1">
    <w:p w14:paraId="03DAE98E" w14:textId="77777777" w:rsidR="003C3F8D" w:rsidRPr="006365AD" w:rsidRDefault="003C3F8D">
      <w:pPr>
        <w:pStyle w:val="FootnoteText"/>
        <w:rPr>
          <w:lang w:val="en-US"/>
        </w:rPr>
      </w:pPr>
      <w:r w:rsidRPr="006365AD">
        <w:rPr>
          <w:rStyle w:val="FootnoteReference"/>
          <w:vertAlign w:val="baseline"/>
          <w:lang w:val="en-US"/>
        </w:rPr>
        <w:t>*</w:t>
      </w:r>
      <w:r w:rsidRPr="006365AD">
        <w:rPr>
          <w:lang w:val="en-US"/>
        </w:rPr>
        <w:t xml:space="preserve"> </w:t>
      </w:r>
      <w:r>
        <w:rPr>
          <w:lang w:val="en-US"/>
        </w:rPr>
        <w:t>UNEP/EA.2/1.</w:t>
      </w:r>
    </w:p>
  </w:footnote>
  <w:footnote w:id="2">
    <w:p w14:paraId="003E93C7" w14:textId="4DBF3F13" w:rsidR="003C3F8D" w:rsidRPr="006365AD" w:rsidRDefault="003C3F8D" w:rsidP="006365AD">
      <w:pPr>
        <w:pStyle w:val="FootnoteText"/>
        <w:tabs>
          <w:tab w:val="clear" w:pos="1247"/>
          <w:tab w:val="clear" w:pos="1814"/>
          <w:tab w:val="clear" w:pos="2381"/>
          <w:tab w:val="clear" w:pos="2948"/>
          <w:tab w:val="clear" w:pos="3515"/>
          <w:tab w:val="clear" w:pos="4082"/>
          <w:tab w:val="left" w:pos="624"/>
        </w:tabs>
        <w:rPr>
          <w:lang w:val="en-US"/>
        </w:rPr>
      </w:pPr>
      <w:r>
        <w:rPr>
          <w:rStyle w:val="FootnoteReference"/>
        </w:rPr>
        <w:footnoteRef/>
      </w:r>
      <w:r w:rsidRPr="006365AD">
        <w:rPr>
          <w:lang w:val="en-US"/>
        </w:rPr>
        <w:t xml:space="preserve"> </w:t>
      </w:r>
      <w:r w:rsidRPr="006365AD">
        <w:rPr>
          <w:sz w:val="16"/>
          <w:szCs w:val="16"/>
          <w:lang w:val="en-US"/>
        </w:rPr>
        <w:t xml:space="preserve">Financial contributions and technical support has been received from the </w:t>
      </w:r>
      <w:r>
        <w:rPr>
          <w:sz w:val="16"/>
          <w:szCs w:val="16"/>
          <w:lang w:val="en-US"/>
        </w:rPr>
        <w:t>Strategic Approach</w:t>
      </w:r>
      <w:r w:rsidRPr="006365AD">
        <w:rPr>
          <w:sz w:val="16"/>
          <w:szCs w:val="16"/>
          <w:lang w:val="en-US"/>
        </w:rPr>
        <w:t xml:space="preserve"> Quick Start Programme Trust Fund (QSP TF) and from the Governments of </w:t>
      </w:r>
      <w:r>
        <w:rPr>
          <w:sz w:val="16"/>
          <w:szCs w:val="16"/>
          <w:lang w:val="en-US"/>
        </w:rPr>
        <w:t xml:space="preserve">Norway and </w:t>
      </w:r>
      <w:r w:rsidRPr="006365AD">
        <w:rPr>
          <w:sz w:val="16"/>
          <w:szCs w:val="16"/>
          <w:lang w:val="en-US"/>
        </w:rPr>
        <w:t>Sweden.</w:t>
      </w:r>
    </w:p>
  </w:footnote>
  <w:footnote w:id="3">
    <w:p w14:paraId="7BB7ECB1" w14:textId="226AF86E" w:rsidR="003C3F8D" w:rsidRPr="006365AD" w:rsidRDefault="003C3F8D" w:rsidP="006365AD">
      <w:pPr>
        <w:pStyle w:val="FootnoteText"/>
        <w:tabs>
          <w:tab w:val="clear" w:pos="1247"/>
          <w:tab w:val="clear" w:pos="1814"/>
          <w:tab w:val="clear" w:pos="2381"/>
          <w:tab w:val="clear" w:pos="2948"/>
          <w:tab w:val="clear" w:pos="3515"/>
          <w:tab w:val="clear" w:pos="4082"/>
          <w:tab w:val="left" w:pos="624"/>
        </w:tabs>
        <w:rPr>
          <w:sz w:val="16"/>
          <w:szCs w:val="16"/>
          <w:lang w:val="en-US"/>
        </w:rPr>
      </w:pPr>
      <w:r w:rsidRPr="003B456E">
        <w:rPr>
          <w:rStyle w:val="FootnoteReference"/>
          <w:sz w:val="16"/>
          <w:szCs w:val="16"/>
        </w:rPr>
        <w:footnoteRef/>
      </w:r>
      <w:r w:rsidRPr="006365AD">
        <w:rPr>
          <w:sz w:val="16"/>
          <w:szCs w:val="16"/>
          <w:lang w:val="en-US"/>
        </w:rPr>
        <w:t xml:space="preserve"> Belize, Burkina Faso, Ecuador, Honduras, Kazakhstan, Kyrgyzstan, Liberia, Mauritania, Mauritius, Moldova, Nigeria, Suriname, </w:t>
      </w:r>
      <w:r>
        <w:rPr>
          <w:sz w:val="16"/>
          <w:szCs w:val="16"/>
          <w:lang w:val="en-US"/>
        </w:rPr>
        <w:t>t</w:t>
      </w:r>
      <w:r w:rsidRPr="006365AD">
        <w:rPr>
          <w:sz w:val="16"/>
          <w:szCs w:val="16"/>
          <w:lang w:val="en-US"/>
        </w:rPr>
        <w:t xml:space="preserve">he former Yugoslav Republic of </w:t>
      </w:r>
      <w:r w:rsidRPr="00A05B00">
        <w:rPr>
          <w:sz w:val="16"/>
          <w:szCs w:val="16"/>
          <w:lang w:val="en-US"/>
        </w:rPr>
        <w:t>Macedonia, Uganda, Viet Nam, Zambia.</w:t>
      </w:r>
      <w:r w:rsidRPr="006365AD">
        <w:rPr>
          <w:sz w:val="16"/>
          <w:szCs w:val="16"/>
          <w:lang w:val="en-US"/>
        </w:rPr>
        <w:t xml:space="preserve"> </w:t>
      </w:r>
    </w:p>
  </w:footnote>
  <w:footnote w:id="4">
    <w:p w14:paraId="5A00335E" w14:textId="0920D01E" w:rsidR="003C3F8D" w:rsidRPr="006365AD" w:rsidRDefault="003C3F8D" w:rsidP="006365AD">
      <w:pPr>
        <w:pStyle w:val="FootnoteText"/>
        <w:tabs>
          <w:tab w:val="clear" w:pos="1247"/>
          <w:tab w:val="clear" w:pos="1814"/>
          <w:tab w:val="clear" w:pos="2381"/>
          <w:tab w:val="clear" w:pos="2948"/>
          <w:tab w:val="clear" w:pos="3515"/>
          <w:tab w:val="clear" w:pos="4082"/>
          <w:tab w:val="left" w:pos="624"/>
        </w:tabs>
        <w:rPr>
          <w:sz w:val="16"/>
          <w:szCs w:val="16"/>
          <w:lang w:val="en-US"/>
        </w:rPr>
      </w:pPr>
      <w:r>
        <w:rPr>
          <w:rStyle w:val="FootnoteReference"/>
        </w:rPr>
        <w:footnoteRef/>
      </w:r>
      <w:r w:rsidRPr="006365AD">
        <w:rPr>
          <w:lang w:val="en-US"/>
        </w:rPr>
        <w:t xml:space="preserve"> </w:t>
      </w:r>
      <w:r>
        <w:rPr>
          <w:sz w:val="16"/>
          <w:szCs w:val="16"/>
          <w:lang w:val="en-US"/>
        </w:rPr>
        <w:t>F</w:t>
      </w:r>
      <w:r w:rsidRPr="006365AD">
        <w:rPr>
          <w:sz w:val="16"/>
          <w:szCs w:val="16"/>
          <w:lang w:val="en-US"/>
        </w:rPr>
        <w:t>unded by a grant from the Danish Government.</w:t>
      </w:r>
    </w:p>
  </w:footnote>
  <w:footnote w:id="5">
    <w:p w14:paraId="33AFD58C" w14:textId="3AB14080" w:rsidR="003C3F8D" w:rsidRPr="006365AD" w:rsidRDefault="003C3F8D" w:rsidP="006365AD">
      <w:pPr>
        <w:pStyle w:val="FootnoteText"/>
        <w:tabs>
          <w:tab w:val="clear" w:pos="1247"/>
          <w:tab w:val="clear" w:pos="1814"/>
          <w:tab w:val="clear" w:pos="2381"/>
          <w:tab w:val="clear" w:pos="2948"/>
          <w:tab w:val="clear" w:pos="3515"/>
          <w:tab w:val="clear" w:pos="4082"/>
          <w:tab w:val="left" w:pos="624"/>
        </w:tabs>
        <w:rPr>
          <w:lang w:val="en-US"/>
        </w:rPr>
      </w:pPr>
      <w:r>
        <w:rPr>
          <w:rStyle w:val="FootnoteReference"/>
        </w:rPr>
        <w:footnoteRef/>
      </w:r>
      <w:r w:rsidRPr="006365AD">
        <w:rPr>
          <w:lang w:val="en-US"/>
        </w:rPr>
        <w:t xml:space="preserve"> </w:t>
      </w:r>
      <w:r>
        <w:rPr>
          <w:sz w:val="16"/>
          <w:szCs w:val="16"/>
          <w:lang w:val="en-US"/>
        </w:rPr>
        <w:t>For example,</w:t>
      </w:r>
      <w:r w:rsidRPr="006365AD">
        <w:rPr>
          <w:sz w:val="16"/>
          <w:szCs w:val="16"/>
          <w:lang w:val="en-US"/>
        </w:rPr>
        <w:t xml:space="preserve"> </w:t>
      </w:r>
      <w:r>
        <w:rPr>
          <w:sz w:val="16"/>
          <w:szCs w:val="16"/>
          <w:lang w:val="en-US"/>
        </w:rPr>
        <w:t>w</w:t>
      </w:r>
      <w:r w:rsidRPr="006365AD">
        <w:rPr>
          <w:sz w:val="16"/>
          <w:szCs w:val="16"/>
          <w:lang w:val="en-US"/>
        </w:rPr>
        <w:t xml:space="preserve">ork on waste relating to mercury, lead in paint, chemicals in products, accident prevention, </w:t>
      </w:r>
      <w:r>
        <w:rPr>
          <w:sz w:val="16"/>
          <w:szCs w:val="16"/>
          <w:lang w:val="en-US"/>
        </w:rPr>
        <w:t>and</w:t>
      </w:r>
      <w:r w:rsidRPr="006365AD">
        <w:rPr>
          <w:sz w:val="16"/>
          <w:szCs w:val="16"/>
          <w:lang w:val="en-US"/>
        </w:rPr>
        <w:t xml:space="preserve"> sustainable production and consumption.</w:t>
      </w:r>
    </w:p>
  </w:footnote>
  <w:footnote w:id="6">
    <w:p w14:paraId="4A41DC55" w14:textId="53C7A943" w:rsidR="003C3F8D" w:rsidRPr="006365AD" w:rsidRDefault="003C3F8D" w:rsidP="006365AD">
      <w:pPr>
        <w:pStyle w:val="FootnoteText"/>
        <w:tabs>
          <w:tab w:val="clear" w:pos="1247"/>
          <w:tab w:val="clear" w:pos="1814"/>
          <w:tab w:val="clear" w:pos="2381"/>
          <w:tab w:val="clear" w:pos="2948"/>
          <w:tab w:val="clear" w:pos="3515"/>
          <w:tab w:val="clear" w:pos="4082"/>
          <w:tab w:val="left" w:pos="624"/>
        </w:tabs>
        <w:rPr>
          <w:sz w:val="16"/>
          <w:szCs w:val="16"/>
          <w:lang w:val="en-US"/>
        </w:rPr>
      </w:pPr>
      <w:r w:rsidRPr="00B500DE">
        <w:rPr>
          <w:rStyle w:val="FootnoteReference"/>
        </w:rPr>
        <w:footnoteRef/>
      </w:r>
      <w:r w:rsidRPr="006365AD">
        <w:rPr>
          <w:lang w:val="en-US"/>
        </w:rPr>
        <w:t xml:space="preserve"> </w:t>
      </w:r>
      <w:r w:rsidRPr="00B500DE">
        <w:rPr>
          <w:sz w:val="16"/>
          <w:szCs w:val="16"/>
          <w:lang w:val="en-US"/>
        </w:rPr>
        <w:t>S</w:t>
      </w:r>
      <w:r w:rsidRPr="006365AD">
        <w:rPr>
          <w:sz w:val="16"/>
          <w:szCs w:val="16"/>
          <w:lang w:val="en-US"/>
        </w:rPr>
        <w:t>ee document UNEP/CHW.12/20/Rev.1-UNEP/FAO/RC/COP.7/14/Rev.1-UNEP/POPS/COP.7/26/Rev.1.</w:t>
      </w:r>
    </w:p>
  </w:footnote>
  <w:footnote w:id="7">
    <w:p w14:paraId="5BAE7AA0" w14:textId="618349B0" w:rsidR="003C3F8D" w:rsidRPr="006365AD" w:rsidRDefault="003C3F8D" w:rsidP="006365AD">
      <w:pPr>
        <w:pStyle w:val="FootnoteText"/>
        <w:tabs>
          <w:tab w:val="clear" w:pos="1247"/>
          <w:tab w:val="clear" w:pos="1814"/>
          <w:tab w:val="clear" w:pos="2381"/>
          <w:tab w:val="clear" w:pos="2948"/>
          <w:tab w:val="clear" w:pos="3515"/>
          <w:tab w:val="clear" w:pos="4082"/>
          <w:tab w:val="left" w:pos="624"/>
        </w:tabs>
        <w:rPr>
          <w:lang w:val="en-US"/>
        </w:rPr>
      </w:pPr>
      <w:r w:rsidRPr="00B500DE">
        <w:rPr>
          <w:rStyle w:val="FootnoteReference"/>
        </w:rPr>
        <w:footnoteRef/>
      </w:r>
      <w:r w:rsidRPr="006365AD">
        <w:rPr>
          <w:lang w:val="en-US"/>
        </w:rPr>
        <w:t xml:space="preserve"> </w:t>
      </w:r>
      <w:r w:rsidRPr="00B500DE">
        <w:rPr>
          <w:sz w:val="16"/>
          <w:szCs w:val="16"/>
          <w:lang w:val="en-US"/>
        </w:rPr>
        <w:t>S</w:t>
      </w:r>
      <w:r w:rsidRPr="006365AD">
        <w:rPr>
          <w:sz w:val="16"/>
          <w:szCs w:val="16"/>
          <w:lang w:val="en-US"/>
        </w:rPr>
        <w:t>ee decisions BC-12/18, RC-7/8 and SC-7/22.</w:t>
      </w:r>
    </w:p>
  </w:footnote>
  <w:footnote w:id="8">
    <w:p w14:paraId="4FA32C7B" w14:textId="3D0440EC" w:rsidR="003C3F8D" w:rsidRPr="00312785" w:rsidRDefault="003C3F8D" w:rsidP="006365AD">
      <w:pPr>
        <w:pStyle w:val="FootnoteText"/>
        <w:tabs>
          <w:tab w:val="clear" w:pos="1247"/>
          <w:tab w:val="clear" w:pos="1814"/>
          <w:tab w:val="clear" w:pos="2381"/>
          <w:tab w:val="clear" w:pos="2948"/>
          <w:tab w:val="clear" w:pos="3515"/>
          <w:tab w:val="clear" w:pos="4082"/>
          <w:tab w:val="left" w:pos="624"/>
        </w:tabs>
        <w:rPr>
          <w:rFonts w:eastAsiaTheme="majorEastAsia" w:cstheme="majorBidi"/>
          <w:sz w:val="16"/>
          <w:szCs w:val="16"/>
          <w:lang w:val="es-ES"/>
        </w:rPr>
      </w:pPr>
      <w:r w:rsidRPr="009357D2">
        <w:rPr>
          <w:rStyle w:val="FootnoteReference"/>
          <w:rFonts w:eastAsiaTheme="majorEastAsia" w:cstheme="majorBidi"/>
          <w:sz w:val="16"/>
          <w:szCs w:val="16"/>
        </w:rPr>
        <w:footnoteRef/>
      </w:r>
      <w:r w:rsidRPr="006365AD">
        <w:rPr>
          <w:rFonts w:eastAsiaTheme="majorEastAsia" w:cstheme="majorBidi"/>
          <w:sz w:val="16"/>
          <w:szCs w:val="16"/>
          <w:lang w:val="en-US"/>
        </w:rPr>
        <w:t xml:space="preserve"> A consultative process was proposed by the Executive Director of UNEP in response to an impasse in the discussions on financial issues at the fourth meeting of the Conference of the Parties to the Stockholm Convention on Persistent Organic Pollutants and similar impasses in discussions in other forums on financing for chemical and waste</w:t>
      </w:r>
      <w:r>
        <w:rPr>
          <w:rFonts w:eastAsiaTheme="majorEastAsia" w:cstheme="majorBidi"/>
          <w:sz w:val="16"/>
          <w:szCs w:val="16"/>
          <w:lang w:val="en-US"/>
        </w:rPr>
        <w:t>s</w:t>
      </w:r>
      <w:r w:rsidRPr="006365AD">
        <w:rPr>
          <w:rFonts w:eastAsiaTheme="majorEastAsia" w:cstheme="majorBidi"/>
          <w:sz w:val="16"/>
          <w:szCs w:val="16"/>
          <w:lang w:val="en-US"/>
        </w:rPr>
        <w:t xml:space="preserve"> management. </w:t>
      </w:r>
      <w:r>
        <w:rPr>
          <w:rFonts w:eastAsiaTheme="majorEastAsia" w:cstheme="majorBidi"/>
          <w:sz w:val="16"/>
          <w:szCs w:val="16"/>
          <w:lang w:val="en-US"/>
        </w:rPr>
        <w:t>(</w:t>
      </w:r>
      <w:r w:rsidRPr="00312785">
        <w:rPr>
          <w:rFonts w:eastAsiaTheme="majorEastAsia" w:cstheme="majorBidi"/>
          <w:sz w:val="16"/>
          <w:szCs w:val="16"/>
          <w:lang w:val="es-ES"/>
        </w:rPr>
        <w:t>UNEP/POPS/COP.4/38, para. 193</w:t>
      </w:r>
      <w:r>
        <w:rPr>
          <w:rFonts w:eastAsiaTheme="majorEastAsia" w:cstheme="majorBidi"/>
          <w:sz w:val="16"/>
          <w:szCs w:val="16"/>
          <w:lang w:val="es-ES"/>
        </w:rPr>
        <w:t>).</w:t>
      </w:r>
    </w:p>
  </w:footnote>
  <w:footnote w:id="9">
    <w:p w14:paraId="41EE5B27" w14:textId="6EC8A709" w:rsidR="003C3F8D" w:rsidRPr="00312785" w:rsidRDefault="003C3F8D" w:rsidP="006365AD">
      <w:pPr>
        <w:pStyle w:val="FootnoteText"/>
        <w:tabs>
          <w:tab w:val="clear" w:pos="1247"/>
          <w:tab w:val="clear" w:pos="1814"/>
          <w:tab w:val="clear" w:pos="2381"/>
          <w:tab w:val="clear" w:pos="2948"/>
          <w:tab w:val="clear" w:pos="3515"/>
          <w:tab w:val="clear" w:pos="4082"/>
          <w:tab w:val="left" w:pos="624"/>
        </w:tabs>
        <w:rPr>
          <w:rFonts w:eastAsiaTheme="majorEastAsia"/>
          <w:sz w:val="16"/>
          <w:szCs w:val="16"/>
          <w:lang w:val="es-ES"/>
        </w:rPr>
      </w:pPr>
      <w:r w:rsidRPr="009357D2">
        <w:rPr>
          <w:rStyle w:val="FootnoteReference"/>
          <w:rFonts w:eastAsiaTheme="majorEastAsia"/>
          <w:sz w:val="16"/>
          <w:szCs w:val="16"/>
        </w:rPr>
        <w:footnoteRef/>
      </w:r>
      <w:r w:rsidRPr="00312785">
        <w:rPr>
          <w:rFonts w:eastAsiaTheme="majorEastAsia"/>
          <w:sz w:val="16"/>
          <w:szCs w:val="16"/>
          <w:lang w:val="es-ES"/>
        </w:rPr>
        <w:t xml:space="preserve"> UNEP/GCSS.XI/INF/8</w:t>
      </w:r>
      <w:r>
        <w:rPr>
          <w:rFonts w:eastAsiaTheme="majorEastAsia"/>
          <w:sz w:val="16"/>
          <w:szCs w:val="16"/>
          <w:lang w:val="es-ES"/>
        </w:rPr>
        <w:t>.</w:t>
      </w:r>
    </w:p>
  </w:footnote>
  <w:footnote w:id="10">
    <w:p w14:paraId="702BB34B" w14:textId="22BCEBE6" w:rsidR="003C3F8D" w:rsidRPr="00312785" w:rsidRDefault="003C3F8D" w:rsidP="006365AD">
      <w:pPr>
        <w:pStyle w:val="FootnoteText"/>
        <w:tabs>
          <w:tab w:val="clear" w:pos="1247"/>
          <w:tab w:val="clear" w:pos="1814"/>
          <w:tab w:val="clear" w:pos="2381"/>
          <w:tab w:val="clear" w:pos="2948"/>
          <w:tab w:val="clear" w:pos="3515"/>
          <w:tab w:val="clear" w:pos="4082"/>
          <w:tab w:val="left" w:pos="624"/>
        </w:tabs>
        <w:rPr>
          <w:rFonts w:eastAsiaTheme="majorEastAsia"/>
          <w:sz w:val="16"/>
          <w:szCs w:val="16"/>
          <w:lang w:val="es-ES"/>
        </w:rPr>
      </w:pPr>
      <w:r w:rsidRPr="009357D2">
        <w:rPr>
          <w:rStyle w:val="FootnoteReference"/>
          <w:rFonts w:eastAsiaTheme="majorEastAsia"/>
          <w:sz w:val="16"/>
          <w:szCs w:val="16"/>
        </w:rPr>
        <w:footnoteRef/>
      </w:r>
      <w:r w:rsidRPr="00312785">
        <w:rPr>
          <w:rFonts w:eastAsiaTheme="majorEastAsia"/>
          <w:sz w:val="16"/>
          <w:szCs w:val="16"/>
          <w:lang w:val="es-ES"/>
        </w:rPr>
        <w:t xml:space="preserve"> UNEP/GCSS.XI/INF/8/Add.1.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6388A" w14:textId="04BE2B46" w:rsidR="003C3F8D" w:rsidRPr="00EA52F2" w:rsidRDefault="003C3F8D" w:rsidP="00FA582B">
    <w:pPr>
      <w:pStyle w:val="Header"/>
    </w:pPr>
    <w:r w:rsidRPr="00E274B1">
      <w:rPr>
        <w:bCs/>
        <w:szCs w:val="18"/>
      </w:rPr>
      <w:t>UNEP</w:t>
    </w:r>
    <w:r w:rsidRPr="00E274B1">
      <w:rPr>
        <w:szCs w:val="18"/>
      </w:rPr>
      <w:t>/EA.</w:t>
    </w:r>
    <w:r>
      <w:rPr>
        <w:szCs w:val="18"/>
      </w:rPr>
      <w:t>2/INF/18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CD6DB" w14:textId="0E8ED694" w:rsidR="003C3F8D" w:rsidRPr="00EA52F2" w:rsidRDefault="003C3F8D" w:rsidP="00EA52F2">
    <w:pPr>
      <w:pStyle w:val="Header"/>
      <w:jc w:val="right"/>
    </w:pPr>
    <w:r w:rsidRPr="00E274B1">
      <w:rPr>
        <w:bCs/>
        <w:szCs w:val="18"/>
      </w:rPr>
      <w:t>UNEP</w:t>
    </w:r>
    <w:r w:rsidRPr="00E274B1">
      <w:rPr>
        <w:szCs w:val="18"/>
      </w:rPr>
      <w:t>/EA.</w:t>
    </w:r>
    <w:r>
      <w:rPr>
        <w:szCs w:val="18"/>
      </w:rPr>
      <w:t>2/INF/18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759BA" w14:textId="7C3D3190" w:rsidR="003C3F8D" w:rsidRPr="008E2A68" w:rsidRDefault="003C3F8D" w:rsidP="00716A15">
    <w:pPr>
      <w:pStyle w:val="Header"/>
      <w:pBdr>
        <w:bottom w:val="none" w:sz="0" w:space="0" w:color="auto"/>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2D304" w14:textId="3006E24D" w:rsidR="003C3F8D" w:rsidRPr="00EA52F2" w:rsidRDefault="003C3F8D" w:rsidP="00FA582B">
    <w:pPr>
      <w:pStyle w:val="Header"/>
    </w:pPr>
    <w:r w:rsidRPr="00E274B1">
      <w:rPr>
        <w:bCs/>
        <w:szCs w:val="18"/>
      </w:rPr>
      <w:t>UNEP</w:t>
    </w:r>
    <w:r w:rsidRPr="00E274B1">
      <w:rPr>
        <w:szCs w:val="18"/>
      </w:rPr>
      <w:t>/EA.</w:t>
    </w:r>
    <w:r>
      <w:rPr>
        <w:szCs w:val="18"/>
      </w:rPr>
      <w:t>2/INF/18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FD73D" w14:textId="18CA9D72" w:rsidR="003C3F8D" w:rsidRPr="008E2A68" w:rsidRDefault="003C3F8D" w:rsidP="00EA19B4">
    <w:pPr>
      <w:pStyle w:val="Header"/>
      <w:jc w:val="right"/>
    </w:pPr>
    <w:r>
      <w:rPr>
        <w:bCs/>
        <w:szCs w:val="18"/>
      </w:rPr>
      <w:t>UNEP</w:t>
    </w:r>
    <w:r>
      <w:rPr>
        <w:szCs w:val="18"/>
      </w:rPr>
      <w:t>/EA.2/INF/18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076E"/>
    <w:multiLevelType w:val="hybridMultilevel"/>
    <w:tmpl w:val="4E54790A"/>
    <w:lvl w:ilvl="0" w:tplc="A8008E80">
      <w:start w:val="1"/>
      <w:numFmt w:val="lowerLetter"/>
      <w:lvlText w:val="(%1)"/>
      <w:lvlJc w:val="left"/>
      <w:pPr>
        <w:ind w:left="2231" w:hanging="360"/>
      </w:pPr>
      <w:rPr>
        <w:rFonts w:hint="default"/>
        <w:b w:val="0"/>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
    <w:nsid w:val="07EA3A40"/>
    <w:multiLevelType w:val="multilevel"/>
    <w:tmpl w:val="F0245300"/>
    <w:styleLink w:val="List21"/>
    <w:lvl w:ilvl="0">
      <w:start w:val="1"/>
      <w:numFmt w:val="decimal"/>
      <w:lvlText w:val="%1."/>
      <w:lvlJc w:val="left"/>
      <w:pPr>
        <w:tabs>
          <w:tab w:val="num" w:pos="720"/>
        </w:tabs>
        <w:ind w:left="720" w:hanging="360"/>
      </w:pPr>
      <w:rPr>
        <w:position w:val="0"/>
        <w:sz w:val="24"/>
        <w:szCs w:val="24"/>
        <w:lang w:val="en-US"/>
      </w:rPr>
    </w:lvl>
    <w:lvl w:ilvl="1">
      <w:start w:val="1"/>
      <w:numFmt w:val="lowerLetter"/>
      <w:lvlText w:val="%2."/>
      <w:lvlJc w:val="left"/>
      <w:pPr>
        <w:tabs>
          <w:tab w:val="num" w:pos="1440"/>
        </w:tabs>
        <w:ind w:left="1440" w:hanging="360"/>
      </w:pPr>
      <w:rPr>
        <w:position w:val="0"/>
        <w:sz w:val="24"/>
        <w:szCs w:val="24"/>
        <w:lang w:val="en-US"/>
      </w:rPr>
    </w:lvl>
    <w:lvl w:ilvl="2">
      <w:start w:val="1"/>
      <w:numFmt w:val="lowerRoman"/>
      <w:lvlText w:val="%3."/>
      <w:lvlJc w:val="left"/>
      <w:pPr>
        <w:tabs>
          <w:tab w:val="num" w:pos="2160"/>
        </w:tabs>
        <w:ind w:left="2160" w:hanging="296"/>
      </w:pPr>
      <w:rPr>
        <w:position w:val="0"/>
        <w:sz w:val="24"/>
        <w:szCs w:val="24"/>
        <w:lang w:val="en-US"/>
      </w:rPr>
    </w:lvl>
    <w:lvl w:ilvl="3">
      <w:start w:val="1"/>
      <w:numFmt w:val="decimal"/>
      <w:lvlText w:val="%4."/>
      <w:lvlJc w:val="left"/>
      <w:pPr>
        <w:tabs>
          <w:tab w:val="num" w:pos="2880"/>
        </w:tabs>
        <w:ind w:left="2880" w:hanging="360"/>
      </w:pPr>
      <w:rPr>
        <w:position w:val="0"/>
        <w:sz w:val="24"/>
        <w:szCs w:val="24"/>
        <w:lang w:val="en-US"/>
      </w:rPr>
    </w:lvl>
    <w:lvl w:ilvl="4">
      <w:start w:val="1"/>
      <w:numFmt w:val="lowerLetter"/>
      <w:lvlText w:val="%5."/>
      <w:lvlJc w:val="left"/>
      <w:pPr>
        <w:tabs>
          <w:tab w:val="num" w:pos="3600"/>
        </w:tabs>
        <w:ind w:left="3600" w:hanging="360"/>
      </w:pPr>
      <w:rPr>
        <w:position w:val="0"/>
        <w:sz w:val="24"/>
        <w:szCs w:val="24"/>
        <w:lang w:val="en-US"/>
      </w:rPr>
    </w:lvl>
    <w:lvl w:ilvl="5">
      <w:start w:val="1"/>
      <w:numFmt w:val="lowerRoman"/>
      <w:lvlText w:val="%6."/>
      <w:lvlJc w:val="left"/>
      <w:pPr>
        <w:tabs>
          <w:tab w:val="num" w:pos="4320"/>
        </w:tabs>
        <w:ind w:left="4320" w:hanging="296"/>
      </w:pPr>
      <w:rPr>
        <w:position w:val="0"/>
        <w:sz w:val="24"/>
        <w:szCs w:val="24"/>
        <w:lang w:val="en-US"/>
      </w:rPr>
    </w:lvl>
    <w:lvl w:ilvl="6">
      <w:start w:val="1"/>
      <w:numFmt w:val="decimal"/>
      <w:lvlText w:val="%7."/>
      <w:lvlJc w:val="left"/>
      <w:pPr>
        <w:tabs>
          <w:tab w:val="num" w:pos="5040"/>
        </w:tabs>
        <w:ind w:left="5040" w:hanging="360"/>
      </w:pPr>
      <w:rPr>
        <w:position w:val="0"/>
        <w:sz w:val="24"/>
        <w:szCs w:val="24"/>
        <w:lang w:val="en-US"/>
      </w:rPr>
    </w:lvl>
    <w:lvl w:ilvl="7">
      <w:start w:val="1"/>
      <w:numFmt w:val="lowerLetter"/>
      <w:lvlText w:val="%8."/>
      <w:lvlJc w:val="left"/>
      <w:pPr>
        <w:tabs>
          <w:tab w:val="num" w:pos="5760"/>
        </w:tabs>
        <w:ind w:left="5760" w:hanging="360"/>
      </w:pPr>
      <w:rPr>
        <w:position w:val="0"/>
        <w:sz w:val="24"/>
        <w:szCs w:val="24"/>
        <w:lang w:val="en-US"/>
      </w:rPr>
    </w:lvl>
    <w:lvl w:ilvl="8">
      <w:start w:val="1"/>
      <w:numFmt w:val="lowerRoman"/>
      <w:lvlText w:val="%9."/>
      <w:lvlJc w:val="left"/>
      <w:pPr>
        <w:tabs>
          <w:tab w:val="num" w:pos="6480"/>
        </w:tabs>
        <w:ind w:left="6480" w:hanging="296"/>
      </w:pPr>
      <w:rPr>
        <w:position w:val="0"/>
        <w:sz w:val="24"/>
        <w:szCs w:val="24"/>
        <w:lang w:val="en-US"/>
      </w:rPr>
    </w:lvl>
  </w:abstractNum>
  <w:abstractNum w:abstractNumId="2">
    <w:nsid w:val="08AA1E1C"/>
    <w:multiLevelType w:val="hybridMultilevel"/>
    <w:tmpl w:val="9DA2B6C2"/>
    <w:lvl w:ilvl="0" w:tplc="97FAE6F8">
      <w:start w:val="1"/>
      <w:numFmt w:val="decimal"/>
      <w:lvlText w:val="%1."/>
      <w:lvlJc w:val="left"/>
      <w:pPr>
        <w:ind w:left="720" w:hanging="360"/>
      </w:pPr>
      <w:rPr>
        <w:rFonts w:asciiTheme="majorBidi" w:eastAsia="Times New Roman" w:hAnsiTheme="majorBidi" w:cstheme="majorBidi" w:hint="default"/>
      </w:rPr>
    </w:lvl>
    <w:lvl w:ilvl="1" w:tplc="A8008E80">
      <w:start w:val="1"/>
      <w:numFmt w:val="lowerLetter"/>
      <w:lvlText w:val="(%2)"/>
      <w:lvlJc w:val="left"/>
      <w:pPr>
        <w:ind w:left="1080" w:hanging="360"/>
      </w:pPr>
      <w:rPr>
        <w:rFonts w:hint="default"/>
      </w:rPr>
    </w:lvl>
    <w:lvl w:ilvl="2" w:tplc="1E2CC248">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8E0705"/>
    <w:multiLevelType w:val="hybridMultilevel"/>
    <w:tmpl w:val="17789E3C"/>
    <w:lvl w:ilvl="0" w:tplc="E8A6DDB0">
      <w:start w:val="1"/>
      <w:numFmt w:val="lowerRoman"/>
      <w:lvlText w:val="(%1)"/>
      <w:lvlJc w:val="left"/>
      <w:pPr>
        <w:ind w:left="2233" w:hanging="360"/>
      </w:pPr>
      <w:rPr>
        <w:rFonts w:hint="default"/>
        <w:b w:val="0"/>
      </w:rPr>
    </w:lvl>
    <w:lvl w:ilvl="1" w:tplc="04090019" w:tentative="1">
      <w:start w:val="1"/>
      <w:numFmt w:val="lowerLetter"/>
      <w:lvlText w:val="%2."/>
      <w:lvlJc w:val="left"/>
      <w:pPr>
        <w:ind w:left="2784" w:hanging="360"/>
      </w:pPr>
    </w:lvl>
    <w:lvl w:ilvl="2" w:tplc="0409001B" w:tentative="1">
      <w:start w:val="1"/>
      <w:numFmt w:val="lowerRoman"/>
      <w:lvlText w:val="%3."/>
      <w:lvlJc w:val="right"/>
      <w:pPr>
        <w:ind w:left="3504" w:hanging="180"/>
      </w:pPr>
    </w:lvl>
    <w:lvl w:ilvl="3" w:tplc="0409000F" w:tentative="1">
      <w:start w:val="1"/>
      <w:numFmt w:val="decimal"/>
      <w:lvlText w:val="%4."/>
      <w:lvlJc w:val="left"/>
      <w:pPr>
        <w:ind w:left="4224" w:hanging="360"/>
      </w:p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4">
    <w:nsid w:val="115B0F45"/>
    <w:multiLevelType w:val="hybridMultilevel"/>
    <w:tmpl w:val="1FD20FFE"/>
    <w:lvl w:ilvl="0" w:tplc="A8008E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7A245DE"/>
    <w:multiLevelType w:val="hybridMultilevel"/>
    <w:tmpl w:val="3A7026E6"/>
    <w:lvl w:ilvl="0" w:tplc="EE1413A0">
      <w:start w:val="1"/>
      <w:numFmt w:val="decimal"/>
      <w:pStyle w:val="Normalnumber"/>
      <w:lvlText w:val="%1."/>
      <w:lvlJc w:val="left"/>
      <w:pPr>
        <w:ind w:left="2231" w:hanging="360"/>
      </w:pPr>
      <w:rPr>
        <w:b w:val="0"/>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7">
    <w:nsid w:val="1BD317E8"/>
    <w:multiLevelType w:val="hybridMultilevel"/>
    <w:tmpl w:val="18B6793C"/>
    <w:lvl w:ilvl="0" w:tplc="1E2CC248">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10521F"/>
    <w:multiLevelType w:val="hybridMultilevel"/>
    <w:tmpl w:val="14D4889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2B633109"/>
    <w:multiLevelType w:val="hybridMultilevel"/>
    <w:tmpl w:val="CA72199E"/>
    <w:lvl w:ilvl="0" w:tplc="A8008E80">
      <w:start w:val="1"/>
      <w:numFmt w:val="lowerLetter"/>
      <w:lvlText w:val="(%1)"/>
      <w:lvlJc w:val="left"/>
      <w:pPr>
        <w:ind w:left="2629"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317175E1"/>
    <w:multiLevelType w:val="hybridMultilevel"/>
    <w:tmpl w:val="17789E3C"/>
    <w:lvl w:ilvl="0" w:tplc="E8A6DDB0">
      <w:start w:val="1"/>
      <w:numFmt w:val="lowerRoman"/>
      <w:lvlText w:val="(%1)"/>
      <w:lvlJc w:val="left"/>
      <w:pPr>
        <w:ind w:left="2233" w:hanging="360"/>
      </w:pPr>
      <w:rPr>
        <w:rFonts w:hint="default"/>
        <w:b w:val="0"/>
      </w:rPr>
    </w:lvl>
    <w:lvl w:ilvl="1" w:tplc="04090019" w:tentative="1">
      <w:start w:val="1"/>
      <w:numFmt w:val="lowerLetter"/>
      <w:lvlText w:val="%2."/>
      <w:lvlJc w:val="left"/>
      <w:pPr>
        <w:ind w:left="2784" w:hanging="360"/>
      </w:pPr>
    </w:lvl>
    <w:lvl w:ilvl="2" w:tplc="0409001B" w:tentative="1">
      <w:start w:val="1"/>
      <w:numFmt w:val="lowerRoman"/>
      <w:lvlText w:val="%3."/>
      <w:lvlJc w:val="right"/>
      <w:pPr>
        <w:ind w:left="3504" w:hanging="180"/>
      </w:pPr>
    </w:lvl>
    <w:lvl w:ilvl="3" w:tplc="0409000F" w:tentative="1">
      <w:start w:val="1"/>
      <w:numFmt w:val="decimal"/>
      <w:lvlText w:val="%4."/>
      <w:lvlJc w:val="left"/>
      <w:pPr>
        <w:ind w:left="4224" w:hanging="360"/>
      </w:p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11">
    <w:nsid w:val="346951AB"/>
    <w:multiLevelType w:val="hybridMultilevel"/>
    <w:tmpl w:val="14D4889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nsid w:val="3AEA5061"/>
    <w:multiLevelType w:val="hybridMultilevel"/>
    <w:tmpl w:val="CED42FC6"/>
    <w:lvl w:ilvl="0" w:tplc="97FAE6F8">
      <w:start w:val="1"/>
      <w:numFmt w:val="decimal"/>
      <w:lvlText w:val="%1."/>
      <w:lvlJc w:val="left"/>
      <w:pPr>
        <w:ind w:left="720" w:hanging="360"/>
      </w:pPr>
      <w:rPr>
        <w:rFonts w:asciiTheme="majorBidi" w:eastAsia="Times New Roman" w:hAnsiTheme="majorBidi" w:cstheme="majorBidi" w:hint="default"/>
      </w:rPr>
    </w:lvl>
    <w:lvl w:ilvl="1" w:tplc="04090017">
      <w:start w:val="1"/>
      <w:numFmt w:val="lowerLetter"/>
      <w:lvlText w:val="%2)"/>
      <w:lvlJc w:val="left"/>
      <w:pPr>
        <w:ind w:left="1080" w:hanging="360"/>
      </w:pPr>
    </w:lvl>
    <w:lvl w:ilvl="2" w:tplc="1E2CC248">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nsid w:val="52AF4370"/>
    <w:multiLevelType w:val="hybridMultilevel"/>
    <w:tmpl w:val="1E50252A"/>
    <w:lvl w:ilvl="0" w:tplc="96D85536">
      <w:start w:val="9"/>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6B432C20"/>
    <w:multiLevelType w:val="hybridMultilevel"/>
    <w:tmpl w:val="2C7851AE"/>
    <w:lvl w:ilvl="0" w:tplc="A8008E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76211209"/>
    <w:multiLevelType w:val="hybridMultilevel"/>
    <w:tmpl w:val="14D4889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12"/>
  </w:num>
  <w:num w:numId="3">
    <w:abstractNumId w:val="14"/>
  </w:num>
  <w:num w:numId="4">
    <w:abstractNumId w:val="5"/>
  </w:num>
  <w:num w:numId="5">
    <w:abstractNumId w:val="13"/>
  </w:num>
  <w:num w:numId="6">
    <w:abstractNumId w:val="14"/>
    <w:lvlOverride w:ilvl="0">
      <w:lvl w:ilvl="0">
        <w:numFmt w:val="decimal"/>
        <w:lvlText w:val=""/>
        <w:lvlJc w:val="left"/>
      </w:lvl>
    </w:lvlOverride>
    <w:lvlOverride w:ilvl="1">
      <w:lvl w:ilvl="1">
        <w:start w:val="1"/>
        <w:numFmt w:val="lowerLetter"/>
        <w:lvlText w:val="(%2)"/>
        <w:lvlJc w:val="left"/>
        <w:pPr>
          <w:tabs>
            <w:tab w:val="num" w:pos="-127"/>
          </w:tabs>
          <w:ind w:left="-14" w:firstLine="567"/>
        </w:pPr>
        <w:rPr>
          <w:rFonts w:hint="default"/>
        </w:rPr>
      </w:lvl>
    </w:lvlOverride>
  </w:num>
  <w:num w:numId="7">
    <w:abstractNumId w:val="14"/>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
    <w:abstractNumId w:val="1"/>
    <w:lvlOverride w:ilvl="0">
      <w:lvl w:ilvl="0">
        <w:start w:val="1"/>
        <w:numFmt w:val="decimal"/>
        <w:lvlText w:val="%1."/>
        <w:lvlJc w:val="left"/>
        <w:pPr>
          <w:tabs>
            <w:tab w:val="num" w:pos="720"/>
          </w:tabs>
          <w:ind w:left="720" w:hanging="360"/>
        </w:pPr>
        <w:rPr>
          <w:position w:val="0"/>
          <w:sz w:val="24"/>
          <w:szCs w:val="24"/>
          <w:lang w:val="en-US"/>
        </w:rPr>
      </w:lvl>
    </w:lvlOverride>
  </w:num>
  <w:num w:numId="9">
    <w:abstractNumId w:val="15"/>
  </w:num>
  <w:num w:numId="10">
    <w:abstractNumId w:val="17"/>
  </w:num>
  <w:num w:numId="11">
    <w:abstractNumId w:val="8"/>
  </w:num>
  <w:num w:numId="12">
    <w:abstractNumId w:val="11"/>
  </w:num>
  <w:num w:numId="13">
    <w:abstractNumId w:val="14"/>
    <w:lvlOverride w:ilvl="0">
      <w:startOverride w:val="17"/>
    </w:lvlOverride>
  </w:num>
  <w:num w:numId="14">
    <w:abstractNumId w:val="7"/>
  </w:num>
  <w:num w:numId="15">
    <w:abstractNumId w:val="14"/>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6">
    <w:abstractNumId w:val="14"/>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7">
    <w:abstractNumId w:val="14"/>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8">
    <w:abstractNumId w:val="14"/>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9">
    <w:abstractNumId w:val="1"/>
  </w:num>
  <w:num w:numId="20">
    <w:abstractNumId w:val="2"/>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 w:numId="49">
    <w:abstractNumId w:val="5"/>
  </w:num>
  <w:num w:numId="50">
    <w:abstractNumId w:val="5"/>
  </w:num>
  <w:num w:numId="51">
    <w:abstractNumId w:val="5"/>
  </w:num>
  <w:num w:numId="52">
    <w:abstractNumId w:val="5"/>
  </w:num>
  <w:num w:numId="53">
    <w:abstractNumId w:val="5"/>
  </w:num>
  <w:num w:numId="54">
    <w:abstractNumId w:val="5"/>
  </w:num>
  <w:num w:numId="55">
    <w:abstractNumId w:val="5"/>
  </w:num>
  <w:num w:numId="56">
    <w:abstractNumId w:val="5"/>
  </w:num>
  <w:num w:numId="57">
    <w:abstractNumId w:val="5"/>
  </w:num>
  <w:num w:numId="58">
    <w:abstractNumId w:val="5"/>
  </w:num>
  <w:num w:numId="59">
    <w:abstractNumId w:val="5"/>
  </w:num>
  <w:num w:numId="60">
    <w:abstractNumId w:val="5"/>
  </w:num>
  <w:num w:numId="61">
    <w:abstractNumId w:val="5"/>
  </w:num>
  <w:num w:numId="62">
    <w:abstractNumId w:val="5"/>
  </w:num>
  <w:num w:numId="63">
    <w:abstractNumId w:val="5"/>
  </w:num>
  <w:num w:numId="64">
    <w:abstractNumId w:val="5"/>
  </w:num>
  <w:num w:numId="65">
    <w:abstractNumId w:val="5"/>
  </w:num>
  <w:num w:numId="66">
    <w:abstractNumId w:val="5"/>
  </w:num>
  <w:num w:numId="67">
    <w:abstractNumId w:val="5"/>
  </w:num>
  <w:num w:numId="68">
    <w:abstractNumId w:val="5"/>
  </w:num>
  <w:num w:numId="69">
    <w:abstractNumId w:val="5"/>
  </w:num>
  <w:num w:numId="70">
    <w:abstractNumId w:val="5"/>
  </w:num>
  <w:num w:numId="71">
    <w:abstractNumId w:val="5"/>
  </w:num>
  <w:num w:numId="72">
    <w:abstractNumId w:val="5"/>
  </w:num>
  <w:num w:numId="73">
    <w:abstractNumId w:val="5"/>
  </w:num>
  <w:num w:numId="74">
    <w:abstractNumId w:val="5"/>
  </w:num>
  <w:num w:numId="75">
    <w:abstractNumId w:val="5"/>
  </w:num>
  <w:num w:numId="76">
    <w:abstractNumId w:val="5"/>
  </w:num>
  <w:num w:numId="77">
    <w:abstractNumId w:val="5"/>
  </w:num>
  <w:num w:numId="78">
    <w:abstractNumId w:val="5"/>
  </w:num>
  <w:num w:numId="79">
    <w:abstractNumId w:val="5"/>
  </w:num>
  <w:num w:numId="80">
    <w:abstractNumId w:val="5"/>
  </w:num>
  <w:num w:numId="81">
    <w:abstractNumId w:val="5"/>
  </w:num>
  <w:num w:numId="82">
    <w:abstractNumId w:val="9"/>
  </w:num>
  <w:num w:numId="83">
    <w:abstractNumId w:val="16"/>
  </w:num>
  <w:num w:numId="84">
    <w:abstractNumId w:val="4"/>
  </w:num>
  <w:num w:numId="85">
    <w:abstractNumId w:val="5"/>
  </w:num>
  <w:num w:numId="86">
    <w:abstractNumId w:val="0"/>
  </w:num>
  <w:num w:numId="87">
    <w:abstractNumId w:val="5"/>
  </w:num>
  <w:num w:numId="88">
    <w:abstractNumId w:val="5"/>
  </w:num>
  <w:num w:numId="89">
    <w:abstractNumId w:val="5"/>
  </w:num>
  <w:num w:numId="90">
    <w:abstractNumId w:val="5"/>
  </w:num>
  <w:num w:numId="91">
    <w:abstractNumId w:val="5"/>
  </w:num>
  <w:num w:numId="92">
    <w:abstractNumId w:val="5"/>
  </w:num>
  <w:num w:numId="93">
    <w:abstractNumId w:val="5"/>
  </w:num>
  <w:num w:numId="94">
    <w:abstractNumId w:val="5"/>
  </w:num>
  <w:num w:numId="95">
    <w:abstractNumId w:val="5"/>
  </w:num>
  <w:num w:numId="96">
    <w:abstractNumId w:val="5"/>
  </w:num>
  <w:num w:numId="97">
    <w:abstractNumId w:val="5"/>
  </w:num>
  <w:num w:numId="98">
    <w:abstractNumId w:val="5"/>
  </w:num>
  <w:num w:numId="99">
    <w:abstractNumId w:val="5"/>
  </w:num>
  <w:num w:numId="100">
    <w:abstractNumId w:val="5"/>
  </w:num>
  <w:num w:numId="101">
    <w:abstractNumId w:val="5"/>
  </w:num>
  <w:num w:numId="102">
    <w:abstractNumId w:val="5"/>
  </w:num>
  <w:num w:numId="103">
    <w:abstractNumId w:val="5"/>
  </w:num>
  <w:num w:numId="104">
    <w:abstractNumId w:val="10"/>
  </w:num>
  <w:num w:numId="105">
    <w:abstractNumId w:val="5"/>
  </w:num>
  <w:num w:numId="106">
    <w:abstractNumId w:val="5"/>
  </w:num>
  <w:num w:numId="107">
    <w:abstractNumId w:val="3"/>
  </w:num>
  <w:num w:numId="108">
    <w:abstractNumId w:val="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PH" w:vendorID="64" w:dllVersion="131078" w:nlCheck="1" w:checkStyle="1"/>
  <w:activeWritingStyle w:appName="MSWord" w:lang="en-CA"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C54"/>
    <w:rsid w:val="000056FF"/>
    <w:rsid w:val="00010DA7"/>
    <w:rsid w:val="000149E6"/>
    <w:rsid w:val="000161DE"/>
    <w:rsid w:val="000178E6"/>
    <w:rsid w:val="000247B0"/>
    <w:rsid w:val="00025E10"/>
    <w:rsid w:val="00026997"/>
    <w:rsid w:val="000275C3"/>
    <w:rsid w:val="00033E0B"/>
    <w:rsid w:val="00035EDE"/>
    <w:rsid w:val="00036A78"/>
    <w:rsid w:val="00044652"/>
    <w:rsid w:val="00044C29"/>
    <w:rsid w:val="000509B4"/>
    <w:rsid w:val="000518BE"/>
    <w:rsid w:val="00051B21"/>
    <w:rsid w:val="00052DE2"/>
    <w:rsid w:val="0006035B"/>
    <w:rsid w:val="00065A5C"/>
    <w:rsid w:val="00071169"/>
    <w:rsid w:val="00071886"/>
    <w:rsid w:val="00073494"/>
    <w:rsid w:val="000742BC"/>
    <w:rsid w:val="0007550A"/>
    <w:rsid w:val="0007754A"/>
    <w:rsid w:val="00082A0C"/>
    <w:rsid w:val="00083504"/>
    <w:rsid w:val="00083DDE"/>
    <w:rsid w:val="000903B6"/>
    <w:rsid w:val="00091970"/>
    <w:rsid w:val="00095E26"/>
    <w:rsid w:val="0009640C"/>
    <w:rsid w:val="000A618C"/>
    <w:rsid w:val="000B1511"/>
    <w:rsid w:val="000B22A2"/>
    <w:rsid w:val="000B63E9"/>
    <w:rsid w:val="000C2A52"/>
    <w:rsid w:val="000C3556"/>
    <w:rsid w:val="000D33C0"/>
    <w:rsid w:val="000D6941"/>
    <w:rsid w:val="000E1536"/>
    <w:rsid w:val="000E314F"/>
    <w:rsid w:val="00107633"/>
    <w:rsid w:val="00113DA4"/>
    <w:rsid w:val="00114B75"/>
    <w:rsid w:val="00114F32"/>
    <w:rsid w:val="00116BF5"/>
    <w:rsid w:val="00116F0F"/>
    <w:rsid w:val="001201B1"/>
    <w:rsid w:val="001202E3"/>
    <w:rsid w:val="00123699"/>
    <w:rsid w:val="00126083"/>
    <w:rsid w:val="0013059D"/>
    <w:rsid w:val="00132349"/>
    <w:rsid w:val="0013358E"/>
    <w:rsid w:val="001367BE"/>
    <w:rsid w:val="00141A55"/>
    <w:rsid w:val="001431EC"/>
    <w:rsid w:val="001446A3"/>
    <w:rsid w:val="001474CA"/>
    <w:rsid w:val="00147A46"/>
    <w:rsid w:val="0015080D"/>
    <w:rsid w:val="00153764"/>
    <w:rsid w:val="00153A74"/>
    <w:rsid w:val="00155395"/>
    <w:rsid w:val="00160D74"/>
    <w:rsid w:val="00162ADB"/>
    <w:rsid w:val="00165F72"/>
    <w:rsid w:val="00167391"/>
    <w:rsid w:val="00167D02"/>
    <w:rsid w:val="00170F8D"/>
    <w:rsid w:val="00176F7A"/>
    <w:rsid w:val="00180726"/>
    <w:rsid w:val="00181EC8"/>
    <w:rsid w:val="00184349"/>
    <w:rsid w:val="00184A6D"/>
    <w:rsid w:val="001934F4"/>
    <w:rsid w:val="00195F33"/>
    <w:rsid w:val="001A0997"/>
    <w:rsid w:val="001A2830"/>
    <w:rsid w:val="001A2A33"/>
    <w:rsid w:val="001B1617"/>
    <w:rsid w:val="001B504B"/>
    <w:rsid w:val="001C1216"/>
    <w:rsid w:val="001C577F"/>
    <w:rsid w:val="001D040D"/>
    <w:rsid w:val="001D3874"/>
    <w:rsid w:val="001D7E75"/>
    <w:rsid w:val="001E04A1"/>
    <w:rsid w:val="001E0D4D"/>
    <w:rsid w:val="001E56D2"/>
    <w:rsid w:val="001E7D56"/>
    <w:rsid w:val="001E7F14"/>
    <w:rsid w:val="001F679A"/>
    <w:rsid w:val="001F75DE"/>
    <w:rsid w:val="001F7912"/>
    <w:rsid w:val="001F7AA7"/>
    <w:rsid w:val="00200D58"/>
    <w:rsid w:val="002013BE"/>
    <w:rsid w:val="00205302"/>
    <w:rsid w:val="002063A4"/>
    <w:rsid w:val="0021145B"/>
    <w:rsid w:val="002278A5"/>
    <w:rsid w:val="00236099"/>
    <w:rsid w:val="00243D36"/>
    <w:rsid w:val="00247707"/>
    <w:rsid w:val="0026018E"/>
    <w:rsid w:val="0026170E"/>
    <w:rsid w:val="00261930"/>
    <w:rsid w:val="00265D48"/>
    <w:rsid w:val="00267754"/>
    <w:rsid w:val="00276746"/>
    <w:rsid w:val="002771D4"/>
    <w:rsid w:val="00284043"/>
    <w:rsid w:val="00286740"/>
    <w:rsid w:val="002922E7"/>
    <w:rsid w:val="002929D8"/>
    <w:rsid w:val="002A237D"/>
    <w:rsid w:val="002A3064"/>
    <w:rsid w:val="002A42AC"/>
    <w:rsid w:val="002A4C53"/>
    <w:rsid w:val="002B0672"/>
    <w:rsid w:val="002B1035"/>
    <w:rsid w:val="002B247F"/>
    <w:rsid w:val="002B4992"/>
    <w:rsid w:val="002B594A"/>
    <w:rsid w:val="002C145D"/>
    <w:rsid w:val="002C2C3E"/>
    <w:rsid w:val="002C4C33"/>
    <w:rsid w:val="002C533E"/>
    <w:rsid w:val="002D027F"/>
    <w:rsid w:val="002D0B16"/>
    <w:rsid w:val="002D6345"/>
    <w:rsid w:val="002D7A85"/>
    <w:rsid w:val="002D7B60"/>
    <w:rsid w:val="002E3896"/>
    <w:rsid w:val="002E5225"/>
    <w:rsid w:val="002F4761"/>
    <w:rsid w:val="002F5C79"/>
    <w:rsid w:val="003019E2"/>
    <w:rsid w:val="003057B1"/>
    <w:rsid w:val="00307EE3"/>
    <w:rsid w:val="0031413F"/>
    <w:rsid w:val="003148BB"/>
    <w:rsid w:val="00317976"/>
    <w:rsid w:val="0033437F"/>
    <w:rsid w:val="00337A5B"/>
    <w:rsid w:val="003559BF"/>
    <w:rsid w:val="00355EA9"/>
    <w:rsid w:val="00355EB2"/>
    <w:rsid w:val="003578DE"/>
    <w:rsid w:val="00360CFF"/>
    <w:rsid w:val="00362BAF"/>
    <w:rsid w:val="00363025"/>
    <w:rsid w:val="00363DC0"/>
    <w:rsid w:val="0036570E"/>
    <w:rsid w:val="00373C49"/>
    <w:rsid w:val="00386F6C"/>
    <w:rsid w:val="00392D30"/>
    <w:rsid w:val="00395E70"/>
    <w:rsid w:val="00396257"/>
    <w:rsid w:val="00396D74"/>
    <w:rsid w:val="00397EB8"/>
    <w:rsid w:val="003A4112"/>
    <w:rsid w:val="003A44E1"/>
    <w:rsid w:val="003A4FD0"/>
    <w:rsid w:val="003A69D1"/>
    <w:rsid w:val="003A7705"/>
    <w:rsid w:val="003A77F1"/>
    <w:rsid w:val="003B1545"/>
    <w:rsid w:val="003C15F4"/>
    <w:rsid w:val="003C3D01"/>
    <w:rsid w:val="003C3F8D"/>
    <w:rsid w:val="003C409D"/>
    <w:rsid w:val="003C52E6"/>
    <w:rsid w:val="003C5BA6"/>
    <w:rsid w:val="003C5C81"/>
    <w:rsid w:val="003D06CA"/>
    <w:rsid w:val="003E1CCD"/>
    <w:rsid w:val="003E794C"/>
    <w:rsid w:val="003F01E5"/>
    <w:rsid w:val="003F0E85"/>
    <w:rsid w:val="003F169C"/>
    <w:rsid w:val="00400B70"/>
    <w:rsid w:val="004023CF"/>
    <w:rsid w:val="00410C55"/>
    <w:rsid w:val="004152C7"/>
    <w:rsid w:val="00416854"/>
    <w:rsid w:val="00417725"/>
    <w:rsid w:val="00437F26"/>
    <w:rsid w:val="00444097"/>
    <w:rsid w:val="00445487"/>
    <w:rsid w:val="0045007E"/>
    <w:rsid w:val="0045061E"/>
    <w:rsid w:val="00454769"/>
    <w:rsid w:val="00454874"/>
    <w:rsid w:val="00454D21"/>
    <w:rsid w:val="00455A40"/>
    <w:rsid w:val="00456F3B"/>
    <w:rsid w:val="0045738B"/>
    <w:rsid w:val="00457ECD"/>
    <w:rsid w:val="00466991"/>
    <w:rsid w:val="004703D1"/>
    <w:rsid w:val="0047064C"/>
    <w:rsid w:val="00474292"/>
    <w:rsid w:val="00493A21"/>
    <w:rsid w:val="004A42E1"/>
    <w:rsid w:val="004A4B3A"/>
    <w:rsid w:val="004A6852"/>
    <w:rsid w:val="004B07E0"/>
    <w:rsid w:val="004B162C"/>
    <w:rsid w:val="004B2661"/>
    <w:rsid w:val="004B49DE"/>
    <w:rsid w:val="004B50A5"/>
    <w:rsid w:val="004C3DBE"/>
    <w:rsid w:val="004C5C96"/>
    <w:rsid w:val="004D06A4"/>
    <w:rsid w:val="004D405B"/>
    <w:rsid w:val="004E14FF"/>
    <w:rsid w:val="004E6B79"/>
    <w:rsid w:val="004F1A81"/>
    <w:rsid w:val="004F2242"/>
    <w:rsid w:val="004F4311"/>
    <w:rsid w:val="004F526B"/>
    <w:rsid w:val="004F5555"/>
    <w:rsid w:val="004F70C4"/>
    <w:rsid w:val="005039AF"/>
    <w:rsid w:val="00503C63"/>
    <w:rsid w:val="0050665F"/>
    <w:rsid w:val="00507B4F"/>
    <w:rsid w:val="00514CAF"/>
    <w:rsid w:val="005158F3"/>
    <w:rsid w:val="00516B04"/>
    <w:rsid w:val="00517A99"/>
    <w:rsid w:val="005218D9"/>
    <w:rsid w:val="00523162"/>
    <w:rsid w:val="00534A38"/>
    <w:rsid w:val="00536186"/>
    <w:rsid w:val="005402E9"/>
    <w:rsid w:val="00544CBB"/>
    <w:rsid w:val="0055249A"/>
    <w:rsid w:val="00553350"/>
    <w:rsid w:val="00557B8E"/>
    <w:rsid w:val="00561F50"/>
    <w:rsid w:val="0056772D"/>
    <w:rsid w:val="00570A37"/>
    <w:rsid w:val="0057315F"/>
    <w:rsid w:val="00576104"/>
    <w:rsid w:val="00581043"/>
    <w:rsid w:val="00582538"/>
    <w:rsid w:val="0058287F"/>
    <w:rsid w:val="00583C37"/>
    <w:rsid w:val="00583CA9"/>
    <w:rsid w:val="00587538"/>
    <w:rsid w:val="0059169A"/>
    <w:rsid w:val="00594678"/>
    <w:rsid w:val="005A18F6"/>
    <w:rsid w:val="005A4E4D"/>
    <w:rsid w:val="005B0FCF"/>
    <w:rsid w:val="005B6526"/>
    <w:rsid w:val="005C5497"/>
    <w:rsid w:val="005C67C8"/>
    <w:rsid w:val="005C6E64"/>
    <w:rsid w:val="005D0249"/>
    <w:rsid w:val="005D136C"/>
    <w:rsid w:val="005D14F3"/>
    <w:rsid w:val="005D6606"/>
    <w:rsid w:val="005D6D57"/>
    <w:rsid w:val="005D6E8C"/>
    <w:rsid w:val="005E471A"/>
    <w:rsid w:val="005F0C62"/>
    <w:rsid w:val="005F100C"/>
    <w:rsid w:val="005F4E43"/>
    <w:rsid w:val="005F5C7E"/>
    <w:rsid w:val="005F68DA"/>
    <w:rsid w:val="00600808"/>
    <w:rsid w:val="00606966"/>
    <w:rsid w:val="0060773B"/>
    <w:rsid w:val="006157B5"/>
    <w:rsid w:val="00623014"/>
    <w:rsid w:val="006233E6"/>
    <w:rsid w:val="00626FC6"/>
    <w:rsid w:val="006303B4"/>
    <w:rsid w:val="00632429"/>
    <w:rsid w:val="00633D3D"/>
    <w:rsid w:val="0063637D"/>
    <w:rsid w:val="006365AD"/>
    <w:rsid w:val="00641703"/>
    <w:rsid w:val="006431A6"/>
    <w:rsid w:val="00643973"/>
    <w:rsid w:val="006459F6"/>
    <w:rsid w:val="00646E5E"/>
    <w:rsid w:val="006501AD"/>
    <w:rsid w:val="00651BFA"/>
    <w:rsid w:val="006528D8"/>
    <w:rsid w:val="00654475"/>
    <w:rsid w:val="0065477A"/>
    <w:rsid w:val="00657BC1"/>
    <w:rsid w:val="00664059"/>
    <w:rsid w:val="00665A4B"/>
    <w:rsid w:val="0067321E"/>
    <w:rsid w:val="0067478F"/>
    <w:rsid w:val="00675DF0"/>
    <w:rsid w:val="006851F6"/>
    <w:rsid w:val="006861D9"/>
    <w:rsid w:val="00686CB4"/>
    <w:rsid w:val="00686D11"/>
    <w:rsid w:val="00692E2A"/>
    <w:rsid w:val="00695424"/>
    <w:rsid w:val="006A76F2"/>
    <w:rsid w:val="006B115A"/>
    <w:rsid w:val="006B2492"/>
    <w:rsid w:val="006B65D7"/>
    <w:rsid w:val="006B75B3"/>
    <w:rsid w:val="006C1EFC"/>
    <w:rsid w:val="006C2400"/>
    <w:rsid w:val="006C5360"/>
    <w:rsid w:val="006D7241"/>
    <w:rsid w:val="006D7EFB"/>
    <w:rsid w:val="006E0ECE"/>
    <w:rsid w:val="006E23BE"/>
    <w:rsid w:val="006E4EAA"/>
    <w:rsid w:val="006E6672"/>
    <w:rsid w:val="006E6722"/>
    <w:rsid w:val="006E71D5"/>
    <w:rsid w:val="007027B9"/>
    <w:rsid w:val="00703C7D"/>
    <w:rsid w:val="00704F64"/>
    <w:rsid w:val="00715E88"/>
    <w:rsid w:val="00716A15"/>
    <w:rsid w:val="00716C6F"/>
    <w:rsid w:val="00721178"/>
    <w:rsid w:val="00733626"/>
    <w:rsid w:val="00734CAA"/>
    <w:rsid w:val="0074140E"/>
    <w:rsid w:val="007463A7"/>
    <w:rsid w:val="0075533C"/>
    <w:rsid w:val="00757581"/>
    <w:rsid w:val="007611A0"/>
    <w:rsid w:val="00761E8B"/>
    <w:rsid w:val="007714B8"/>
    <w:rsid w:val="0077463D"/>
    <w:rsid w:val="007773CB"/>
    <w:rsid w:val="00781961"/>
    <w:rsid w:val="00787CEB"/>
    <w:rsid w:val="00791968"/>
    <w:rsid w:val="00796D3F"/>
    <w:rsid w:val="00797784"/>
    <w:rsid w:val="007A1683"/>
    <w:rsid w:val="007A1E41"/>
    <w:rsid w:val="007A26F9"/>
    <w:rsid w:val="007A5C12"/>
    <w:rsid w:val="007A7CB0"/>
    <w:rsid w:val="007B1271"/>
    <w:rsid w:val="007B68A3"/>
    <w:rsid w:val="007B6F86"/>
    <w:rsid w:val="007B77D2"/>
    <w:rsid w:val="007C2541"/>
    <w:rsid w:val="007C6D76"/>
    <w:rsid w:val="007D0F07"/>
    <w:rsid w:val="007D4E40"/>
    <w:rsid w:val="007D66A8"/>
    <w:rsid w:val="007D75D7"/>
    <w:rsid w:val="007E003F"/>
    <w:rsid w:val="007E0158"/>
    <w:rsid w:val="007E06FA"/>
    <w:rsid w:val="007E0B70"/>
    <w:rsid w:val="007E38F1"/>
    <w:rsid w:val="007E6A9C"/>
    <w:rsid w:val="007F2146"/>
    <w:rsid w:val="007F2793"/>
    <w:rsid w:val="007F5418"/>
    <w:rsid w:val="00804848"/>
    <w:rsid w:val="00807AC2"/>
    <w:rsid w:val="008107D4"/>
    <w:rsid w:val="00810BBE"/>
    <w:rsid w:val="00814748"/>
    <w:rsid w:val="008164F2"/>
    <w:rsid w:val="00817D8C"/>
    <w:rsid w:val="00821395"/>
    <w:rsid w:val="00821975"/>
    <w:rsid w:val="00827EEE"/>
    <w:rsid w:val="00830E26"/>
    <w:rsid w:val="00837A89"/>
    <w:rsid w:val="00843576"/>
    <w:rsid w:val="00843B64"/>
    <w:rsid w:val="008478FC"/>
    <w:rsid w:val="008554C7"/>
    <w:rsid w:val="00856A67"/>
    <w:rsid w:val="00856C70"/>
    <w:rsid w:val="00867BFF"/>
    <w:rsid w:val="008835E7"/>
    <w:rsid w:val="0088480A"/>
    <w:rsid w:val="0088757A"/>
    <w:rsid w:val="00894F67"/>
    <w:rsid w:val="008957DD"/>
    <w:rsid w:val="00896211"/>
    <w:rsid w:val="00897D98"/>
    <w:rsid w:val="008A1555"/>
    <w:rsid w:val="008A6DF2"/>
    <w:rsid w:val="008A70FE"/>
    <w:rsid w:val="008A7807"/>
    <w:rsid w:val="008B25EB"/>
    <w:rsid w:val="008B4CC9"/>
    <w:rsid w:val="008B7839"/>
    <w:rsid w:val="008C2686"/>
    <w:rsid w:val="008C4620"/>
    <w:rsid w:val="008C540D"/>
    <w:rsid w:val="008D7C99"/>
    <w:rsid w:val="008E0CDC"/>
    <w:rsid w:val="008E0FCB"/>
    <w:rsid w:val="008E2A68"/>
    <w:rsid w:val="008E47B8"/>
    <w:rsid w:val="008E6FF9"/>
    <w:rsid w:val="008F29FF"/>
    <w:rsid w:val="008F3A4C"/>
    <w:rsid w:val="008F6C57"/>
    <w:rsid w:val="00903436"/>
    <w:rsid w:val="00904AB3"/>
    <w:rsid w:val="00905BF1"/>
    <w:rsid w:val="00906B9F"/>
    <w:rsid w:val="009078A5"/>
    <w:rsid w:val="00912078"/>
    <w:rsid w:val="0091435D"/>
    <w:rsid w:val="009173F1"/>
    <w:rsid w:val="0092059B"/>
    <w:rsid w:val="0092178C"/>
    <w:rsid w:val="00930B88"/>
    <w:rsid w:val="0093364E"/>
    <w:rsid w:val="009349CC"/>
    <w:rsid w:val="00937030"/>
    <w:rsid w:val="009400A0"/>
    <w:rsid w:val="00940DCC"/>
    <w:rsid w:val="0094179A"/>
    <w:rsid w:val="00943557"/>
    <w:rsid w:val="0094459E"/>
    <w:rsid w:val="00944DBC"/>
    <w:rsid w:val="00950977"/>
    <w:rsid w:val="00951A7B"/>
    <w:rsid w:val="009529DB"/>
    <w:rsid w:val="00952FA3"/>
    <w:rsid w:val="009564A6"/>
    <w:rsid w:val="009565DB"/>
    <w:rsid w:val="00960EDC"/>
    <w:rsid w:val="009626FD"/>
    <w:rsid w:val="00967621"/>
    <w:rsid w:val="00967969"/>
    <w:rsid w:val="00967E6A"/>
    <w:rsid w:val="00967FEF"/>
    <w:rsid w:val="009718CC"/>
    <w:rsid w:val="00977C54"/>
    <w:rsid w:val="00982320"/>
    <w:rsid w:val="00983D7A"/>
    <w:rsid w:val="009957F0"/>
    <w:rsid w:val="009B4A0F"/>
    <w:rsid w:val="009C11D2"/>
    <w:rsid w:val="009C475B"/>
    <w:rsid w:val="009C6C70"/>
    <w:rsid w:val="009C7374"/>
    <w:rsid w:val="009D0B63"/>
    <w:rsid w:val="009D4696"/>
    <w:rsid w:val="009D7332"/>
    <w:rsid w:val="009E1189"/>
    <w:rsid w:val="009E307E"/>
    <w:rsid w:val="009E5885"/>
    <w:rsid w:val="009F0DF8"/>
    <w:rsid w:val="009F14AD"/>
    <w:rsid w:val="009F65B0"/>
    <w:rsid w:val="00A05B00"/>
    <w:rsid w:val="00A07870"/>
    <w:rsid w:val="00A07F19"/>
    <w:rsid w:val="00A10097"/>
    <w:rsid w:val="00A1348D"/>
    <w:rsid w:val="00A232EE"/>
    <w:rsid w:val="00A23760"/>
    <w:rsid w:val="00A26562"/>
    <w:rsid w:val="00A31C76"/>
    <w:rsid w:val="00A31C79"/>
    <w:rsid w:val="00A37D64"/>
    <w:rsid w:val="00A4175F"/>
    <w:rsid w:val="00A44411"/>
    <w:rsid w:val="00A469FA"/>
    <w:rsid w:val="00A47E05"/>
    <w:rsid w:val="00A5087A"/>
    <w:rsid w:val="00A529CF"/>
    <w:rsid w:val="00A55160"/>
    <w:rsid w:val="00A55B01"/>
    <w:rsid w:val="00A56735"/>
    <w:rsid w:val="00A56B5B"/>
    <w:rsid w:val="00A603FF"/>
    <w:rsid w:val="00A634BF"/>
    <w:rsid w:val="00A657DD"/>
    <w:rsid w:val="00A666A6"/>
    <w:rsid w:val="00A675FD"/>
    <w:rsid w:val="00A72437"/>
    <w:rsid w:val="00A74F77"/>
    <w:rsid w:val="00A80611"/>
    <w:rsid w:val="00A87BEA"/>
    <w:rsid w:val="00A956FD"/>
    <w:rsid w:val="00AA0B1C"/>
    <w:rsid w:val="00AA5071"/>
    <w:rsid w:val="00AA5EEC"/>
    <w:rsid w:val="00AA6A68"/>
    <w:rsid w:val="00AA7BD5"/>
    <w:rsid w:val="00AB1561"/>
    <w:rsid w:val="00AB5340"/>
    <w:rsid w:val="00AC0A89"/>
    <w:rsid w:val="00AC25ED"/>
    <w:rsid w:val="00AC2D93"/>
    <w:rsid w:val="00AC3C25"/>
    <w:rsid w:val="00AC49E3"/>
    <w:rsid w:val="00AC5E33"/>
    <w:rsid w:val="00AC6366"/>
    <w:rsid w:val="00AC7C96"/>
    <w:rsid w:val="00AD0078"/>
    <w:rsid w:val="00AD2394"/>
    <w:rsid w:val="00AE14AB"/>
    <w:rsid w:val="00AE237D"/>
    <w:rsid w:val="00AE502A"/>
    <w:rsid w:val="00AF7AF7"/>
    <w:rsid w:val="00AF7C07"/>
    <w:rsid w:val="00B00930"/>
    <w:rsid w:val="00B02769"/>
    <w:rsid w:val="00B02C53"/>
    <w:rsid w:val="00B04F72"/>
    <w:rsid w:val="00B05F14"/>
    <w:rsid w:val="00B17621"/>
    <w:rsid w:val="00B21085"/>
    <w:rsid w:val="00B22C93"/>
    <w:rsid w:val="00B23E3A"/>
    <w:rsid w:val="00B2414B"/>
    <w:rsid w:val="00B27589"/>
    <w:rsid w:val="00B3084E"/>
    <w:rsid w:val="00B36352"/>
    <w:rsid w:val="00B405B7"/>
    <w:rsid w:val="00B429D9"/>
    <w:rsid w:val="00B44EF9"/>
    <w:rsid w:val="00B4696B"/>
    <w:rsid w:val="00B47E92"/>
    <w:rsid w:val="00B500DE"/>
    <w:rsid w:val="00B500F8"/>
    <w:rsid w:val="00B52222"/>
    <w:rsid w:val="00B52B95"/>
    <w:rsid w:val="00B534C7"/>
    <w:rsid w:val="00B54FE7"/>
    <w:rsid w:val="00B55A43"/>
    <w:rsid w:val="00B56122"/>
    <w:rsid w:val="00B57F0F"/>
    <w:rsid w:val="00B622AE"/>
    <w:rsid w:val="00B66901"/>
    <w:rsid w:val="00B66A8D"/>
    <w:rsid w:val="00B67ED0"/>
    <w:rsid w:val="00B709EC"/>
    <w:rsid w:val="00B71E6D"/>
    <w:rsid w:val="00B72070"/>
    <w:rsid w:val="00B739EC"/>
    <w:rsid w:val="00B779E1"/>
    <w:rsid w:val="00B81DE5"/>
    <w:rsid w:val="00B852B6"/>
    <w:rsid w:val="00B86CC6"/>
    <w:rsid w:val="00B91EE1"/>
    <w:rsid w:val="00B93200"/>
    <w:rsid w:val="00BA0090"/>
    <w:rsid w:val="00BA1A67"/>
    <w:rsid w:val="00BB0499"/>
    <w:rsid w:val="00BB36E6"/>
    <w:rsid w:val="00BC02FC"/>
    <w:rsid w:val="00BC63AE"/>
    <w:rsid w:val="00BD0912"/>
    <w:rsid w:val="00BD18A0"/>
    <w:rsid w:val="00BD3D32"/>
    <w:rsid w:val="00BE2246"/>
    <w:rsid w:val="00BE35A5"/>
    <w:rsid w:val="00BE543A"/>
    <w:rsid w:val="00BE5B5F"/>
    <w:rsid w:val="00BE6A7E"/>
    <w:rsid w:val="00BF601C"/>
    <w:rsid w:val="00C151B1"/>
    <w:rsid w:val="00C2295F"/>
    <w:rsid w:val="00C26F55"/>
    <w:rsid w:val="00C2718A"/>
    <w:rsid w:val="00C30C63"/>
    <w:rsid w:val="00C33F9C"/>
    <w:rsid w:val="00C36698"/>
    <w:rsid w:val="00C36B8B"/>
    <w:rsid w:val="00C415C1"/>
    <w:rsid w:val="00C42F9E"/>
    <w:rsid w:val="00C47DBF"/>
    <w:rsid w:val="00C552FF"/>
    <w:rsid w:val="00C558DA"/>
    <w:rsid w:val="00C55AF3"/>
    <w:rsid w:val="00C55D6E"/>
    <w:rsid w:val="00C57A0E"/>
    <w:rsid w:val="00C61651"/>
    <w:rsid w:val="00C65F29"/>
    <w:rsid w:val="00C7693E"/>
    <w:rsid w:val="00C84759"/>
    <w:rsid w:val="00C85311"/>
    <w:rsid w:val="00C90DE7"/>
    <w:rsid w:val="00C915ED"/>
    <w:rsid w:val="00C940EE"/>
    <w:rsid w:val="00C95052"/>
    <w:rsid w:val="00C97677"/>
    <w:rsid w:val="00CA6C7F"/>
    <w:rsid w:val="00CB0874"/>
    <w:rsid w:val="00CC0411"/>
    <w:rsid w:val="00CC10A6"/>
    <w:rsid w:val="00CD4804"/>
    <w:rsid w:val="00CD5EB8"/>
    <w:rsid w:val="00CD6830"/>
    <w:rsid w:val="00CD7044"/>
    <w:rsid w:val="00CE08B9"/>
    <w:rsid w:val="00CE524C"/>
    <w:rsid w:val="00CE5D01"/>
    <w:rsid w:val="00CF141F"/>
    <w:rsid w:val="00CF35D7"/>
    <w:rsid w:val="00CF4777"/>
    <w:rsid w:val="00CF6571"/>
    <w:rsid w:val="00D067BB"/>
    <w:rsid w:val="00D13471"/>
    <w:rsid w:val="00D1352A"/>
    <w:rsid w:val="00D13B24"/>
    <w:rsid w:val="00D164AB"/>
    <w:rsid w:val="00D169AF"/>
    <w:rsid w:val="00D222A7"/>
    <w:rsid w:val="00D25249"/>
    <w:rsid w:val="00D426BB"/>
    <w:rsid w:val="00D4323E"/>
    <w:rsid w:val="00D432FE"/>
    <w:rsid w:val="00D44172"/>
    <w:rsid w:val="00D44AB5"/>
    <w:rsid w:val="00D45338"/>
    <w:rsid w:val="00D46ED9"/>
    <w:rsid w:val="00D4725C"/>
    <w:rsid w:val="00D55994"/>
    <w:rsid w:val="00D573BD"/>
    <w:rsid w:val="00D57BB3"/>
    <w:rsid w:val="00D63B8C"/>
    <w:rsid w:val="00D716E1"/>
    <w:rsid w:val="00D739CC"/>
    <w:rsid w:val="00D7619F"/>
    <w:rsid w:val="00D763B4"/>
    <w:rsid w:val="00D8093D"/>
    <w:rsid w:val="00D8108C"/>
    <w:rsid w:val="00D842AE"/>
    <w:rsid w:val="00D8585D"/>
    <w:rsid w:val="00D870C4"/>
    <w:rsid w:val="00D9211C"/>
    <w:rsid w:val="00D92C4B"/>
    <w:rsid w:val="00D92DDB"/>
    <w:rsid w:val="00D92DE0"/>
    <w:rsid w:val="00D92FEF"/>
    <w:rsid w:val="00D93A0F"/>
    <w:rsid w:val="00DA1BCA"/>
    <w:rsid w:val="00DA747C"/>
    <w:rsid w:val="00DB0048"/>
    <w:rsid w:val="00DC46FF"/>
    <w:rsid w:val="00DC5254"/>
    <w:rsid w:val="00DC62F2"/>
    <w:rsid w:val="00DD087E"/>
    <w:rsid w:val="00DD1A4F"/>
    <w:rsid w:val="00DD3107"/>
    <w:rsid w:val="00DD7C2C"/>
    <w:rsid w:val="00DE1968"/>
    <w:rsid w:val="00DE4F6E"/>
    <w:rsid w:val="00E06279"/>
    <w:rsid w:val="00E06797"/>
    <w:rsid w:val="00E07004"/>
    <w:rsid w:val="00E07F72"/>
    <w:rsid w:val="00E1265B"/>
    <w:rsid w:val="00E13B48"/>
    <w:rsid w:val="00E1404F"/>
    <w:rsid w:val="00E1682D"/>
    <w:rsid w:val="00E203C8"/>
    <w:rsid w:val="00E2111E"/>
    <w:rsid w:val="00E21C83"/>
    <w:rsid w:val="00E24727"/>
    <w:rsid w:val="00E24ADA"/>
    <w:rsid w:val="00E274B1"/>
    <w:rsid w:val="00E32EC0"/>
    <w:rsid w:val="00E32F59"/>
    <w:rsid w:val="00E337FB"/>
    <w:rsid w:val="00E40ADB"/>
    <w:rsid w:val="00E42283"/>
    <w:rsid w:val="00E46D9A"/>
    <w:rsid w:val="00E551DF"/>
    <w:rsid w:val="00E565FF"/>
    <w:rsid w:val="00E57E57"/>
    <w:rsid w:val="00E6274B"/>
    <w:rsid w:val="00E62CC3"/>
    <w:rsid w:val="00E65388"/>
    <w:rsid w:val="00E732E8"/>
    <w:rsid w:val="00E74BBC"/>
    <w:rsid w:val="00E75FBA"/>
    <w:rsid w:val="00E76C6F"/>
    <w:rsid w:val="00E76E78"/>
    <w:rsid w:val="00E826B7"/>
    <w:rsid w:val="00E83464"/>
    <w:rsid w:val="00E85B7D"/>
    <w:rsid w:val="00E865A1"/>
    <w:rsid w:val="00E9121B"/>
    <w:rsid w:val="00E92D7D"/>
    <w:rsid w:val="00E94651"/>
    <w:rsid w:val="00EA0AE2"/>
    <w:rsid w:val="00EA10C5"/>
    <w:rsid w:val="00EA19B4"/>
    <w:rsid w:val="00EA3296"/>
    <w:rsid w:val="00EA39E5"/>
    <w:rsid w:val="00EA47EF"/>
    <w:rsid w:val="00EA52F2"/>
    <w:rsid w:val="00EB56A4"/>
    <w:rsid w:val="00EC08F6"/>
    <w:rsid w:val="00EC1C50"/>
    <w:rsid w:val="00EC5A46"/>
    <w:rsid w:val="00EC63E2"/>
    <w:rsid w:val="00EC6DCF"/>
    <w:rsid w:val="00ED3828"/>
    <w:rsid w:val="00EE727C"/>
    <w:rsid w:val="00EF0CCB"/>
    <w:rsid w:val="00EF0D88"/>
    <w:rsid w:val="00EF22B3"/>
    <w:rsid w:val="00EF3C94"/>
    <w:rsid w:val="00EF688E"/>
    <w:rsid w:val="00F01391"/>
    <w:rsid w:val="00F01426"/>
    <w:rsid w:val="00F02B09"/>
    <w:rsid w:val="00F03B69"/>
    <w:rsid w:val="00F044D5"/>
    <w:rsid w:val="00F068E5"/>
    <w:rsid w:val="00F07A50"/>
    <w:rsid w:val="00F113DA"/>
    <w:rsid w:val="00F27D8B"/>
    <w:rsid w:val="00F31231"/>
    <w:rsid w:val="00F323DA"/>
    <w:rsid w:val="00F32A80"/>
    <w:rsid w:val="00F33502"/>
    <w:rsid w:val="00F35511"/>
    <w:rsid w:val="00F37DC8"/>
    <w:rsid w:val="00F406E1"/>
    <w:rsid w:val="00F439B3"/>
    <w:rsid w:val="00F53F13"/>
    <w:rsid w:val="00F5576F"/>
    <w:rsid w:val="00F55AC9"/>
    <w:rsid w:val="00F62BF5"/>
    <w:rsid w:val="00F63598"/>
    <w:rsid w:val="00F63874"/>
    <w:rsid w:val="00F63F1F"/>
    <w:rsid w:val="00F650C3"/>
    <w:rsid w:val="00F65D85"/>
    <w:rsid w:val="00F735F3"/>
    <w:rsid w:val="00F74C72"/>
    <w:rsid w:val="00F76C91"/>
    <w:rsid w:val="00F8091E"/>
    <w:rsid w:val="00F8615C"/>
    <w:rsid w:val="00F87640"/>
    <w:rsid w:val="00F969E5"/>
    <w:rsid w:val="00F97F2F"/>
    <w:rsid w:val="00FA13C6"/>
    <w:rsid w:val="00FA582B"/>
    <w:rsid w:val="00FA6BB0"/>
    <w:rsid w:val="00FB5CCB"/>
    <w:rsid w:val="00FC2CE7"/>
    <w:rsid w:val="00FC3CA6"/>
    <w:rsid w:val="00FC4CB6"/>
    <w:rsid w:val="00FD22BD"/>
    <w:rsid w:val="00FD5860"/>
    <w:rsid w:val="00FE352D"/>
    <w:rsid w:val="00FE40EB"/>
    <w:rsid w:val="00FE4D02"/>
    <w:rsid w:val="00FE58F0"/>
    <w:rsid w:val="00FE5CC6"/>
    <w:rsid w:val="00FE7D62"/>
    <w:rsid w:val="00FF3819"/>
    <w:rsid w:val="00FF44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ED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fn Char,footnote text Char,Footnotes Char,Footnote ak Char,ft Char,fn cafc Char,Footnotes Char Char Char,Footnote Text Char Char Char,fn Char Char Char"/>
    <w:link w:val="FootnoteTex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ColorfulList-Accent11">
    <w:name w:val="Colorful List - Accent 1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5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F33502"/>
    <w:rPr>
      <w:lang w:val="en-GB"/>
    </w:rPr>
  </w:style>
  <w:style w:type="paragraph" w:styleId="ListParagraph">
    <w:name w:val="List Paragraph"/>
    <w:basedOn w:val="Normal"/>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styleId="Revision">
    <w:name w:val="Revision"/>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character" w:customStyle="1" w:styleId="FootnoteTextChar1">
    <w:name w:val="Footnote Text Char1"/>
    <w:aliases w:val="Geneva 9 Char,Font: Geneva 9 Char,Boston 10 Char,f Char,DNV-FT Char"/>
    <w:uiPriority w:val="99"/>
    <w:semiHidden/>
    <w:locked/>
    <w:rsid w:val="007F5418"/>
    <w:rPr>
      <w:color w:val="auto"/>
      <w:sz w:val="18"/>
      <w:lang w:val="fr-FR"/>
    </w:rPr>
  </w:style>
  <w:style w:type="paragraph" w:styleId="NoSpacing">
    <w:name w:val="No Spacing"/>
    <w:uiPriority w:val="1"/>
    <w:qFormat/>
    <w:rsid w:val="007F5418"/>
    <w:pPr>
      <w:tabs>
        <w:tab w:val="left" w:pos="1247"/>
        <w:tab w:val="left" w:pos="1814"/>
        <w:tab w:val="left" w:pos="2381"/>
        <w:tab w:val="left" w:pos="2948"/>
        <w:tab w:val="left" w:pos="3515"/>
      </w:tabs>
    </w:pPr>
    <w:rPr>
      <w:color w:val="000000"/>
    </w:rPr>
  </w:style>
  <w:style w:type="paragraph" w:customStyle="1" w:styleId="H1">
    <w:name w:val="_ H_1"/>
    <w:basedOn w:val="Normal"/>
    <w:next w:val="SingleTxt"/>
    <w:rsid w:val="007F2793"/>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SingleTxt">
    <w:name w:val="__Single Txt"/>
    <w:basedOn w:val="Normal"/>
    <w:rsid w:val="007F2793"/>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lang w:val="en-GB"/>
    </w:rPr>
  </w:style>
  <w:style w:type="paragraph" w:styleId="NormalWeb">
    <w:name w:val="Normal (Web)"/>
    <w:basedOn w:val="Normal"/>
    <w:uiPriority w:val="99"/>
    <w:unhideWhenUsed/>
    <w:rsid w:val="007F2793"/>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styleId="FollowedHyperlink">
    <w:name w:val="FollowedHyperlink"/>
    <w:rsid w:val="007F2793"/>
    <w:rPr>
      <w:color w:val="800080"/>
      <w:u w:val="single"/>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F33502"/>
    <w:pPr>
      <w:numPr>
        <w:numId w:val="4"/>
      </w:numPr>
      <w:tabs>
        <w:tab w:val="clear" w:pos="1814"/>
        <w:tab w:val="clear" w:pos="2381"/>
        <w:tab w:val="clear" w:pos="2948"/>
        <w:tab w:val="clear" w:pos="3515"/>
        <w:tab w:val="clear" w:pos="4082"/>
        <w:tab w:val="left" w:pos="624"/>
        <w:tab w:val="left" w:pos="1871"/>
        <w:tab w:val="left" w:pos="2495"/>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numbering" w:customStyle="1" w:styleId="List21">
    <w:name w:val="List 21"/>
    <w:basedOn w:val="NoList"/>
    <w:rsid w:val="00EF688E"/>
    <w:pPr>
      <w:numPr>
        <w:numId w:val="19"/>
      </w:numPr>
    </w:pPr>
  </w:style>
  <w:style w:type="character" w:styleId="Strong">
    <w:name w:val="Strong"/>
    <w:uiPriority w:val="22"/>
    <w:qFormat/>
    <w:rsid w:val="00EF688E"/>
    <w:rPr>
      <w:szCs w:val="16"/>
    </w:rPr>
  </w:style>
  <w:style w:type="paragraph" w:customStyle="1" w:styleId="Subtitle0">
    <w:name w:val="Sub title"/>
    <w:basedOn w:val="Heading2"/>
    <w:rsid w:val="00EF688E"/>
    <w:pPr>
      <w:tabs>
        <w:tab w:val="clear" w:pos="1247"/>
        <w:tab w:val="clear" w:pos="1814"/>
        <w:tab w:val="clear" w:pos="2381"/>
        <w:tab w:val="clear" w:pos="2948"/>
        <w:tab w:val="clear" w:pos="3515"/>
      </w:tabs>
      <w:spacing w:before="0" w:after="0"/>
      <w:ind w:firstLine="0"/>
    </w:pPr>
    <w:rPr>
      <w:rFonts w:eastAsia="MS Mincho"/>
      <w:lang w:val="en-GB"/>
    </w:rPr>
  </w:style>
  <w:style w:type="character" w:customStyle="1" w:styleId="HeaderChar">
    <w:name w:val="Header Char"/>
    <w:basedOn w:val="DefaultParagraphFont"/>
    <w:link w:val="Header"/>
    <w:semiHidden/>
    <w:rsid w:val="006851F6"/>
    <w:rPr>
      <w:b/>
      <w:sz w:val="18"/>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fn Char,footnote text Char,Footnotes Char,Footnote ak Char,ft Char,fn cafc Char,Footnotes Char Char Char,Footnote Text Char Char Char,fn Char Char Char"/>
    <w:link w:val="FootnoteTex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ColorfulList-Accent11">
    <w:name w:val="Colorful List - Accent 1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5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F33502"/>
    <w:rPr>
      <w:lang w:val="en-GB"/>
    </w:rPr>
  </w:style>
  <w:style w:type="paragraph" w:styleId="ListParagraph">
    <w:name w:val="List Paragraph"/>
    <w:basedOn w:val="Normal"/>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styleId="Revision">
    <w:name w:val="Revision"/>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character" w:customStyle="1" w:styleId="FootnoteTextChar1">
    <w:name w:val="Footnote Text Char1"/>
    <w:aliases w:val="Geneva 9 Char,Font: Geneva 9 Char,Boston 10 Char,f Char,DNV-FT Char"/>
    <w:uiPriority w:val="99"/>
    <w:semiHidden/>
    <w:locked/>
    <w:rsid w:val="007F5418"/>
    <w:rPr>
      <w:color w:val="auto"/>
      <w:sz w:val="18"/>
      <w:lang w:val="fr-FR"/>
    </w:rPr>
  </w:style>
  <w:style w:type="paragraph" w:styleId="NoSpacing">
    <w:name w:val="No Spacing"/>
    <w:uiPriority w:val="1"/>
    <w:qFormat/>
    <w:rsid w:val="007F5418"/>
    <w:pPr>
      <w:tabs>
        <w:tab w:val="left" w:pos="1247"/>
        <w:tab w:val="left" w:pos="1814"/>
        <w:tab w:val="left" w:pos="2381"/>
        <w:tab w:val="left" w:pos="2948"/>
        <w:tab w:val="left" w:pos="3515"/>
      </w:tabs>
    </w:pPr>
    <w:rPr>
      <w:color w:val="000000"/>
    </w:rPr>
  </w:style>
  <w:style w:type="paragraph" w:customStyle="1" w:styleId="H1">
    <w:name w:val="_ H_1"/>
    <w:basedOn w:val="Normal"/>
    <w:next w:val="SingleTxt"/>
    <w:rsid w:val="007F2793"/>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SingleTxt">
    <w:name w:val="__Single Txt"/>
    <w:basedOn w:val="Normal"/>
    <w:rsid w:val="007F2793"/>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lang w:val="en-GB"/>
    </w:rPr>
  </w:style>
  <w:style w:type="paragraph" w:styleId="NormalWeb">
    <w:name w:val="Normal (Web)"/>
    <w:basedOn w:val="Normal"/>
    <w:uiPriority w:val="99"/>
    <w:unhideWhenUsed/>
    <w:rsid w:val="007F2793"/>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styleId="FollowedHyperlink">
    <w:name w:val="FollowedHyperlink"/>
    <w:rsid w:val="007F2793"/>
    <w:rPr>
      <w:color w:val="800080"/>
      <w:u w:val="single"/>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F33502"/>
    <w:pPr>
      <w:numPr>
        <w:numId w:val="4"/>
      </w:numPr>
      <w:tabs>
        <w:tab w:val="clear" w:pos="1814"/>
        <w:tab w:val="clear" w:pos="2381"/>
        <w:tab w:val="clear" w:pos="2948"/>
        <w:tab w:val="clear" w:pos="3515"/>
        <w:tab w:val="clear" w:pos="4082"/>
        <w:tab w:val="left" w:pos="624"/>
        <w:tab w:val="left" w:pos="1871"/>
        <w:tab w:val="left" w:pos="2495"/>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numbering" w:customStyle="1" w:styleId="List21">
    <w:name w:val="List 21"/>
    <w:basedOn w:val="NoList"/>
    <w:rsid w:val="00EF688E"/>
    <w:pPr>
      <w:numPr>
        <w:numId w:val="19"/>
      </w:numPr>
    </w:pPr>
  </w:style>
  <w:style w:type="character" w:styleId="Strong">
    <w:name w:val="Strong"/>
    <w:uiPriority w:val="22"/>
    <w:qFormat/>
    <w:rsid w:val="00EF688E"/>
    <w:rPr>
      <w:szCs w:val="16"/>
    </w:rPr>
  </w:style>
  <w:style w:type="paragraph" w:customStyle="1" w:styleId="Subtitle0">
    <w:name w:val="Sub title"/>
    <w:basedOn w:val="Heading2"/>
    <w:rsid w:val="00EF688E"/>
    <w:pPr>
      <w:tabs>
        <w:tab w:val="clear" w:pos="1247"/>
        <w:tab w:val="clear" w:pos="1814"/>
        <w:tab w:val="clear" w:pos="2381"/>
        <w:tab w:val="clear" w:pos="2948"/>
        <w:tab w:val="clear" w:pos="3515"/>
      </w:tabs>
      <w:spacing w:before="0" w:after="0"/>
      <w:ind w:firstLine="0"/>
    </w:pPr>
    <w:rPr>
      <w:rFonts w:eastAsia="MS Mincho"/>
      <w:lang w:val="en-GB"/>
    </w:rPr>
  </w:style>
  <w:style w:type="character" w:customStyle="1" w:styleId="HeaderChar">
    <w:name w:val="Header Char"/>
    <w:basedOn w:val="DefaultParagraphFont"/>
    <w:link w:val="Header"/>
    <w:semiHidden/>
    <w:rsid w:val="006851F6"/>
    <w:rPr>
      <w:b/>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3932">
      <w:bodyDiv w:val="1"/>
      <w:marLeft w:val="0"/>
      <w:marRight w:val="0"/>
      <w:marTop w:val="0"/>
      <w:marBottom w:val="0"/>
      <w:divBdr>
        <w:top w:val="none" w:sz="0" w:space="0" w:color="auto"/>
        <w:left w:val="none" w:sz="0" w:space="0" w:color="auto"/>
        <w:bottom w:val="none" w:sz="0" w:space="0" w:color="auto"/>
        <w:right w:val="none" w:sz="0" w:space="0" w:color="auto"/>
      </w:divBdr>
    </w:div>
    <w:div w:id="37023035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57309079">
      <w:bodyDiv w:val="1"/>
      <w:marLeft w:val="0"/>
      <w:marRight w:val="0"/>
      <w:marTop w:val="0"/>
      <w:marBottom w:val="0"/>
      <w:divBdr>
        <w:top w:val="none" w:sz="0" w:space="0" w:color="auto"/>
        <w:left w:val="none" w:sz="0" w:space="0" w:color="auto"/>
        <w:bottom w:val="none" w:sz="0" w:space="0" w:color="auto"/>
        <w:right w:val="none" w:sz="0" w:space="0" w:color="auto"/>
      </w:divBdr>
      <w:divsChild>
        <w:div w:id="1910842355">
          <w:marLeft w:val="0"/>
          <w:marRight w:val="0"/>
          <w:marTop w:val="0"/>
          <w:marBottom w:val="0"/>
          <w:divBdr>
            <w:top w:val="none" w:sz="0" w:space="0" w:color="auto"/>
            <w:left w:val="none" w:sz="0" w:space="0" w:color="auto"/>
            <w:bottom w:val="none" w:sz="0" w:space="0" w:color="auto"/>
            <w:right w:val="none" w:sz="0" w:space="0" w:color="auto"/>
          </w:divBdr>
          <w:divsChild>
            <w:div w:id="1456368560">
              <w:marLeft w:val="0"/>
              <w:marRight w:val="0"/>
              <w:marTop w:val="0"/>
              <w:marBottom w:val="0"/>
              <w:divBdr>
                <w:top w:val="none" w:sz="0" w:space="0" w:color="auto"/>
                <w:left w:val="none" w:sz="0" w:space="0" w:color="auto"/>
                <w:bottom w:val="none" w:sz="0" w:space="0" w:color="auto"/>
                <w:right w:val="none" w:sz="0" w:space="0" w:color="auto"/>
              </w:divBdr>
              <w:divsChild>
                <w:div w:id="72937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C04AF-3617-4952-86BE-059B83DEE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6090</Words>
  <Characters>34719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40728</CharactersWithSpaces>
  <SharedDoc>false</SharedDoc>
  <HLinks>
    <vt:vector size="24" baseType="variant">
      <vt:variant>
        <vt:i4>5701725</vt:i4>
      </vt:variant>
      <vt:variant>
        <vt:i4>3</vt:i4>
      </vt:variant>
      <vt:variant>
        <vt:i4>0</vt:i4>
      </vt:variant>
      <vt:variant>
        <vt:i4>5</vt:i4>
      </vt:variant>
      <vt:variant>
        <vt:lpwstr>http://www.marinelittermooc.org/learn/marine-litter-mooc-october-2015</vt:lpwstr>
      </vt:variant>
      <vt:variant>
        <vt:lpwstr/>
      </vt:variant>
      <vt:variant>
        <vt:i4>4718662</vt:i4>
      </vt:variant>
      <vt:variant>
        <vt:i4>6</vt:i4>
      </vt:variant>
      <vt:variant>
        <vt:i4>0</vt:i4>
      </vt:variant>
      <vt:variant>
        <vt:i4>5</vt:i4>
      </vt:variant>
      <vt:variant>
        <vt:lpwstr>http://www.unep.org/</vt:lpwstr>
      </vt:variant>
      <vt:variant>
        <vt:lpwstr/>
      </vt:variant>
      <vt:variant>
        <vt:i4>1114192</vt:i4>
      </vt:variant>
      <vt:variant>
        <vt:i4>3</vt:i4>
      </vt:variant>
      <vt:variant>
        <vt:i4>0</vt:i4>
      </vt:variant>
      <vt:variant>
        <vt:i4>5</vt:i4>
      </vt:variant>
      <vt:variant>
        <vt:lpwstr>www.marinelittermooc.org/learn/massive-open-online-course-mooc-on-marine-litter-october-2015</vt:lpwstr>
      </vt:variant>
      <vt:variant>
        <vt:lpwstr/>
      </vt:variant>
      <vt:variant>
        <vt:i4>3014779</vt:i4>
      </vt:variant>
      <vt:variant>
        <vt:i4>0</vt:i4>
      </vt:variant>
      <vt:variant>
        <vt:i4>0</vt:i4>
      </vt:variant>
      <vt:variant>
        <vt:i4>5</vt:i4>
      </vt:variant>
      <vt:variant>
        <vt:lpwstr>http://unep.org/gpa/documents/publications/PlasticinCosmetics2015Factsheet.pdf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John Njuguna</cp:lastModifiedBy>
  <cp:revision>2</cp:revision>
  <cp:lastPrinted>2016-03-10T08:51:00Z</cp:lastPrinted>
  <dcterms:created xsi:type="dcterms:W3CDTF">2016-04-28T13:15:00Z</dcterms:created>
  <dcterms:modified xsi:type="dcterms:W3CDTF">2016-04-28T13:15:00Z</dcterms:modified>
</cp:coreProperties>
</file>