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83" w:type="pct"/>
        <w:jc w:val="right"/>
        <w:tblLayout w:type="fixed"/>
        <w:tblLook w:val="0000" w:firstRow="0" w:lastRow="0" w:firstColumn="0" w:lastColumn="0" w:noHBand="0" w:noVBand="0"/>
      </w:tblPr>
      <w:tblGrid>
        <w:gridCol w:w="1550"/>
        <w:gridCol w:w="5347"/>
        <w:gridCol w:w="3559"/>
      </w:tblGrid>
      <w:tr w:rsidR="0027244C" w:rsidRPr="00A27F8A" w:rsidTr="00EA35A4">
        <w:trPr>
          <w:cantSplit/>
          <w:trHeight w:val="850"/>
          <w:jc w:val="right"/>
        </w:trPr>
        <w:tc>
          <w:tcPr>
            <w:tcW w:w="1550" w:type="dxa"/>
          </w:tcPr>
          <w:p w:rsidR="0027244C" w:rsidRPr="00A27F8A" w:rsidRDefault="00FC06B7" w:rsidP="00FC06B7">
            <w:pPr>
              <w:rPr>
                <w:rFonts w:ascii="Univers" w:hAnsi="Univers"/>
                <w:b/>
                <w:noProof/>
                <w:sz w:val="27"/>
                <w:szCs w:val="27"/>
                <w:lang w:val="fr-FR"/>
              </w:rPr>
            </w:pPr>
            <w:bookmarkStart w:id="0" w:name="_GoBack"/>
            <w:bookmarkEnd w:id="0"/>
            <w:r w:rsidRPr="00A27F8A">
              <w:rPr>
                <w:rFonts w:ascii="Arial" w:hAnsi="Arial" w:cs="Arial"/>
                <w:b/>
                <w:noProof/>
                <w:sz w:val="27"/>
                <w:szCs w:val="27"/>
                <w:lang w:val="fr-FR"/>
              </w:rPr>
              <w:t>NATIONS</w:t>
            </w:r>
            <w:r w:rsidR="0027244C" w:rsidRPr="00A27F8A">
              <w:rPr>
                <w:rFonts w:ascii="Arial" w:hAnsi="Arial" w:cs="Arial"/>
                <w:b/>
                <w:noProof/>
                <w:sz w:val="27"/>
                <w:szCs w:val="27"/>
                <w:lang w:val="fr-FR"/>
              </w:rPr>
              <w:br/>
            </w:r>
            <w:r w:rsidRPr="00A27F8A">
              <w:rPr>
                <w:rFonts w:ascii="Arial" w:hAnsi="Arial" w:cs="Arial"/>
                <w:b/>
                <w:noProof/>
                <w:sz w:val="27"/>
                <w:szCs w:val="27"/>
                <w:lang w:val="fr-FR"/>
              </w:rPr>
              <w:t>UNIES</w:t>
            </w:r>
          </w:p>
        </w:tc>
        <w:tc>
          <w:tcPr>
            <w:tcW w:w="5347" w:type="dxa"/>
          </w:tcPr>
          <w:p w:rsidR="0027244C" w:rsidRPr="00A27F8A" w:rsidRDefault="0027244C" w:rsidP="00B15A0B">
            <w:pPr>
              <w:rPr>
                <w:rFonts w:ascii="Univers" w:hAnsi="Univers"/>
                <w:b/>
                <w:sz w:val="27"/>
                <w:szCs w:val="27"/>
                <w:lang w:val="fr-FR"/>
              </w:rPr>
            </w:pPr>
          </w:p>
        </w:tc>
        <w:tc>
          <w:tcPr>
            <w:tcW w:w="3559" w:type="dxa"/>
          </w:tcPr>
          <w:p w:rsidR="0027244C" w:rsidRPr="00A27F8A" w:rsidRDefault="0027244C" w:rsidP="00B15A0B">
            <w:pPr>
              <w:jc w:val="right"/>
              <w:rPr>
                <w:rFonts w:ascii="Arial" w:hAnsi="Arial" w:cs="Arial"/>
                <w:b/>
                <w:sz w:val="64"/>
                <w:szCs w:val="64"/>
                <w:lang w:val="fr-FR"/>
              </w:rPr>
            </w:pPr>
            <w:r w:rsidRPr="00A27F8A">
              <w:rPr>
                <w:rFonts w:ascii="Arial" w:hAnsi="Arial" w:cs="Arial"/>
                <w:b/>
                <w:sz w:val="64"/>
                <w:szCs w:val="64"/>
                <w:lang w:val="fr-FR"/>
              </w:rPr>
              <w:t>EP</w:t>
            </w:r>
          </w:p>
        </w:tc>
      </w:tr>
      <w:tr w:rsidR="0027244C" w:rsidRPr="00A27F8A" w:rsidTr="00EA35A4">
        <w:trPr>
          <w:cantSplit/>
          <w:trHeight w:val="281"/>
          <w:jc w:val="right"/>
        </w:trPr>
        <w:tc>
          <w:tcPr>
            <w:tcW w:w="1550" w:type="dxa"/>
            <w:tcBorders>
              <w:bottom w:val="single" w:sz="4" w:space="0" w:color="auto"/>
            </w:tcBorders>
          </w:tcPr>
          <w:p w:rsidR="0027244C" w:rsidRPr="00A27F8A" w:rsidRDefault="0027244C" w:rsidP="00B15A0B">
            <w:pPr>
              <w:rPr>
                <w:noProof/>
                <w:sz w:val="18"/>
                <w:szCs w:val="18"/>
                <w:lang w:val="fr-FR"/>
              </w:rPr>
            </w:pPr>
          </w:p>
        </w:tc>
        <w:tc>
          <w:tcPr>
            <w:tcW w:w="5347" w:type="dxa"/>
            <w:tcBorders>
              <w:bottom w:val="single" w:sz="4" w:space="0" w:color="auto"/>
            </w:tcBorders>
          </w:tcPr>
          <w:p w:rsidR="0027244C" w:rsidRPr="00A27F8A" w:rsidRDefault="0027244C" w:rsidP="00B15A0B">
            <w:pPr>
              <w:rPr>
                <w:rFonts w:ascii="Univers" w:hAnsi="Univers"/>
                <w:b/>
                <w:sz w:val="18"/>
                <w:szCs w:val="18"/>
                <w:lang w:val="fr-FR"/>
              </w:rPr>
            </w:pPr>
          </w:p>
        </w:tc>
        <w:tc>
          <w:tcPr>
            <w:tcW w:w="3559" w:type="dxa"/>
            <w:tcBorders>
              <w:bottom w:val="single" w:sz="4" w:space="0" w:color="auto"/>
            </w:tcBorders>
          </w:tcPr>
          <w:p w:rsidR="0027244C" w:rsidRPr="00A27F8A" w:rsidRDefault="0027244C" w:rsidP="00E9007E">
            <w:pPr>
              <w:rPr>
                <w:noProof/>
                <w:sz w:val="18"/>
                <w:szCs w:val="18"/>
                <w:lang w:val="fr-FR"/>
              </w:rPr>
            </w:pPr>
            <w:r w:rsidRPr="00A27F8A">
              <w:rPr>
                <w:b/>
                <w:bCs/>
                <w:sz w:val="28"/>
                <w:lang w:val="fr-FR"/>
              </w:rPr>
              <w:t>UNEP</w:t>
            </w:r>
            <w:r w:rsidRPr="00A27F8A">
              <w:rPr>
                <w:lang w:val="fr-FR"/>
              </w:rPr>
              <w:t>/EA.2/</w:t>
            </w:r>
            <w:r w:rsidR="00E9007E" w:rsidRPr="00A27F8A">
              <w:rPr>
                <w:lang w:val="fr-FR"/>
              </w:rPr>
              <w:t>10</w:t>
            </w:r>
            <w:r w:rsidR="0048792B">
              <w:rPr>
                <w:rStyle w:val="FootnoteReference"/>
                <w:lang w:val="fr-FR"/>
              </w:rPr>
              <w:footnoteReference w:customMarkFollows="1" w:id="1"/>
              <w:t>*</w:t>
            </w:r>
          </w:p>
        </w:tc>
      </w:tr>
      <w:tr w:rsidR="0027244C" w:rsidRPr="00A27F8A" w:rsidTr="00EA35A4">
        <w:trPr>
          <w:cantSplit/>
          <w:trHeight w:val="2549"/>
          <w:jc w:val="right"/>
        </w:trPr>
        <w:tc>
          <w:tcPr>
            <w:tcW w:w="1550" w:type="dxa"/>
            <w:tcBorders>
              <w:top w:val="single" w:sz="4" w:space="0" w:color="auto"/>
              <w:bottom w:val="single" w:sz="24" w:space="0" w:color="auto"/>
            </w:tcBorders>
          </w:tcPr>
          <w:p w:rsidR="0027244C" w:rsidRPr="00A27F8A" w:rsidRDefault="0027244C" w:rsidP="00B15A0B">
            <w:pPr>
              <w:rPr>
                <w:noProof/>
                <w:lang w:val="fr-FR"/>
              </w:rPr>
            </w:pPr>
            <w:r w:rsidRPr="00A27F8A">
              <w:rPr>
                <w:noProof/>
                <w:lang w:val="fr-FR"/>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5pt;height:61.9pt" o:ole="" fillcolor="window">
                  <v:imagedata r:id="rId9" o:title=""/>
                </v:shape>
                <o:OLEObject Type="Embed" ProgID="Word.Picture.8" ShapeID="_x0000_i1025" DrawAspect="Content" ObjectID="_1524582723" r:id="rId10"/>
              </w:object>
            </w:r>
            <w:r w:rsidR="005530A1" w:rsidRPr="00A27F8A">
              <w:rPr>
                <w:noProof/>
                <w:lang w:val="en-US"/>
              </w:rPr>
              <w:drawing>
                <wp:inline distT="0" distB="0" distL="0" distR="0">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rsidR="0027244C" w:rsidRPr="00A27F8A" w:rsidRDefault="00A27F8A" w:rsidP="00FC06B7">
            <w:pPr>
              <w:spacing w:before="1400" w:after="120"/>
              <w:rPr>
                <w:rFonts w:ascii="Univers" w:hAnsi="Univers"/>
                <w:b/>
                <w:sz w:val="28"/>
                <w:szCs w:val="28"/>
                <w:lang w:val="fr-FR"/>
              </w:rPr>
            </w:pPr>
            <w:r>
              <w:rPr>
                <w:rFonts w:ascii="Arial" w:hAnsi="Arial" w:cs="Arial"/>
                <w:b/>
                <w:sz w:val="28"/>
                <w:szCs w:val="28"/>
                <w:lang w:val="fr-FR"/>
              </w:rPr>
              <w:t>Assemblée des Nations </w:t>
            </w:r>
            <w:r w:rsidR="00FC06B7" w:rsidRPr="00A27F8A">
              <w:rPr>
                <w:rFonts w:ascii="Arial" w:hAnsi="Arial" w:cs="Arial"/>
                <w:b/>
                <w:sz w:val="28"/>
                <w:szCs w:val="28"/>
                <w:lang w:val="fr-FR"/>
              </w:rPr>
              <w:t>Unies pour</w:t>
            </w:r>
            <w:r w:rsidR="0027244C" w:rsidRPr="00A27F8A">
              <w:rPr>
                <w:rFonts w:ascii="Arial" w:hAnsi="Arial" w:cs="Arial"/>
                <w:b/>
                <w:sz w:val="28"/>
                <w:szCs w:val="28"/>
                <w:lang w:val="fr-FR"/>
              </w:rPr>
              <w:t xml:space="preserve"> </w:t>
            </w:r>
            <w:r w:rsidR="0027244C" w:rsidRPr="00A27F8A">
              <w:rPr>
                <w:rFonts w:ascii="Arial" w:hAnsi="Arial" w:cs="Arial"/>
                <w:b/>
                <w:sz w:val="28"/>
                <w:szCs w:val="28"/>
                <w:lang w:val="fr-FR"/>
              </w:rPr>
              <w:br/>
            </w:r>
            <w:r w:rsidR="00FC06B7" w:rsidRPr="00A27F8A">
              <w:rPr>
                <w:rFonts w:ascii="Arial" w:hAnsi="Arial" w:cs="Arial"/>
                <w:b/>
                <w:sz w:val="28"/>
                <w:szCs w:val="28"/>
                <w:lang w:val="fr-FR"/>
              </w:rPr>
              <w:t>l’environnement du Programme des</w:t>
            </w:r>
            <w:r w:rsidR="0027244C" w:rsidRPr="00A27F8A">
              <w:rPr>
                <w:rFonts w:ascii="Arial" w:hAnsi="Arial" w:cs="Arial"/>
                <w:b/>
                <w:sz w:val="28"/>
                <w:szCs w:val="28"/>
                <w:lang w:val="fr-FR"/>
              </w:rPr>
              <w:t xml:space="preserve"> </w:t>
            </w:r>
            <w:r w:rsidR="0027244C" w:rsidRPr="00A27F8A">
              <w:rPr>
                <w:rFonts w:ascii="Arial" w:hAnsi="Arial" w:cs="Arial"/>
                <w:b/>
                <w:sz w:val="28"/>
                <w:szCs w:val="28"/>
                <w:lang w:val="fr-FR"/>
              </w:rPr>
              <w:br/>
            </w:r>
            <w:r>
              <w:rPr>
                <w:rFonts w:ascii="Arial" w:hAnsi="Arial" w:cs="Arial"/>
                <w:b/>
                <w:sz w:val="28"/>
                <w:szCs w:val="28"/>
                <w:lang w:val="fr-FR"/>
              </w:rPr>
              <w:t>Nations </w:t>
            </w:r>
            <w:r w:rsidR="00FC06B7" w:rsidRPr="00A27F8A">
              <w:rPr>
                <w:rFonts w:ascii="Arial" w:hAnsi="Arial" w:cs="Arial"/>
                <w:b/>
                <w:sz w:val="28"/>
                <w:szCs w:val="28"/>
                <w:lang w:val="fr-FR"/>
              </w:rPr>
              <w:t>Unies pour l’environnement</w:t>
            </w:r>
          </w:p>
        </w:tc>
        <w:tc>
          <w:tcPr>
            <w:tcW w:w="3559" w:type="dxa"/>
            <w:tcBorders>
              <w:top w:val="single" w:sz="4" w:space="0" w:color="auto"/>
              <w:bottom w:val="single" w:sz="24" w:space="0" w:color="auto"/>
            </w:tcBorders>
          </w:tcPr>
          <w:p w:rsidR="0027244C" w:rsidRPr="00A27F8A" w:rsidRDefault="0027244C" w:rsidP="00B15A0B">
            <w:pPr>
              <w:spacing w:before="120"/>
              <w:rPr>
                <w:lang w:val="fr-FR"/>
              </w:rPr>
            </w:pPr>
            <w:r w:rsidRPr="00A27F8A">
              <w:rPr>
                <w:lang w:val="fr-FR"/>
              </w:rPr>
              <w:t>Distr.</w:t>
            </w:r>
            <w:r w:rsidR="008E0CA4">
              <w:rPr>
                <w:lang w:val="fr-FR"/>
              </w:rPr>
              <w:t> </w:t>
            </w:r>
            <w:r w:rsidR="00FC06B7" w:rsidRPr="00A27F8A">
              <w:rPr>
                <w:lang w:val="fr-FR"/>
              </w:rPr>
              <w:t>générale</w:t>
            </w:r>
            <w:r w:rsidRPr="00A27F8A">
              <w:rPr>
                <w:lang w:val="fr-FR"/>
              </w:rPr>
              <w:br/>
            </w:r>
            <w:r w:rsidR="00FC06B7" w:rsidRPr="00A27F8A">
              <w:rPr>
                <w:lang w:val="fr-FR"/>
              </w:rPr>
              <w:t>14 mars </w:t>
            </w:r>
            <w:r w:rsidR="00E9007E" w:rsidRPr="00A27F8A">
              <w:rPr>
                <w:lang w:val="fr-FR"/>
              </w:rPr>
              <w:t>2016</w:t>
            </w:r>
          </w:p>
          <w:p w:rsidR="00FC06B7" w:rsidRPr="00A27F8A" w:rsidRDefault="00FC06B7" w:rsidP="00FC06B7">
            <w:pPr>
              <w:rPr>
                <w:lang w:val="fr-FR"/>
              </w:rPr>
            </w:pPr>
          </w:p>
          <w:p w:rsidR="00FC06B7" w:rsidRPr="00A27F8A" w:rsidRDefault="00FC06B7" w:rsidP="00FC06B7">
            <w:pPr>
              <w:rPr>
                <w:lang w:val="fr-FR"/>
              </w:rPr>
            </w:pPr>
            <w:r w:rsidRPr="00A27F8A">
              <w:rPr>
                <w:lang w:val="fr-FR"/>
              </w:rPr>
              <w:t>Français</w:t>
            </w:r>
          </w:p>
          <w:p w:rsidR="0027244C" w:rsidRPr="00A27F8A" w:rsidRDefault="0082155E" w:rsidP="00FC06B7">
            <w:pPr>
              <w:rPr>
                <w:lang w:val="fr-FR"/>
              </w:rPr>
            </w:pPr>
            <w:r w:rsidRPr="00A27F8A">
              <w:rPr>
                <w:lang w:val="fr-FR"/>
              </w:rPr>
              <w:t>Original</w:t>
            </w:r>
            <w:r w:rsidR="00FC06B7" w:rsidRPr="00A27F8A">
              <w:rPr>
                <w:lang w:val="fr-FR"/>
              </w:rPr>
              <w:t> </w:t>
            </w:r>
            <w:r w:rsidRPr="00A27F8A">
              <w:rPr>
                <w:lang w:val="fr-FR"/>
              </w:rPr>
              <w:t xml:space="preserve">: </w:t>
            </w:r>
            <w:r w:rsidR="00FC06B7" w:rsidRPr="00A27F8A">
              <w:rPr>
                <w:lang w:val="fr-FR"/>
              </w:rPr>
              <w:t>anglais</w:t>
            </w:r>
          </w:p>
        </w:tc>
      </w:tr>
    </w:tbl>
    <w:p w:rsidR="00F97F2F" w:rsidRPr="00A27F8A" w:rsidRDefault="00A27F8A" w:rsidP="00FC06B7">
      <w:pPr>
        <w:pStyle w:val="AATitle"/>
        <w:ind w:right="4676"/>
        <w:rPr>
          <w:lang w:val="fr-FR"/>
        </w:rPr>
      </w:pPr>
      <w:r>
        <w:rPr>
          <w:lang w:val="fr-FR"/>
        </w:rPr>
        <w:t>Assemblée des Nations </w:t>
      </w:r>
      <w:r w:rsidR="00FC06B7" w:rsidRPr="00A27F8A">
        <w:rPr>
          <w:lang w:val="fr-FR"/>
        </w:rPr>
        <w:t>Unies pour l’environnement</w:t>
      </w:r>
      <w:r w:rsidR="005B5291" w:rsidRPr="00A27F8A">
        <w:rPr>
          <w:lang w:val="fr-FR"/>
        </w:rPr>
        <w:br/>
      </w:r>
      <w:r>
        <w:rPr>
          <w:lang w:val="fr-FR"/>
        </w:rPr>
        <w:t>du Programme des Nations </w:t>
      </w:r>
      <w:r w:rsidR="00FC06B7" w:rsidRPr="00A27F8A">
        <w:rPr>
          <w:lang w:val="fr-FR"/>
        </w:rPr>
        <w:t>Unies pour l’environnement</w:t>
      </w:r>
    </w:p>
    <w:p w:rsidR="00977C54" w:rsidRPr="00A27F8A" w:rsidRDefault="00FC06B7" w:rsidP="00F97F2F">
      <w:pPr>
        <w:pStyle w:val="AATitle"/>
        <w:rPr>
          <w:lang w:val="fr-FR"/>
        </w:rPr>
      </w:pPr>
      <w:r w:rsidRPr="00A27F8A">
        <w:rPr>
          <w:lang w:val="fr-FR"/>
        </w:rPr>
        <w:t>Deuxième </w:t>
      </w:r>
      <w:r w:rsidR="00977C54" w:rsidRPr="00A27F8A">
        <w:rPr>
          <w:lang w:val="fr-FR"/>
        </w:rPr>
        <w:t>session</w:t>
      </w:r>
    </w:p>
    <w:p w:rsidR="00F97F2F" w:rsidRPr="00A27F8A" w:rsidRDefault="00F97F2F" w:rsidP="00F97F2F">
      <w:pPr>
        <w:pStyle w:val="AATitle"/>
        <w:keepNext w:val="0"/>
        <w:keepLines w:val="0"/>
        <w:rPr>
          <w:b w:val="0"/>
          <w:lang w:val="fr-FR"/>
        </w:rPr>
      </w:pPr>
      <w:r w:rsidRPr="00A27F8A">
        <w:rPr>
          <w:b w:val="0"/>
          <w:lang w:val="fr-FR"/>
        </w:rPr>
        <w:t>Nairobi, 23</w:t>
      </w:r>
      <w:r w:rsidR="003B0E78" w:rsidRPr="00A27F8A">
        <w:rPr>
          <w:lang w:val="fr-FR"/>
        </w:rPr>
        <w:t>–</w:t>
      </w:r>
      <w:r w:rsidR="00FC06B7" w:rsidRPr="00A27F8A">
        <w:rPr>
          <w:b w:val="0"/>
          <w:lang w:val="fr-FR"/>
        </w:rPr>
        <w:t>27 mai </w:t>
      </w:r>
      <w:r w:rsidR="00E9272E" w:rsidRPr="00A27F8A">
        <w:rPr>
          <w:b w:val="0"/>
          <w:lang w:val="fr-FR"/>
        </w:rPr>
        <w:t>2016</w:t>
      </w:r>
    </w:p>
    <w:p w:rsidR="00714646" w:rsidRPr="00A27F8A" w:rsidRDefault="00FC06B7" w:rsidP="00714646">
      <w:pPr>
        <w:pStyle w:val="AATitle"/>
        <w:rPr>
          <w:b w:val="0"/>
          <w:lang w:val="fr-FR"/>
        </w:rPr>
      </w:pPr>
      <w:r w:rsidRPr="00A27F8A">
        <w:rPr>
          <w:b w:val="0"/>
          <w:lang w:val="fr-FR"/>
        </w:rPr>
        <w:t>Point </w:t>
      </w:r>
      <w:r w:rsidR="00E9007E" w:rsidRPr="00A27F8A">
        <w:rPr>
          <w:b w:val="0"/>
          <w:lang w:val="fr-FR"/>
        </w:rPr>
        <w:t>4</w:t>
      </w:r>
      <w:r w:rsidRPr="00A27F8A">
        <w:rPr>
          <w:b w:val="0"/>
          <w:lang w:val="fr-FR"/>
        </w:rPr>
        <w:t> </w:t>
      </w:r>
      <w:r w:rsidR="00E9007E" w:rsidRPr="00A27F8A">
        <w:rPr>
          <w:b w:val="0"/>
          <w:lang w:val="fr-FR"/>
        </w:rPr>
        <w:t xml:space="preserve">j) </w:t>
      </w:r>
      <w:r w:rsidRPr="00A27F8A">
        <w:rPr>
          <w:b w:val="0"/>
          <w:lang w:val="fr-FR"/>
        </w:rPr>
        <w:t>de l’ordre du jour provisoire</w:t>
      </w:r>
      <w:r w:rsidR="0048792B">
        <w:rPr>
          <w:rStyle w:val="FootnoteReference"/>
          <w:b w:val="0"/>
          <w:lang w:val="fr-FR"/>
        </w:rPr>
        <w:footnoteReference w:customMarkFollows="1" w:id="2"/>
        <w:t>**</w:t>
      </w:r>
    </w:p>
    <w:p w:rsidR="00164817" w:rsidRPr="00A27F8A" w:rsidRDefault="00FC06B7" w:rsidP="007035AA">
      <w:pPr>
        <w:pStyle w:val="AATitle2"/>
        <w:spacing w:before="60"/>
        <w:rPr>
          <w:lang w:val="fr-FR"/>
        </w:rPr>
      </w:pPr>
      <w:r w:rsidRPr="00A27F8A">
        <w:rPr>
          <w:lang w:val="fr-FR"/>
        </w:rPr>
        <w:t>Questions relatives à la politique et à la gouvernance internationales en matière d’environnement </w:t>
      </w:r>
      <w:r w:rsidR="000F5D08" w:rsidRPr="00A27F8A">
        <w:rPr>
          <w:lang w:val="fr-FR"/>
        </w:rPr>
        <w:t xml:space="preserve">: </w:t>
      </w:r>
      <w:r w:rsidRPr="00A27F8A">
        <w:rPr>
          <w:lang w:val="fr-FR"/>
        </w:rPr>
        <w:t>coordination au sein</w:t>
      </w:r>
      <w:r w:rsidR="00F2206B">
        <w:rPr>
          <w:lang w:val="fr-FR"/>
        </w:rPr>
        <w:t xml:space="preserve"> du système des Nations Unies pour les questions</w:t>
      </w:r>
      <w:r w:rsidRPr="00A27F8A">
        <w:rPr>
          <w:lang w:val="fr-FR"/>
        </w:rPr>
        <w:t xml:space="preserve"> d’environnement</w:t>
      </w:r>
    </w:p>
    <w:p w:rsidR="00164817" w:rsidRPr="00A27F8A" w:rsidRDefault="00FC06B7" w:rsidP="008E0CA4">
      <w:pPr>
        <w:pStyle w:val="BBTitle"/>
        <w:rPr>
          <w:lang w:val="fr-FR"/>
        </w:rPr>
      </w:pPr>
      <w:r w:rsidRPr="00A27F8A">
        <w:rPr>
          <w:lang w:val="fr-FR"/>
        </w:rPr>
        <w:t xml:space="preserve">Coordination au sein du système des Nations Unies </w:t>
      </w:r>
      <w:r w:rsidR="00F2206B">
        <w:rPr>
          <w:lang w:val="fr-FR"/>
        </w:rPr>
        <w:br/>
      </w:r>
      <w:r w:rsidRPr="00A27F8A">
        <w:rPr>
          <w:lang w:val="fr-FR"/>
        </w:rPr>
        <w:t xml:space="preserve">dans le domaine de l’environnement, y compris le Groupe </w:t>
      </w:r>
      <w:r w:rsidR="00F2206B">
        <w:rPr>
          <w:lang w:val="fr-FR"/>
        </w:rPr>
        <w:br/>
      </w:r>
      <w:r w:rsidRPr="00A27F8A">
        <w:rPr>
          <w:lang w:val="fr-FR"/>
        </w:rPr>
        <w:t xml:space="preserve">de </w:t>
      </w:r>
      <w:r w:rsidR="00A95469" w:rsidRPr="00A27F8A">
        <w:rPr>
          <w:lang w:val="fr-FR"/>
        </w:rPr>
        <w:t xml:space="preserve">la </w:t>
      </w:r>
      <w:r w:rsidRPr="00A27F8A">
        <w:rPr>
          <w:lang w:val="fr-FR"/>
        </w:rPr>
        <w:t>gestion de l’environnement</w:t>
      </w:r>
    </w:p>
    <w:p w:rsidR="00563641" w:rsidRPr="00A27F8A" w:rsidRDefault="00164817" w:rsidP="008E0CA4">
      <w:pPr>
        <w:pStyle w:val="CH2"/>
        <w:rPr>
          <w:lang w:val="fr-FR"/>
        </w:rPr>
      </w:pPr>
      <w:r w:rsidRPr="00A27F8A">
        <w:rPr>
          <w:lang w:val="fr-FR"/>
        </w:rPr>
        <w:tab/>
      </w:r>
      <w:r w:rsidRPr="00A27F8A">
        <w:rPr>
          <w:lang w:val="fr-FR"/>
        </w:rPr>
        <w:tab/>
      </w:r>
      <w:r w:rsidR="00FC06B7" w:rsidRPr="00A27F8A">
        <w:rPr>
          <w:lang w:val="fr-FR"/>
        </w:rPr>
        <w:t>Rap</w:t>
      </w:r>
      <w:r w:rsidR="00563641" w:rsidRPr="00A27F8A">
        <w:rPr>
          <w:lang w:val="fr-FR"/>
        </w:rPr>
        <w:t xml:space="preserve">port </w:t>
      </w:r>
      <w:r w:rsidR="00FC06B7" w:rsidRPr="00A27F8A">
        <w:rPr>
          <w:lang w:val="fr-FR"/>
        </w:rPr>
        <w:t>du Directeur exécutif</w:t>
      </w:r>
      <w:r w:rsidR="00563641" w:rsidRPr="00A27F8A">
        <w:rPr>
          <w:lang w:val="fr-FR"/>
        </w:rPr>
        <w:t xml:space="preserve"> </w:t>
      </w:r>
    </w:p>
    <w:tbl>
      <w:tblPr>
        <w:tblpPr w:leftFromText="180" w:rightFromText="180" w:vertAnchor="text" w:horzAnchor="margin" w:tblpXSpec="right" w:tblpY="2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4"/>
      </w:tblGrid>
      <w:tr w:rsidR="00495B46" w:rsidRPr="00A27F8A" w:rsidTr="000321A3">
        <w:tc>
          <w:tcPr>
            <w:tcW w:w="9064" w:type="dxa"/>
            <w:shd w:val="clear" w:color="auto" w:fill="auto"/>
          </w:tcPr>
          <w:p w:rsidR="00495B46" w:rsidRPr="00A27F8A" w:rsidRDefault="00FC06B7" w:rsidP="008E0CA4">
            <w:pPr>
              <w:pStyle w:val="BBTitle"/>
              <w:spacing w:before="120" w:after="120"/>
              <w:ind w:left="0"/>
              <w:rPr>
                <w:rFonts w:eastAsia="MS Mincho"/>
                <w:i/>
                <w:kern w:val="2"/>
                <w:sz w:val="20"/>
                <w:lang w:val="fr-FR"/>
              </w:rPr>
            </w:pPr>
            <w:r w:rsidRPr="00A27F8A">
              <w:rPr>
                <w:rFonts w:eastAsia="MS Mincho"/>
                <w:i/>
                <w:kern w:val="2"/>
                <w:sz w:val="20"/>
                <w:lang w:val="fr-FR"/>
              </w:rPr>
              <w:t>Résumé</w:t>
            </w:r>
          </w:p>
          <w:p w:rsidR="00495B46" w:rsidRPr="00A27F8A" w:rsidRDefault="002F1F25" w:rsidP="008E0CA4">
            <w:pPr>
              <w:pStyle w:val="NormalNonumber"/>
              <w:ind w:firstLine="624"/>
              <w:rPr>
                <w:rFonts w:eastAsia="MS Mincho"/>
                <w:lang w:val="fr-FR"/>
              </w:rPr>
            </w:pPr>
            <w:r w:rsidRPr="00A27F8A">
              <w:rPr>
                <w:rFonts w:eastAsia="MS Mincho"/>
                <w:lang w:val="fr-FR"/>
              </w:rPr>
              <w:t>Le Programme des Nations Unies pour l’environnement (PNUE)</w:t>
            </w:r>
            <w:r w:rsidR="00B22FEA" w:rsidRPr="00A27F8A">
              <w:rPr>
                <w:rFonts w:eastAsia="MS Mincho"/>
                <w:lang w:val="fr-FR"/>
              </w:rPr>
              <w:t xml:space="preserve">, </w:t>
            </w:r>
            <w:r w:rsidR="00DF727C" w:rsidRPr="00A27F8A">
              <w:rPr>
                <w:rFonts w:eastAsia="MS Mincho"/>
                <w:lang w:val="fr-FR"/>
              </w:rPr>
              <w:t>ainsi qu’</w:t>
            </w:r>
            <w:r w:rsidR="00B22FEA" w:rsidRPr="00A27F8A">
              <w:rPr>
                <w:rFonts w:eastAsia="MS Mincho"/>
                <w:lang w:val="fr-FR"/>
              </w:rPr>
              <w:t>indiqué dans</w:t>
            </w:r>
            <w:r w:rsidR="00DF727C" w:rsidRPr="00A27F8A">
              <w:rPr>
                <w:rFonts w:eastAsia="MS Mincho"/>
                <w:lang w:val="fr-FR"/>
              </w:rPr>
              <w:t xml:space="preserve"> son mandat initial et</w:t>
            </w:r>
            <w:r w:rsidR="00DF727C" w:rsidRPr="00A27F8A">
              <w:rPr>
                <w:lang w:val="fr-FR"/>
              </w:rPr>
              <w:t xml:space="preserve"> </w:t>
            </w:r>
            <w:r w:rsidR="00DF727C" w:rsidRPr="00A27F8A">
              <w:rPr>
                <w:rFonts w:eastAsia="MS Mincho"/>
                <w:lang w:val="fr-FR"/>
              </w:rPr>
              <w:t>réaffirmé dans le document final de la Conférence des Nations Unies sur le développement durable</w:t>
            </w:r>
            <w:r w:rsidR="00F70C03" w:rsidRPr="00A27F8A">
              <w:rPr>
                <w:rFonts w:eastAsia="MS Mincho"/>
                <w:lang w:val="fr-FR"/>
              </w:rPr>
              <w:t>,</w:t>
            </w:r>
            <w:r w:rsidR="00495B46" w:rsidRPr="00A27F8A">
              <w:rPr>
                <w:rStyle w:val="FootnoteReference"/>
                <w:rFonts w:eastAsia="MS Mincho"/>
                <w:kern w:val="2"/>
                <w:szCs w:val="20"/>
                <w:lang w:val="fr-FR"/>
              </w:rPr>
              <w:footnoteReference w:id="3"/>
            </w:r>
            <w:r w:rsidR="00495B46" w:rsidRPr="00A27F8A">
              <w:rPr>
                <w:rFonts w:eastAsia="MS Mincho"/>
                <w:lang w:val="fr-FR"/>
              </w:rPr>
              <w:t xml:space="preserve"> </w:t>
            </w:r>
            <w:r w:rsidR="00DF727C" w:rsidRPr="00A27F8A">
              <w:rPr>
                <w:rFonts w:eastAsia="MS Mincho"/>
                <w:lang w:val="fr-FR"/>
              </w:rPr>
              <w:t>favorise de façon cohérente la concrétisation de la dimension environnementale du développement durable au sein du système des Nations Unies</w:t>
            </w:r>
            <w:r w:rsidR="00495B46" w:rsidRPr="00A27F8A">
              <w:rPr>
                <w:rFonts w:eastAsia="MS Mincho"/>
                <w:lang w:val="fr-FR"/>
              </w:rPr>
              <w:t xml:space="preserve">. </w:t>
            </w:r>
          </w:p>
          <w:p w:rsidR="00B6014C" w:rsidRPr="00A27F8A" w:rsidRDefault="00DF727C" w:rsidP="008E0CA4">
            <w:pPr>
              <w:pStyle w:val="NormalNonumber"/>
              <w:ind w:firstLine="624"/>
              <w:rPr>
                <w:rFonts w:eastAsia="MS Mincho"/>
                <w:lang w:val="fr-FR"/>
              </w:rPr>
            </w:pPr>
            <w:r w:rsidRPr="00A27F8A">
              <w:rPr>
                <w:rFonts w:eastAsia="MS Mincho"/>
                <w:lang w:val="fr-FR"/>
              </w:rPr>
              <w:t xml:space="preserve">Le présent rapport, </w:t>
            </w:r>
            <w:r w:rsidR="00F2206B">
              <w:rPr>
                <w:rFonts w:eastAsia="MS Mincho"/>
                <w:lang w:val="fr-FR"/>
              </w:rPr>
              <w:t xml:space="preserve">établi pour </w:t>
            </w:r>
            <w:r w:rsidR="00590129">
              <w:rPr>
                <w:rFonts w:eastAsia="MS Mincho"/>
                <w:lang w:val="fr-FR"/>
              </w:rPr>
              <w:t>donn</w:t>
            </w:r>
            <w:r w:rsidR="00F2206B">
              <w:rPr>
                <w:rFonts w:eastAsia="MS Mincho"/>
                <w:lang w:val="fr-FR"/>
              </w:rPr>
              <w:t>er</w:t>
            </w:r>
            <w:r w:rsidRPr="00A27F8A">
              <w:rPr>
                <w:rFonts w:eastAsia="MS Mincho"/>
                <w:lang w:val="fr-FR"/>
              </w:rPr>
              <w:t xml:space="preserve"> suite à la résolution </w:t>
            </w:r>
            <w:r w:rsidR="00495B46" w:rsidRPr="00A27F8A">
              <w:rPr>
                <w:rFonts w:eastAsia="MS Mincho"/>
                <w:lang w:val="fr-FR"/>
              </w:rPr>
              <w:t>1/11</w:t>
            </w:r>
            <w:r w:rsidR="00793AF6" w:rsidRPr="00A27F8A">
              <w:rPr>
                <w:rFonts w:eastAsia="MS Mincho"/>
                <w:lang w:val="fr-FR"/>
              </w:rPr>
              <w:t xml:space="preserve"> </w:t>
            </w:r>
            <w:r w:rsidRPr="00A27F8A">
              <w:rPr>
                <w:rFonts w:eastAsia="MS Mincho"/>
                <w:lang w:val="fr-FR"/>
              </w:rPr>
              <w:t>de l’Assemblée des Nations Unies pour l’environnement du PNUE sur la</w:t>
            </w:r>
            <w:r w:rsidR="00793AF6" w:rsidRPr="00A27F8A">
              <w:rPr>
                <w:rFonts w:eastAsia="MS Mincho"/>
                <w:lang w:val="fr-FR"/>
              </w:rPr>
              <w:t xml:space="preserve"> </w:t>
            </w:r>
            <w:r w:rsidRPr="00A27F8A">
              <w:rPr>
                <w:lang w:val="fr-FR"/>
              </w:rPr>
              <w:t>c</w:t>
            </w:r>
            <w:r w:rsidRPr="00A27F8A">
              <w:rPr>
                <w:rFonts w:eastAsia="MS Mincho"/>
                <w:lang w:val="fr-FR"/>
              </w:rPr>
              <w:t>oordination au sein du système d</w:t>
            </w:r>
            <w:r w:rsidR="00A27F8A">
              <w:rPr>
                <w:rFonts w:eastAsia="MS Mincho"/>
                <w:lang w:val="fr-FR"/>
              </w:rPr>
              <w:t>es Nations </w:t>
            </w:r>
            <w:r w:rsidRPr="00A27F8A">
              <w:rPr>
                <w:rFonts w:eastAsia="MS Mincho"/>
                <w:lang w:val="fr-FR"/>
              </w:rPr>
              <w:t xml:space="preserve">Unies dans le domaine de l’environnement, y compris le Groupe de </w:t>
            </w:r>
            <w:r w:rsidR="00A95469" w:rsidRPr="00A27F8A">
              <w:rPr>
                <w:rFonts w:eastAsia="MS Mincho"/>
                <w:lang w:val="fr-FR"/>
              </w:rPr>
              <w:t xml:space="preserve">la </w:t>
            </w:r>
            <w:r w:rsidRPr="00A27F8A">
              <w:rPr>
                <w:rFonts w:eastAsia="MS Mincho"/>
                <w:lang w:val="fr-FR"/>
              </w:rPr>
              <w:t xml:space="preserve">gestion de l’environnement, décrit la manière dont le PNUE </w:t>
            </w:r>
            <w:r w:rsidR="00982F39" w:rsidRPr="00A27F8A">
              <w:rPr>
                <w:rFonts w:eastAsia="MS Mincho"/>
                <w:lang w:val="fr-FR"/>
              </w:rPr>
              <w:t>s’est employé à accroître son poids et</w:t>
            </w:r>
            <w:r w:rsidR="00982F39" w:rsidRPr="00A27F8A">
              <w:rPr>
                <w:lang w:val="fr-FR"/>
              </w:rPr>
              <w:t xml:space="preserve"> </w:t>
            </w:r>
            <w:r w:rsidR="00982F39" w:rsidRPr="00A27F8A">
              <w:rPr>
                <w:rFonts w:eastAsia="MS Mincho"/>
                <w:lang w:val="fr-FR"/>
              </w:rPr>
              <w:t xml:space="preserve">sa capacité de s’acquitter de son mandat de coordination au sein du système des Nations Unies </w:t>
            </w:r>
            <w:r w:rsidR="009B5937" w:rsidRPr="00A27F8A">
              <w:rPr>
                <w:rFonts w:eastAsia="MS Mincho"/>
                <w:lang w:val="fr-FR"/>
              </w:rPr>
              <w:t xml:space="preserve">en renforçant sa </w:t>
            </w:r>
            <w:r w:rsidR="00F2206B">
              <w:rPr>
                <w:rFonts w:eastAsia="MS Mincho"/>
                <w:lang w:val="fr-FR"/>
              </w:rPr>
              <w:t>présence dans les</w:t>
            </w:r>
            <w:r w:rsidR="009B5937" w:rsidRPr="00A27F8A">
              <w:rPr>
                <w:rFonts w:eastAsia="MS Mincho"/>
                <w:lang w:val="fr-FR"/>
              </w:rPr>
              <w:t xml:space="preserve"> principaux organes de coordination des Nations Unies</w:t>
            </w:r>
            <w:r w:rsidR="0080722F" w:rsidRPr="00A27F8A">
              <w:rPr>
                <w:rFonts w:eastAsia="MS Mincho"/>
                <w:lang w:val="fr-FR"/>
              </w:rPr>
              <w:t>;</w:t>
            </w:r>
            <w:r w:rsidR="009B5937" w:rsidRPr="00A27F8A">
              <w:rPr>
                <w:lang w:val="fr-FR"/>
              </w:rPr>
              <w:t xml:space="preserve"> </w:t>
            </w:r>
            <w:r w:rsidR="009B5937" w:rsidRPr="00A27F8A">
              <w:rPr>
                <w:rFonts w:eastAsia="MS Mincho"/>
                <w:lang w:val="fr-FR"/>
              </w:rPr>
              <w:t xml:space="preserve">en </w:t>
            </w:r>
            <w:r w:rsidR="00F2206B">
              <w:rPr>
                <w:rFonts w:eastAsia="MS Mincho"/>
                <w:lang w:val="fr-FR"/>
              </w:rPr>
              <w:t xml:space="preserve">pilotant l’élaboration </w:t>
            </w:r>
            <w:r w:rsidR="00590129">
              <w:rPr>
                <w:rFonts w:eastAsia="MS Mincho"/>
                <w:lang w:val="fr-FR"/>
              </w:rPr>
              <w:t>des</w:t>
            </w:r>
            <w:r w:rsidR="009B5937" w:rsidRPr="00A27F8A">
              <w:rPr>
                <w:rFonts w:eastAsia="MS Mincho"/>
                <w:lang w:val="fr-FR"/>
              </w:rPr>
              <w:t xml:space="preserve"> stratégies </w:t>
            </w:r>
            <w:r w:rsidR="00590129">
              <w:rPr>
                <w:rFonts w:eastAsia="MS Mincho"/>
                <w:lang w:val="fr-FR"/>
              </w:rPr>
              <w:t>environnementales</w:t>
            </w:r>
            <w:r w:rsidR="009B5937" w:rsidRPr="00A27F8A">
              <w:rPr>
                <w:rFonts w:eastAsia="MS Mincho"/>
                <w:lang w:val="fr-FR"/>
              </w:rPr>
              <w:t xml:space="preserve"> à l’échelle du système</w:t>
            </w:r>
            <w:r w:rsidR="00793AF6" w:rsidRPr="00A27F8A">
              <w:rPr>
                <w:rFonts w:eastAsia="MS Mincho"/>
                <w:lang w:val="fr-FR"/>
              </w:rPr>
              <w:t>;</w:t>
            </w:r>
            <w:r w:rsidR="00495B46" w:rsidRPr="00A27F8A">
              <w:rPr>
                <w:rFonts w:eastAsia="MS Mincho"/>
                <w:lang w:val="fr-FR"/>
              </w:rPr>
              <w:t xml:space="preserve"> </w:t>
            </w:r>
            <w:r w:rsidR="009B5937" w:rsidRPr="00A27F8A">
              <w:rPr>
                <w:rFonts w:eastAsia="MS Mincho"/>
                <w:lang w:val="fr-FR"/>
              </w:rPr>
              <w:t xml:space="preserve">et en renforçant sa présence régionale afin de mieux </w:t>
            </w:r>
            <w:r w:rsidR="00F2206B">
              <w:rPr>
                <w:rFonts w:eastAsia="MS Mincho"/>
                <w:lang w:val="fr-FR"/>
              </w:rPr>
              <w:t>répondre aux besoins des États M</w:t>
            </w:r>
            <w:r w:rsidR="009B5937" w:rsidRPr="00A27F8A">
              <w:rPr>
                <w:rFonts w:eastAsia="MS Mincho"/>
                <w:lang w:val="fr-FR"/>
              </w:rPr>
              <w:t>embres, notamment au niveau national</w:t>
            </w:r>
            <w:r w:rsidR="00495B46" w:rsidRPr="00A27F8A">
              <w:rPr>
                <w:rFonts w:eastAsia="MS Mincho"/>
                <w:lang w:val="fr-FR"/>
              </w:rPr>
              <w:t>.</w:t>
            </w:r>
          </w:p>
          <w:p w:rsidR="004647C7" w:rsidRPr="00A27F8A" w:rsidRDefault="009B5937" w:rsidP="008E0CA4">
            <w:pPr>
              <w:pStyle w:val="NormalNonumber"/>
              <w:ind w:firstLine="624"/>
              <w:rPr>
                <w:rFonts w:eastAsia="MS Mincho"/>
                <w:lang w:val="fr-FR"/>
              </w:rPr>
            </w:pPr>
            <w:r w:rsidRPr="00A27F8A">
              <w:rPr>
                <w:rFonts w:eastAsia="MS Mincho"/>
                <w:lang w:val="fr-FR"/>
              </w:rPr>
              <w:t>La première partie du rapport, qui rend compte des travaux du</w:t>
            </w:r>
            <w:r w:rsidR="00F10E6F" w:rsidRPr="00A27F8A">
              <w:rPr>
                <w:rFonts w:eastAsia="MS Mincho"/>
                <w:lang w:val="fr-FR"/>
              </w:rPr>
              <w:t xml:space="preserve"> </w:t>
            </w:r>
            <w:r w:rsidRPr="00A27F8A">
              <w:rPr>
                <w:rFonts w:eastAsia="MS Mincho"/>
                <w:lang w:val="fr-FR"/>
              </w:rPr>
              <w:t xml:space="preserve">Groupe de </w:t>
            </w:r>
            <w:r w:rsidR="00A95469" w:rsidRPr="00A27F8A">
              <w:rPr>
                <w:rFonts w:eastAsia="MS Mincho"/>
                <w:lang w:val="fr-FR"/>
              </w:rPr>
              <w:t xml:space="preserve">la </w:t>
            </w:r>
            <w:r w:rsidRPr="00A27F8A">
              <w:rPr>
                <w:rFonts w:eastAsia="MS Mincho"/>
                <w:lang w:val="fr-FR"/>
              </w:rPr>
              <w:t xml:space="preserve">gestion de l’environnement </w:t>
            </w:r>
            <w:r w:rsidR="005063F5" w:rsidRPr="00A27F8A">
              <w:rPr>
                <w:rFonts w:eastAsia="MS Mincho"/>
                <w:lang w:val="fr-FR"/>
              </w:rPr>
              <w:t>(section </w:t>
            </w:r>
            <w:r w:rsidR="00F10E6F" w:rsidRPr="00A27F8A">
              <w:rPr>
                <w:rFonts w:eastAsia="MS Mincho"/>
                <w:lang w:val="fr-FR"/>
              </w:rPr>
              <w:t>II)</w:t>
            </w:r>
            <w:r w:rsidR="006D5EA7" w:rsidRPr="00A27F8A">
              <w:rPr>
                <w:rFonts w:eastAsia="MS Mincho"/>
                <w:lang w:val="fr-FR"/>
              </w:rPr>
              <w:t xml:space="preserve">, </w:t>
            </w:r>
            <w:r w:rsidR="005063F5" w:rsidRPr="00A27F8A">
              <w:rPr>
                <w:rFonts w:eastAsia="MS Mincho"/>
                <w:lang w:val="fr-FR"/>
              </w:rPr>
              <w:t>fait suite aux demandes adressées au Directeur exécutif par l’Assemblée des Nations Unies</w:t>
            </w:r>
            <w:r w:rsidR="00B6014C" w:rsidRPr="00A27F8A">
              <w:rPr>
                <w:rFonts w:eastAsia="MS Mincho"/>
                <w:lang w:val="fr-FR"/>
              </w:rPr>
              <w:t xml:space="preserve"> </w:t>
            </w:r>
            <w:r w:rsidR="005063F5" w:rsidRPr="00A27F8A">
              <w:rPr>
                <w:rFonts w:eastAsia="MS Mincho"/>
                <w:lang w:val="fr-FR"/>
              </w:rPr>
              <w:t>pour l’environnement</w:t>
            </w:r>
            <w:r w:rsidR="00B6014C" w:rsidRPr="00A27F8A">
              <w:rPr>
                <w:rFonts w:eastAsia="MS Mincho"/>
                <w:lang w:val="fr-FR"/>
              </w:rPr>
              <w:t xml:space="preserve"> </w:t>
            </w:r>
            <w:r w:rsidR="005063F5" w:rsidRPr="00A27F8A">
              <w:rPr>
                <w:rFonts w:eastAsia="MS Mincho"/>
                <w:lang w:val="fr-FR"/>
              </w:rPr>
              <w:t>dans sa résolution </w:t>
            </w:r>
            <w:r w:rsidR="00F10E6F" w:rsidRPr="00A27F8A">
              <w:rPr>
                <w:rFonts w:eastAsia="MS Mincho"/>
                <w:lang w:val="fr-FR"/>
              </w:rPr>
              <w:t>1/11</w:t>
            </w:r>
            <w:r w:rsidR="006D5EA7" w:rsidRPr="00A27F8A" w:rsidDel="0089599E">
              <w:rPr>
                <w:rFonts w:eastAsia="MS Mincho"/>
                <w:lang w:val="fr-FR"/>
              </w:rPr>
              <w:t xml:space="preserve"> </w:t>
            </w:r>
            <w:r w:rsidR="005063F5" w:rsidRPr="00A27F8A">
              <w:rPr>
                <w:rFonts w:eastAsia="MS Mincho"/>
                <w:lang w:val="fr-FR"/>
              </w:rPr>
              <w:t>concernant l’élaboration de</w:t>
            </w:r>
            <w:r w:rsidR="005063F5" w:rsidRPr="00A27F8A">
              <w:rPr>
                <w:lang w:val="fr-FR"/>
              </w:rPr>
              <w:t xml:space="preserve"> </w:t>
            </w:r>
            <w:r w:rsidR="005063F5" w:rsidRPr="00A27F8A">
              <w:rPr>
                <w:rFonts w:eastAsia="MS Mincho"/>
                <w:lang w:val="fr-FR"/>
              </w:rPr>
              <w:t>stratégies environnementales à l’échelle du système</w:t>
            </w:r>
            <w:r w:rsidR="00B6014C" w:rsidRPr="00A27F8A">
              <w:rPr>
                <w:rFonts w:eastAsia="MS Mincho"/>
                <w:lang w:val="fr-FR"/>
              </w:rPr>
              <w:t>;</w:t>
            </w:r>
            <w:r w:rsidR="005063F5" w:rsidRPr="00A27F8A">
              <w:rPr>
                <w:rFonts w:eastAsia="MS Mincho"/>
                <w:lang w:val="fr-FR"/>
              </w:rPr>
              <w:t xml:space="preserve"> des</w:t>
            </w:r>
            <w:r w:rsidR="005063F5" w:rsidRPr="00A27F8A">
              <w:rPr>
                <w:lang w:val="fr-FR"/>
              </w:rPr>
              <w:t xml:space="preserve"> </w:t>
            </w:r>
            <w:r w:rsidR="005063F5" w:rsidRPr="00A27F8A">
              <w:rPr>
                <w:rFonts w:eastAsia="MS Mincho"/>
                <w:lang w:val="fr-FR"/>
              </w:rPr>
              <w:t>propositions aux fins de l’intégration des objectifs du programme de développement pour l’après-2015 dans les travaux du système des Nations Unies concernant l’environnement</w:t>
            </w:r>
            <w:r w:rsidR="00701C0D" w:rsidRPr="00A27F8A">
              <w:rPr>
                <w:rFonts w:eastAsia="MS Mincho"/>
                <w:lang w:val="fr-FR"/>
              </w:rPr>
              <w:t>;</w:t>
            </w:r>
            <w:r w:rsidR="005063F5" w:rsidRPr="00A27F8A">
              <w:rPr>
                <w:rFonts w:eastAsia="MS Mincho"/>
                <w:lang w:val="fr-FR"/>
              </w:rPr>
              <w:t xml:space="preserve"> des recommandations</w:t>
            </w:r>
            <w:r w:rsidR="006300CA" w:rsidRPr="00A27F8A">
              <w:rPr>
                <w:rFonts w:eastAsia="MS Mincho"/>
                <w:lang w:val="fr-FR"/>
              </w:rPr>
              <w:t xml:space="preserve"> </w:t>
            </w:r>
            <w:r w:rsidR="00F2206B">
              <w:rPr>
                <w:rFonts w:eastAsia="MS Mincho"/>
                <w:lang w:val="fr-FR"/>
              </w:rPr>
              <w:lastRenderedPageBreak/>
              <w:t>visant à</w:t>
            </w:r>
            <w:r w:rsidR="005063F5" w:rsidRPr="00A27F8A">
              <w:rPr>
                <w:rFonts w:eastAsia="MS Mincho"/>
                <w:lang w:val="fr-FR"/>
              </w:rPr>
              <w:t xml:space="preserve"> maximiser l’efficacité et l’efficience du Groupe de </w:t>
            </w:r>
            <w:r w:rsidR="00A95469" w:rsidRPr="00A27F8A">
              <w:rPr>
                <w:rFonts w:eastAsia="MS Mincho"/>
                <w:lang w:val="fr-FR"/>
              </w:rPr>
              <w:t xml:space="preserve">la </w:t>
            </w:r>
            <w:r w:rsidR="005063F5" w:rsidRPr="00A27F8A">
              <w:rPr>
                <w:rFonts w:eastAsia="MS Mincho"/>
                <w:lang w:val="fr-FR"/>
              </w:rPr>
              <w:t>gestion de l’environnement</w:t>
            </w:r>
            <w:r w:rsidR="00B6014C" w:rsidRPr="00A27F8A">
              <w:rPr>
                <w:rFonts w:eastAsia="MS Mincho"/>
                <w:lang w:val="fr-FR"/>
              </w:rPr>
              <w:t xml:space="preserve">; </w:t>
            </w:r>
            <w:r w:rsidR="005063F5" w:rsidRPr="00A27F8A">
              <w:rPr>
                <w:rFonts w:eastAsia="MS Mincho"/>
                <w:lang w:val="fr-FR"/>
              </w:rPr>
              <w:t>et</w:t>
            </w:r>
            <w:r w:rsidR="00D96F4B" w:rsidRPr="00A27F8A">
              <w:rPr>
                <w:rFonts w:eastAsia="MS Mincho"/>
                <w:lang w:val="fr-FR"/>
              </w:rPr>
              <w:t xml:space="preserve"> d’autres questions devant être portées à l’attention de l’Assemblée des Nations Unies pour l’environnement</w:t>
            </w:r>
            <w:r w:rsidR="006D35CB" w:rsidRPr="00A27F8A">
              <w:rPr>
                <w:rFonts w:eastAsia="MS Mincho"/>
                <w:lang w:val="fr-FR"/>
              </w:rPr>
              <w:t xml:space="preserve"> à sa deuxième session, notamment </w:t>
            </w:r>
            <w:r w:rsidR="007D0E96" w:rsidRPr="00A27F8A">
              <w:rPr>
                <w:rFonts w:eastAsia="MS Mincho"/>
                <w:lang w:val="fr-FR"/>
              </w:rPr>
              <w:t>celles relatives aux</w:t>
            </w:r>
            <w:r w:rsidR="006D35CB" w:rsidRPr="00A27F8A">
              <w:rPr>
                <w:rFonts w:eastAsia="MS Mincho"/>
                <w:lang w:val="fr-FR"/>
              </w:rPr>
              <w:t xml:space="preserve"> travaux </w:t>
            </w:r>
            <w:r w:rsidR="00F2206B">
              <w:rPr>
                <w:rFonts w:eastAsia="MS Mincho"/>
                <w:lang w:val="fr-FR"/>
              </w:rPr>
              <w:t xml:space="preserve">menés </w:t>
            </w:r>
            <w:r w:rsidR="006D35CB" w:rsidRPr="00A27F8A">
              <w:rPr>
                <w:rFonts w:eastAsia="MS Mincho"/>
                <w:lang w:val="fr-FR"/>
              </w:rPr>
              <w:t xml:space="preserve">et </w:t>
            </w:r>
            <w:r w:rsidR="007D0E96" w:rsidRPr="00A27F8A">
              <w:rPr>
                <w:rFonts w:eastAsia="MS Mincho"/>
                <w:lang w:val="fr-FR"/>
              </w:rPr>
              <w:t>aux</w:t>
            </w:r>
            <w:r w:rsidR="006D35CB" w:rsidRPr="00A27F8A">
              <w:rPr>
                <w:rFonts w:eastAsia="MS Mincho"/>
                <w:lang w:val="fr-FR"/>
              </w:rPr>
              <w:t xml:space="preserve"> progrès </w:t>
            </w:r>
            <w:r w:rsidR="00F2206B">
              <w:rPr>
                <w:rFonts w:eastAsia="MS Mincho"/>
                <w:lang w:val="fr-FR"/>
              </w:rPr>
              <w:t xml:space="preserve">accomplis par le </w:t>
            </w:r>
            <w:r w:rsidR="006D35CB" w:rsidRPr="00A27F8A">
              <w:rPr>
                <w:rFonts w:eastAsia="MS Mincho"/>
                <w:lang w:val="fr-FR"/>
              </w:rPr>
              <w:t xml:space="preserve">Groupe de </w:t>
            </w:r>
            <w:r w:rsidR="00A95469" w:rsidRPr="00A27F8A">
              <w:rPr>
                <w:rFonts w:eastAsia="MS Mincho"/>
                <w:lang w:val="fr-FR"/>
              </w:rPr>
              <w:t xml:space="preserve">la </w:t>
            </w:r>
            <w:r w:rsidR="006D35CB" w:rsidRPr="00A27F8A">
              <w:rPr>
                <w:rFonts w:eastAsia="MS Mincho"/>
                <w:lang w:val="fr-FR"/>
              </w:rPr>
              <w:t>gestion de l’environnement</w:t>
            </w:r>
            <w:r w:rsidR="005F74C7" w:rsidRPr="00A27F8A">
              <w:rPr>
                <w:rFonts w:eastAsia="MS Mincho"/>
                <w:lang w:val="fr-FR"/>
              </w:rPr>
              <w:t>.</w:t>
            </w:r>
            <w:r w:rsidR="00701C0D" w:rsidRPr="00A27F8A">
              <w:rPr>
                <w:rFonts w:eastAsia="MS Mincho"/>
                <w:lang w:val="fr-FR"/>
              </w:rPr>
              <w:t xml:space="preserve"> </w:t>
            </w:r>
          </w:p>
          <w:p w:rsidR="006D5EA7" w:rsidRPr="00A27F8A" w:rsidRDefault="007D0E96" w:rsidP="00F2206B">
            <w:pPr>
              <w:pStyle w:val="NormalNonumber"/>
              <w:ind w:firstLine="624"/>
              <w:rPr>
                <w:szCs w:val="24"/>
                <w:lang w:val="fr-FR"/>
              </w:rPr>
            </w:pPr>
            <w:r w:rsidRPr="00A27F8A">
              <w:rPr>
                <w:rFonts w:eastAsia="MS Mincho"/>
                <w:lang w:val="fr-FR"/>
              </w:rPr>
              <w:t>La deuxième partie du rapport</w:t>
            </w:r>
            <w:r w:rsidR="006D5EA7" w:rsidRPr="00A27F8A">
              <w:rPr>
                <w:rFonts w:eastAsia="MS Mincho"/>
                <w:lang w:val="fr-FR"/>
              </w:rPr>
              <w:t xml:space="preserve"> </w:t>
            </w:r>
            <w:r w:rsidR="00F10E6F" w:rsidRPr="00A27F8A">
              <w:rPr>
                <w:rFonts w:eastAsia="MS Mincho"/>
                <w:lang w:val="fr-FR"/>
              </w:rPr>
              <w:t>(section</w:t>
            </w:r>
            <w:r w:rsidRPr="00A27F8A">
              <w:rPr>
                <w:rFonts w:eastAsia="MS Mincho"/>
                <w:lang w:val="fr-FR"/>
              </w:rPr>
              <w:t> </w:t>
            </w:r>
            <w:r w:rsidR="00F10E6F" w:rsidRPr="00A27F8A">
              <w:rPr>
                <w:rFonts w:eastAsia="MS Mincho"/>
                <w:lang w:val="fr-FR"/>
              </w:rPr>
              <w:t xml:space="preserve">III) </w:t>
            </w:r>
            <w:r w:rsidRPr="00A27F8A">
              <w:rPr>
                <w:rFonts w:eastAsia="MS Mincho"/>
                <w:lang w:val="fr-FR"/>
              </w:rPr>
              <w:t>traite de la</w:t>
            </w:r>
            <w:r w:rsidRPr="00A27F8A">
              <w:rPr>
                <w:lang w:val="fr-FR"/>
              </w:rPr>
              <w:t xml:space="preserve"> </w:t>
            </w:r>
            <w:r w:rsidRPr="00A27F8A">
              <w:rPr>
                <w:rFonts w:eastAsia="MS Mincho"/>
                <w:lang w:val="fr-FR"/>
              </w:rPr>
              <w:t>coordination au sein du système des Nations Unies dans le domaine de l’environnement à l’appui du</w:t>
            </w:r>
            <w:r w:rsidR="0089599E" w:rsidRPr="00A27F8A">
              <w:rPr>
                <w:rFonts w:eastAsia="MS Mincho"/>
                <w:lang w:val="fr-FR"/>
              </w:rPr>
              <w:t xml:space="preserve"> </w:t>
            </w:r>
            <w:r w:rsidRPr="00A27F8A">
              <w:rPr>
                <w:rFonts w:eastAsia="MS Mincho"/>
                <w:lang w:val="fr-FR"/>
              </w:rPr>
              <w:t>Programme de développement durable à l’horizon 2030</w:t>
            </w:r>
            <w:r w:rsidR="006D5EA7" w:rsidRPr="00A27F8A">
              <w:rPr>
                <w:rFonts w:eastAsia="MS Mincho"/>
                <w:lang w:val="fr-FR"/>
              </w:rPr>
              <w:t>;</w:t>
            </w:r>
            <w:r w:rsidR="00B6014C" w:rsidRPr="00A27F8A">
              <w:rPr>
                <w:rFonts w:eastAsia="MS Mincho"/>
                <w:lang w:val="fr-FR"/>
              </w:rPr>
              <w:t xml:space="preserve"> </w:t>
            </w:r>
            <w:r w:rsidRPr="00A27F8A">
              <w:rPr>
                <w:rFonts w:eastAsia="MS Mincho"/>
                <w:lang w:val="fr-FR"/>
              </w:rPr>
              <w:t>du rôle du PNUE dans d’autres mécanismes de coordination</w:t>
            </w:r>
            <w:r w:rsidR="006D5EA7" w:rsidRPr="00A27F8A">
              <w:rPr>
                <w:rFonts w:eastAsia="MS Mincho"/>
                <w:lang w:val="fr-FR"/>
              </w:rPr>
              <w:t xml:space="preserve"> </w:t>
            </w:r>
            <w:r w:rsidRPr="00A27F8A">
              <w:rPr>
                <w:rFonts w:eastAsia="MS Mincho"/>
                <w:lang w:val="fr-FR"/>
              </w:rPr>
              <w:t>thématique au niveau mondial</w:t>
            </w:r>
            <w:r w:rsidR="006D5EA7" w:rsidRPr="00A27F8A">
              <w:rPr>
                <w:rFonts w:eastAsia="MS Mincho"/>
                <w:lang w:val="fr-FR"/>
              </w:rPr>
              <w:t xml:space="preserve">; </w:t>
            </w:r>
            <w:r w:rsidRPr="00A27F8A">
              <w:rPr>
                <w:rFonts w:eastAsia="MS Mincho"/>
                <w:lang w:val="fr-FR"/>
              </w:rPr>
              <w:t>et des travaux menés par le PNUE dans le cadre de mécanismes de coordination régionale et nationale</w:t>
            </w:r>
            <w:r w:rsidR="006D5EA7" w:rsidRPr="00A27F8A">
              <w:rPr>
                <w:rFonts w:eastAsia="MS Mincho"/>
                <w:lang w:val="fr-FR"/>
              </w:rPr>
              <w:t>.</w:t>
            </w:r>
            <w:r w:rsidR="004647C7" w:rsidRPr="00A27F8A">
              <w:rPr>
                <w:rFonts w:eastAsia="MS Mincho"/>
                <w:lang w:val="fr-FR"/>
              </w:rPr>
              <w:t xml:space="preserve"> </w:t>
            </w:r>
            <w:r w:rsidR="00825F7B" w:rsidRPr="00A27F8A">
              <w:rPr>
                <w:rFonts w:eastAsia="MS Mincho"/>
                <w:lang w:val="fr-FR"/>
              </w:rPr>
              <w:t>À la suite de la Conférence des Nations Unies sur le développement durable et</w:t>
            </w:r>
            <w:r w:rsidR="006D5EA7" w:rsidRPr="00A27F8A">
              <w:rPr>
                <w:rFonts w:eastAsia="MS Mincho"/>
                <w:lang w:val="fr-FR"/>
              </w:rPr>
              <w:t>,</w:t>
            </w:r>
            <w:r w:rsidR="00495B46" w:rsidRPr="00A27F8A">
              <w:rPr>
                <w:rFonts w:eastAsia="MS Mincho"/>
                <w:lang w:val="fr-FR"/>
              </w:rPr>
              <w:t xml:space="preserve"> </w:t>
            </w:r>
            <w:r w:rsidR="00825F7B" w:rsidRPr="00A27F8A">
              <w:rPr>
                <w:rFonts w:eastAsia="MS Mincho"/>
                <w:lang w:val="fr-FR"/>
              </w:rPr>
              <w:t>en particulier</w:t>
            </w:r>
            <w:r w:rsidR="006D5EA7" w:rsidRPr="00A27F8A">
              <w:rPr>
                <w:rFonts w:eastAsia="MS Mincho"/>
                <w:lang w:val="fr-FR"/>
              </w:rPr>
              <w:t>,</w:t>
            </w:r>
            <w:r w:rsidR="00495B46" w:rsidRPr="00A27F8A">
              <w:rPr>
                <w:rFonts w:eastAsia="MS Mincho"/>
                <w:lang w:val="fr-FR"/>
              </w:rPr>
              <w:t xml:space="preserve"> </w:t>
            </w:r>
            <w:r w:rsidR="00825F7B" w:rsidRPr="00A27F8A">
              <w:rPr>
                <w:rFonts w:eastAsia="MS Mincho"/>
                <w:lang w:val="fr-FR"/>
              </w:rPr>
              <w:t xml:space="preserve">grâce au processus de négociation </w:t>
            </w:r>
            <w:r w:rsidR="007E5FE9" w:rsidRPr="00A27F8A">
              <w:rPr>
                <w:rFonts w:eastAsia="MS Mincho"/>
                <w:lang w:val="fr-FR"/>
              </w:rPr>
              <w:t>des objectifs de développement durable, la coopération et la collaboration au sein du système des Nations Unies se sont renforcées</w:t>
            </w:r>
            <w:r w:rsidR="00F2206B">
              <w:rPr>
                <w:rFonts w:eastAsia="MS Mincho"/>
                <w:lang w:val="fr-FR"/>
              </w:rPr>
              <w:t xml:space="preserve"> au plan</w:t>
            </w:r>
            <w:r w:rsidR="007E5FE9" w:rsidRPr="00A27F8A">
              <w:rPr>
                <w:rFonts w:eastAsia="MS Mincho"/>
                <w:lang w:val="fr-FR"/>
              </w:rPr>
              <w:t xml:space="preserve"> organique pour répondre aux bes</w:t>
            </w:r>
            <w:r w:rsidR="00F2206B">
              <w:rPr>
                <w:rFonts w:eastAsia="MS Mincho"/>
                <w:lang w:val="fr-FR"/>
              </w:rPr>
              <w:t>oins et aux demandes des États M</w:t>
            </w:r>
            <w:r w:rsidR="007E5FE9" w:rsidRPr="00A27F8A">
              <w:rPr>
                <w:rFonts w:eastAsia="MS Mincho"/>
                <w:lang w:val="fr-FR"/>
              </w:rPr>
              <w:t>embres</w:t>
            </w:r>
            <w:r w:rsidR="00495B46" w:rsidRPr="00A27F8A">
              <w:rPr>
                <w:rFonts w:eastAsia="MS Mincho"/>
                <w:lang w:val="fr-FR"/>
              </w:rPr>
              <w:t>.</w:t>
            </w:r>
            <w:r w:rsidR="007E5FE9" w:rsidRPr="00A27F8A">
              <w:rPr>
                <w:rFonts w:eastAsia="MS Mincho"/>
                <w:lang w:val="fr-FR"/>
              </w:rPr>
              <w:t xml:space="preserve"> </w:t>
            </w:r>
            <w:r w:rsidR="00F2206B">
              <w:rPr>
                <w:rFonts w:eastAsia="MS Mincho"/>
                <w:lang w:val="fr-FR"/>
              </w:rPr>
              <w:t>On trouvera dans le</w:t>
            </w:r>
            <w:r w:rsidR="0080722F" w:rsidRPr="00A27F8A">
              <w:rPr>
                <w:rFonts w:eastAsia="MS Mincho"/>
                <w:lang w:val="fr-FR"/>
              </w:rPr>
              <w:t xml:space="preserve"> document </w:t>
            </w:r>
            <w:r w:rsidR="0080722F" w:rsidRPr="00A27F8A">
              <w:rPr>
                <w:rFonts w:eastAsia="Arial Unicode MS"/>
                <w:bdr w:val="nil"/>
                <w:lang w:val="fr-FR"/>
              </w:rPr>
              <w:t>UNEP/EA.2/INF</w:t>
            </w:r>
            <w:r w:rsidR="00F2206B">
              <w:rPr>
                <w:rFonts w:eastAsia="Arial Unicode MS"/>
                <w:bdr w:val="nil"/>
                <w:lang w:val="fr-FR"/>
              </w:rPr>
              <w:t>/14</w:t>
            </w:r>
            <w:r w:rsidR="0080722F" w:rsidRPr="00A27F8A">
              <w:rPr>
                <w:rFonts w:eastAsia="Arial Unicode MS"/>
                <w:bdr w:val="nil"/>
                <w:lang w:val="fr-FR"/>
              </w:rPr>
              <w:t xml:space="preserve"> d’autres </w:t>
            </w:r>
            <w:r w:rsidR="007E5FE9" w:rsidRPr="00A27F8A">
              <w:rPr>
                <w:rFonts w:eastAsia="MS Mincho"/>
                <w:lang w:val="fr-FR"/>
              </w:rPr>
              <w:t xml:space="preserve">exemples </w:t>
            </w:r>
            <w:r w:rsidR="00F2206B">
              <w:rPr>
                <w:rFonts w:eastAsia="MS Mincho"/>
                <w:lang w:val="fr-FR"/>
              </w:rPr>
              <w:t>de l</w:t>
            </w:r>
            <w:r w:rsidR="007E5FE9" w:rsidRPr="00A27F8A">
              <w:rPr>
                <w:rFonts w:eastAsia="MS Mincho"/>
                <w:lang w:val="fr-FR"/>
              </w:rPr>
              <w:t>a manière dont le PNUE</w:t>
            </w:r>
            <w:r w:rsidR="00495B46" w:rsidRPr="00A27F8A">
              <w:rPr>
                <w:rFonts w:eastAsia="MS Mincho"/>
                <w:lang w:val="fr-FR"/>
              </w:rPr>
              <w:t xml:space="preserve"> </w:t>
            </w:r>
            <w:r w:rsidR="002315A9" w:rsidRPr="00A27F8A">
              <w:rPr>
                <w:rFonts w:eastAsia="MS Mincho"/>
                <w:lang w:val="fr-FR"/>
              </w:rPr>
              <w:t xml:space="preserve">a travaillé </w:t>
            </w:r>
            <w:r w:rsidR="003016FF">
              <w:rPr>
                <w:rFonts w:eastAsia="MS Mincho"/>
                <w:lang w:val="fr-FR"/>
              </w:rPr>
              <w:t>par l’intermédi</w:t>
            </w:r>
            <w:r w:rsidR="00A46F71">
              <w:rPr>
                <w:rFonts w:eastAsia="MS Mincho"/>
                <w:lang w:val="fr-FR"/>
              </w:rPr>
              <w:t>ai</w:t>
            </w:r>
            <w:r w:rsidR="003016FF">
              <w:rPr>
                <w:rFonts w:eastAsia="MS Mincho"/>
                <w:lang w:val="fr-FR"/>
              </w:rPr>
              <w:t>re d’</w:t>
            </w:r>
            <w:r w:rsidR="002315A9" w:rsidRPr="00A27F8A">
              <w:rPr>
                <w:rFonts w:eastAsia="MS Mincho"/>
                <w:lang w:val="fr-FR"/>
              </w:rPr>
              <w:t>un large éventail</w:t>
            </w:r>
            <w:r w:rsidR="0080722F" w:rsidRPr="00A27F8A">
              <w:rPr>
                <w:rFonts w:eastAsia="MS Mincho"/>
                <w:lang w:val="fr-FR"/>
              </w:rPr>
              <w:t xml:space="preserve"> de mécanismes et de stratégies</w:t>
            </w:r>
            <w:r w:rsidR="002315A9" w:rsidRPr="00A27F8A">
              <w:rPr>
                <w:rFonts w:eastAsia="MS Mincho"/>
                <w:lang w:val="fr-FR"/>
              </w:rPr>
              <w:t xml:space="preserve"> de coordination </w:t>
            </w:r>
            <w:r w:rsidR="0080722F" w:rsidRPr="00A27F8A">
              <w:rPr>
                <w:rFonts w:eastAsia="MS Mincho"/>
                <w:lang w:val="fr-FR"/>
              </w:rPr>
              <w:t>afin de</w:t>
            </w:r>
            <w:r w:rsidR="002315A9" w:rsidRPr="00A27F8A">
              <w:rPr>
                <w:rFonts w:eastAsia="MS Mincho"/>
                <w:lang w:val="fr-FR"/>
              </w:rPr>
              <w:t xml:space="preserve"> </w:t>
            </w:r>
            <w:r w:rsidR="00BC12AA" w:rsidRPr="00A27F8A">
              <w:rPr>
                <w:rFonts w:eastAsia="MS Mincho"/>
                <w:lang w:val="fr-FR"/>
              </w:rPr>
              <w:t xml:space="preserve">répondre </w:t>
            </w:r>
            <w:r w:rsidR="00C35ABF" w:rsidRPr="00A27F8A">
              <w:rPr>
                <w:rFonts w:eastAsia="MS Mincho"/>
                <w:lang w:val="fr-FR"/>
              </w:rPr>
              <w:t>à la demande</w:t>
            </w:r>
            <w:r w:rsidR="00351A8E">
              <w:rPr>
                <w:rFonts w:eastAsia="MS Mincho"/>
                <w:lang w:val="fr-FR"/>
              </w:rPr>
              <w:t xml:space="preserve"> d’une</w:t>
            </w:r>
            <w:r w:rsidR="00BC12AA" w:rsidRPr="00A27F8A">
              <w:rPr>
                <w:rFonts w:eastAsia="MS Mincho"/>
                <w:lang w:val="fr-FR"/>
              </w:rPr>
              <w:t xml:space="preserve"> </w:t>
            </w:r>
            <w:r w:rsidR="002315A9" w:rsidRPr="00A27F8A">
              <w:rPr>
                <w:rFonts w:eastAsia="MS Mincho"/>
                <w:lang w:val="fr-FR"/>
              </w:rPr>
              <w:t>cohérence des politiques du système des Nations Unies</w:t>
            </w:r>
            <w:r w:rsidR="00495B46" w:rsidRPr="00A27F8A">
              <w:rPr>
                <w:rFonts w:eastAsia="MS Mincho"/>
                <w:lang w:val="fr-FR"/>
              </w:rPr>
              <w:t xml:space="preserve"> </w:t>
            </w:r>
            <w:r w:rsidR="00BC12AA" w:rsidRPr="00A27F8A">
              <w:rPr>
                <w:rFonts w:eastAsia="MS Mincho"/>
                <w:lang w:val="fr-FR"/>
              </w:rPr>
              <w:t>dans la gestion des problèmes environnementaux en vue d’une meilleure coordination et d’une plus grande efficacité des activités</w:t>
            </w:r>
            <w:r w:rsidR="00495B46" w:rsidRPr="00A27F8A">
              <w:rPr>
                <w:rFonts w:eastAsia="MS Mincho"/>
                <w:lang w:val="fr-FR"/>
              </w:rPr>
              <w:t>.</w:t>
            </w:r>
          </w:p>
        </w:tc>
      </w:tr>
    </w:tbl>
    <w:p w:rsidR="00CA2FF8" w:rsidRPr="00A27F8A" w:rsidRDefault="00543E82" w:rsidP="008E0CA4">
      <w:pPr>
        <w:pStyle w:val="CH1"/>
        <w:rPr>
          <w:lang w:val="fr-FR"/>
        </w:rPr>
      </w:pPr>
      <w:r w:rsidRPr="00A27F8A">
        <w:rPr>
          <w:lang w:val="fr-FR"/>
        </w:rPr>
        <w:lastRenderedPageBreak/>
        <w:tab/>
        <w:t>I.</w:t>
      </w:r>
      <w:r w:rsidRPr="00A27F8A">
        <w:rPr>
          <w:lang w:val="fr-FR"/>
        </w:rPr>
        <w:tab/>
      </w:r>
      <w:r w:rsidR="00E9272E" w:rsidRPr="00A27F8A">
        <w:rPr>
          <w:lang w:val="fr-FR"/>
        </w:rPr>
        <w:t>Introduction</w:t>
      </w:r>
    </w:p>
    <w:p w:rsidR="00E9272E" w:rsidRPr="00A27F8A" w:rsidRDefault="00BC12AA" w:rsidP="00F2206B">
      <w:pPr>
        <w:pStyle w:val="Normalnumber"/>
        <w:tabs>
          <w:tab w:val="clear" w:pos="1247"/>
          <w:tab w:val="clear" w:pos="1814"/>
          <w:tab w:val="clear" w:pos="2381"/>
          <w:tab w:val="clear" w:pos="2948"/>
          <w:tab w:val="clear" w:pos="3515"/>
          <w:tab w:val="clear" w:pos="4082"/>
          <w:tab w:val="left" w:pos="624"/>
        </w:tabs>
        <w:ind w:left="1247" w:firstLine="0"/>
      </w:pPr>
      <w:r w:rsidRPr="00A27F8A">
        <w:t>La portée et l’ambition du</w:t>
      </w:r>
      <w:r w:rsidR="006955D6" w:rsidRPr="00A27F8A">
        <w:t xml:space="preserve"> </w:t>
      </w:r>
      <w:r w:rsidRPr="00F2206B">
        <w:rPr>
          <w:rFonts w:eastAsia="MS Mincho"/>
        </w:rPr>
        <w:t>Programme de développement durable à l’horizon 2030</w:t>
      </w:r>
      <w:r w:rsidR="008E7AD8" w:rsidRPr="00F2206B">
        <w:rPr>
          <w:rFonts w:eastAsia="MS Mincho"/>
        </w:rPr>
        <w:t xml:space="preserve"> universel et intégré et de ses objectifs de développement durable</w:t>
      </w:r>
      <w:r w:rsidRPr="00F2206B">
        <w:rPr>
          <w:rFonts w:eastAsia="MS Mincho"/>
        </w:rPr>
        <w:t xml:space="preserve"> </w:t>
      </w:r>
      <w:r w:rsidR="008E7AD8" w:rsidRPr="00A27F8A">
        <w:t xml:space="preserve">sont </w:t>
      </w:r>
      <w:r w:rsidR="002F4BDF" w:rsidRPr="00A27F8A">
        <w:t>sans précédent, tout comme</w:t>
      </w:r>
      <w:r w:rsidR="008E7AD8" w:rsidRPr="00A27F8A">
        <w:t xml:space="preserve"> les défis que la communauté internationale devra relever pour </w:t>
      </w:r>
      <w:r w:rsidR="002F4BDF" w:rsidRPr="00A27F8A">
        <w:t>assurer un avenir durable à tous</w:t>
      </w:r>
      <w:r w:rsidR="00E9272E" w:rsidRPr="00A27F8A">
        <w:t xml:space="preserve">. </w:t>
      </w:r>
      <w:r w:rsidR="002F4BDF" w:rsidRPr="00A27F8A">
        <w:t>Seule la mobilisation de toutes les</w:t>
      </w:r>
      <w:r w:rsidR="00E9272E" w:rsidRPr="00A27F8A">
        <w:t xml:space="preserve"> </w:t>
      </w:r>
      <w:r w:rsidR="002F4BDF" w:rsidRPr="00A27F8A">
        <w:t>entités des Nations Unies</w:t>
      </w:r>
      <w:r w:rsidR="00C75DFD" w:rsidRPr="00A27F8A">
        <w:t>, chacune apportant ses forces, ses capacités et ses ressources, permettra au système des Nations Unies de</w:t>
      </w:r>
      <w:r w:rsidR="002F4BDF" w:rsidRPr="00A27F8A">
        <w:t xml:space="preserve"> </w:t>
      </w:r>
      <w:r w:rsidR="00F2206B">
        <w:t>répondre</w:t>
      </w:r>
      <w:r w:rsidR="0005566D" w:rsidRPr="00A27F8A">
        <w:t xml:space="preserve"> aux aspirations</w:t>
      </w:r>
      <w:r w:rsidR="00F2206B">
        <w:t xml:space="preserve"> exprimées dans l</w:t>
      </w:r>
      <w:r w:rsidR="0005566D" w:rsidRPr="00A27F8A">
        <w:t xml:space="preserve">es objectifs du </w:t>
      </w:r>
      <w:r w:rsidR="0005566D" w:rsidRPr="00F2206B">
        <w:rPr>
          <w:rFonts w:eastAsia="MS Mincho"/>
        </w:rPr>
        <w:t>Programme de développement durable à l’horizon 2030</w:t>
      </w:r>
      <w:r w:rsidR="00F2206B" w:rsidRPr="00F2206B">
        <w:rPr>
          <w:rFonts w:eastAsia="MS Mincho"/>
        </w:rPr>
        <w:t xml:space="preserve"> – et d’appuyer de façon optimale les efforts</w:t>
      </w:r>
      <w:r w:rsidR="00F2206B">
        <w:rPr>
          <w:rFonts w:eastAsia="MS Mincho"/>
        </w:rPr>
        <w:t xml:space="preserve"> déployés en vue de leur réalisation</w:t>
      </w:r>
      <w:r w:rsidR="00F2206B" w:rsidRPr="00A27F8A">
        <w:rPr>
          <w:rStyle w:val="FootnoteReference"/>
          <w:szCs w:val="20"/>
        </w:rPr>
        <w:footnoteReference w:id="4"/>
      </w:r>
      <w:r w:rsidR="00F2206B">
        <w:rPr>
          <w:rFonts w:eastAsia="MS Mincho"/>
        </w:rPr>
        <w:t xml:space="preserve"> –,</w:t>
      </w:r>
      <w:r w:rsidR="00842E0D" w:rsidRPr="00A27F8A">
        <w:t xml:space="preserve"> </w:t>
      </w:r>
      <w:r w:rsidR="00B76DB7" w:rsidRPr="00A27F8A">
        <w:t xml:space="preserve">qui nécessite </w:t>
      </w:r>
      <w:r w:rsidR="00842E0D" w:rsidRPr="00A27F8A">
        <w:t xml:space="preserve">une collaboration </w:t>
      </w:r>
      <w:r w:rsidR="00EE7D99" w:rsidRPr="00A27F8A">
        <w:t>accrue</w:t>
      </w:r>
      <w:r w:rsidR="00842E0D" w:rsidRPr="00A27F8A">
        <w:t xml:space="preserve">, </w:t>
      </w:r>
      <w:r w:rsidR="00EE7D99" w:rsidRPr="00A27F8A">
        <w:t>poussée</w:t>
      </w:r>
      <w:r w:rsidR="00842E0D" w:rsidRPr="00A27F8A">
        <w:t xml:space="preserve"> et souple</w:t>
      </w:r>
      <w:r w:rsidR="00B76DB7" w:rsidRPr="00A27F8A">
        <w:t xml:space="preserve"> au sein du système des Nations Unies</w:t>
      </w:r>
      <w:r w:rsidR="001B6DB8" w:rsidRPr="00A27F8A">
        <w:t>.</w:t>
      </w:r>
    </w:p>
    <w:p w:rsidR="00E9272E" w:rsidRPr="00A27F8A" w:rsidRDefault="00B76DB7"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Une collaboration </w:t>
      </w:r>
      <w:r w:rsidR="00EE7D99" w:rsidRPr="00A27F8A">
        <w:t>accrue</w:t>
      </w:r>
      <w:r w:rsidRPr="00A27F8A">
        <w:t>,</w:t>
      </w:r>
      <w:r w:rsidR="00474F2B" w:rsidRPr="00A27F8A">
        <w:t xml:space="preserve"> </w:t>
      </w:r>
      <w:r w:rsidR="00EE7D99" w:rsidRPr="00A27F8A">
        <w:t>poussée</w:t>
      </w:r>
      <w:r w:rsidRPr="00A27F8A">
        <w:t xml:space="preserve"> et souple au sein du système des Nations Unies sera </w:t>
      </w:r>
      <w:r w:rsidR="003016FF">
        <w:t xml:space="preserve">donc </w:t>
      </w:r>
      <w:r w:rsidRPr="00A27F8A">
        <w:t>nécessaire</w:t>
      </w:r>
      <w:r w:rsidR="00581779" w:rsidRPr="00A27F8A">
        <w:t xml:space="preserve">. </w:t>
      </w:r>
      <w:r w:rsidRPr="00A27F8A">
        <w:t>Le</w:t>
      </w:r>
      <w:r w:rsidRPr="00A27F8A">
        <w:rPr>
          <w:rFonts w:eastAsia="MS Mincho"/>
        </w:rPr>
        <w:t xml:space="preserve"> Programme de développement durable à l’horizon 2030</w:t>
      </w:r>
      <w:r w:rsidR="00E9272E" w:rsidRPr="00A27F8A">
        <w:t xml:space="preserve"> </w:t>
      </w:r>
      <w:r w:rsidRPr="00A27F8A">
        <w:t>hautement complexe et multidimensionnel</w:t>
      </w:r>
      <w:r w:rsidR="00474F2B" w:rsidRPr="00A27F8A">
        <w:t xml:space="preserve"> préconise une </w:t>
      </w:r>
      <w:r w:rsidR="00EE7D99" w:rsidRPr="00A27F8A">
        <w:t xml:space="preserve">intégration des trois dimensions </w:t>
      </w:r>
      <w:r w:rsidR="00474F2B" w:rsidRPr="00A27F8A">
        <w:t>du développement durable</w:t>
      </w:r>
      <w:r w:rsidR="00581779" w:rsidRPr="00A27F8A">
        <w:t xml:space="preserve"> </w:t>
      </w:r>
      <w:r w:rsidR="00EE7D99" w:rsidRPr="00A27F8A">
        <w:t>et</w:t>
      </w:r>
      <w:r w:rsidR="006D5EA7" w:rsidRPr="00A27F8A">
        <w:t xml:space="preserve"> </w:t>
      </w:r>
      <w:r w:rsidR="00F2206B">
        <w:t xml:space="preserve">couvre les </w:t>
      </w:r>
      <w:r w:rsidR="00EE7D99" w:rsidRPr="00A27F8A">
        <w:t>piliers de la Charte des Nations Unies </w:t>
      </w:r>
      <w:r w:rsidR="00D61D73" w:rsidRPr="00A27F8A">
        <w:t>:</w:t>
      </w:r>
      <w:r w:rsidR="00EE7D99" w:rsidRPr="00A27F8A">
        <w:t xml:space="preserve"> le développement</w:t>
      </w:r>
      <w:r w:rsidR="00E9272E" w:rsidRPr="00A27F8A">
        <w:t xml:space="preserve">, </w:t>
      </w:r>
      <w:r w:rsidR="00EE7D99" w:rsidRPr="00A27F8A">
        <w:t>la paix et la sécurité</w:t>
      </w:r>
      <w:r w:rsidR="00E9272E" w:rsidRPr="00A27F8A">
        <w:t>,</w:t>
      </w:r>
      <w:r w:rsidR="00EE7D99" w:rsidRPr="00A27F8A">
        <w:t xml:space="preserve"> et les droits de l’homme et</w:t>
      </w:r>
      <w:r w:rsidR="00E9272E" w:rsidRPr="00A27F8A">
        <w:t xml:space="preserve"> </w:t>
      </w:r>
      <w:r w:rsidR="008A1EFD" w:rsidRPr="00A27F8A">
        <w:t>l’action humanitaire</w:t>
      </w:r>
      <w:r w:rsidR="0089599E" w:rsidRPr="00A27F8A">
        <w:t>.</w:t>
      </w:r>
      <w:r w:rsidR="008A1EFD" w:rsidRPr="00A27F8A">
        <w:t xml:space="preserve"> La capacité de transcender ces domaines et de viser des objectifs communs </w:t>
      </w:r>
      <w:r w:rsidR="00793DE0" w:rsidRPr="00A27F8A">
        <w:t>ainsi que</w:t>
      </w:r>
      <w:r w:rsidR="008A1EFD" w:rsidRPr="00A27F8A">
        <w:t xml:space="preserve"> des résultats intégrés </w:t>
      </w:r>
      <w:r w:rsidR="00793DE0" w:rsidRPr="00A27F8A">
        <w:t>est</w:t>
      </w:r>
      <w:r w:rsidR="008A1EFD" w:rsidRPr="00A27F8A">
        <w:t xml:space="preserve"> un facteur de réussite</w:t>
      </w:r>
      <w:r w:rsidR="00793DE0" w:rsidRPr="00A27F8A">
        <w:t xml:space="preserve"> déterminant</w:t>
      </w:r>
      <w:r w:rsidR="00E9272E" w:rsidRPr="00A27F8A">
        <w:t>.</w:t>
      </w:r>
      <w:r w:rsidR="00793DE0" w:rsidRPr="00A27F8A">
        <w:t xml:space="preserve"> En se réunissant autour d’une série d’objectifs, de cibles et de moyens</w:t>
      </w:r>
      <w:r w:rsidR="00CB2C73" w:rsidRPr="00A27F8A">
        <w:t xml:space="preserve"> de mise en œuvre </w:t>
      </w:r>
      <w:r w:rsidR="00793DE0" w:rsidRPr="00A27F8A">
        <w:t xml:space="preserve">communs et en </w:t>
      </w:r>
      <w:r w:rsidR="00F2206B">
        <w:t xml:space="preserve">œuvrant </w:t>
      </w:r>
      <w:r w:rsidR="0077618A">
        <w:t xml:space="preserve">en </w:t>
      </w:r>
      <w:r w:rsidR="00CB2C73" w:rsidRPr="00A27F8A">
        <w:t xml:space="preserve">collaboration </w:t>
      </w:r>
      <w:r w:rsidR="00F2206B">
        <w:t>à</w:t>
      </w:r>
      <w:r w:rsidR="00E346EC" w:rsidRPr="00A27F8A">
        <w:t xml:space="preserve"> la formulation de réponses cohérentes coordonnées, les organis</w:t>
      </w:r>
      <w:r w:rsidR="003016FF">
        <w:t>mes</w:t>
      </w:r>
      <w:r w:rsidR="00E346EC" w:rsidRPr="00A27F8A">
        <w:t xml:space="preserve"> des Nations Unies seront en mesure de faire face à la complexité du nouveau</w:t>
      </w:r>
      <w:r w:rsidR="00793DE0" w:rsidRPr="00A27F8A">
        <w:t xml:space="preserve"> </w:t>
      </w:r>
      <w:r w:rsidR="00E346EC" w:rsidRPr="00A27F8A">
        <w:t xml:space="preserve">programme et de produire des résultats plus </w:t>
      </w:r>
      <w:r w:rsidR="00CB2C73" w:rsidRPr="00A27F8A">
        <w:t>fiables</w:t>
      </w:r>
      <w:r w:rsidR="00E346EC" w:rsidRPr="00A27F8A">
        <w:t xml:space="preserve"> et durables</w:t>
      </w:r>
      <w:r w:rsidR="00E9272E" w:rsidRPr="00A27F8A">
        <w:t>.</w:t>
      </w:r>
    </w:p>
    <w:p w:rsidR="00E9272E" w:rsidRPr="00A27F8A" w:rsidRDefault="00CB2C73"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Dans une période d’intégration, la coordination </w:t>
      </w:r>
      <w:r w:rsidR="00C9256E" w:rsidRPr="00A27F8A">
        <w:t>suppose de</w:t>
      </w:r>
      <w:r w:rsidRPr="00A27F8A">
        <w:t xml:space="preserve"> mettre à profit</w:t>
      </w:r>
      <w:r w:rsidR="00C9256E" w:rsidRPr="00A27F8A">
        <w:t xml:space="preserve"> les avantages comparatifs de la diversité et de la spécialisation du système des Nations Unies, en travaillant en collaboration et en étant unis dans l’action</w:t>
      </w:r>
      <w:r w:rsidR="00E9272E" w:rsidRPr="00A27F8A">
        <w:t>.</w:t>
      </w:r>
      <w:r w:rsidR="00C9256E" w:rsidRPr="00A27F8A">
        <w:t xml:space="preserve"> Le système des Nations Unies doit fournir de manière réactive et </w:t>
      </w:r>
      <w:r w:rsidR="00902408" w:rsidRPr="00A27F8A">
        <w:t>s</w:t>
      </w:r>
      <w:r w:rsidR="00C9256E" w:rsidRPr="00A27F8A">
        <w:t>ouple</w:t>
      </w:r>
      <w:r w:rsidR="00902408" w:rsidRPr="00A27F8A">
        <w:t xml:space="preserve"> un appui spécialisé intégré</w:t>
      </w:r>
      <w:r w:rsidR="00C9256E" w:rsidRPr="00A27F8A">
        <w:t xml:space="preserve"> </w:t>
      </w:r>
      <w:r w:rsidR="00902408" w:rsidRPr="00A27F8A">
        <w:t>aux États membres, en rendant opérationnels des cadres normatifs dans un effort cohérent et collectif à l’échelle du système</w:t>
      </w:r>
      <w:r w:rsidR="00E9272E" w:rsidRPr="00A27F8A">
        <w:t>.</w:t>
      </w:r>
      <w:r w:rsidR="00902408" w:rsidRPr="00A27F8A">
        <w:t xml:space="preserve"> Une coordination plus étroite</w:t>
      </w:r>
      <w:r w:rsidR="009E62E9" w:rsidRPr="00A27F8A">
        <w:t xml:space="preserve"> </w:t>
      </w:r>
      <w:r w:rsidR="003629E6" w:rsidRPr="00A27F8A">
        <w:t>sera le résultat</w:t>
      </w:r>
      <w:r w:rsidR="009E62E9" w:rsidRPr="00A27F8A">
        <w:t xml:space="preserve"> d’efforts visant à favoriser et à promouvoir activement une culture de la collaboration au sein </w:t>
      </w:r>
      <w:r w:rsidR="003629E6" w:rsidRPr="00A27F8A">
        <w:t>des</w:t>
      </w:r>
      <w:r w:rsidR="009E62E9" w:rsidRPr="00A27F8A">
        <w:t xml:space="preserve"> organismes des Nations Unies</w:t>
      </w:r>
      <w:r w:rsidR="003629E6" w:rsidRPr="00A27F8A">
        <w:t xml:space="preserve"> et entre ces derniers</w:t>
      </w:r>
      <w:r w:rsidR="009E62E9" w:rsidRPr="00A27F8A">
        <w:t xml:space="preserve"> ainsi qu’à démontrer l’utilité </w:t>
      </w:r>
      <w:r w:rsidR="003629E6" w:rsidRPr="00A27F8A">
        <w:t>d’une mise en commun des capacités et des connaissances afin de concevoir et de fournir des solutions intégrées plus efficaces et rentables</w:t>
      </w:r>
      <w:r w:rsidR="00E9272E" w:rsidRPr="00A27F8A">
        <w:t xml:space="preserve">. </w:t>
      </w:r>
      <w:r w:rsidR="003629E6" w:rsidRPr="00A27F8A">
        <w:t>Le Secrétaire général de l’Organisation des Nations Unies</w:t>
      </w:r>
      <w:r w:rsidR="006955D6" w:rsidRPr="00A27F8A">
        <w:t xml:space="preserve"> </w:t>
      </w:r>
      <w:r w:rsidR="003629E6" w:rsidRPr="00A27F8A">
        <w:t>et les membres du</w:t>
      </w:r>
      <w:r w:rsidR="00726619" w:rsidRPr="00A27F8A">
        <w:t xml:space="preserve"> Conseil des chefs de secrétariat des organismes des Nations Unies pour la coordination ont toujours reconnu l’importance d’une telle approche</w:t>
      </w:r>
      <w:r w:rsidR="00E9272E" w:rsidRPr="00A27F8A">
        <w:t>.</w:t>
      </w:r>
    </w:p>
    <w:p w:rsidR="00E9272E" w:rsidRPr="00A27F8A" w:rsidRDefault="00726619" w:rsidP="008E0CA4">
      <w:pPr>
        <w:pStyle w:val="Normalnumber"/>
        <w:tabs>
          <w:tab w:val="clear" w:pos="1247"/>
          <w:tab w:val="clear" w:pos="1814"/>
          <w:tab w:val="clear" w:pos="2381"/>
          <w:tab w:val="clear" w:pos="2948"/>
          <w:tab w:val="clear" w:pos="3515"/>
          <w:tab w:val="clear" w:pos="4082"/>
          <w:tab w:val="left" w:pos="624"/>
        </w:tabs>
        <w:ind w:left="1247" w:firstLine="0"/>
      </w:pPr>
      <w:r w:rsidRPr="00A27F8A">
        <w:rPr>
          <w:rFonts w:eastAsia="MS Mincho"/>
        </w:rPr>
        <w:t xml:space="preserve">Le Programme de développement durable à l’horizon 2030 offre une formidable </w:t>
      </w:r>
      <w:r w:rsidR="00A763CF" w:rsidRPr="00A27F8A">
        <w:rPr>
          <w:rFonts w:eastAsia="MS Mincho"/>
        </w:rPr>
        <w:t>occasion</w:t>
      </w:r>
      <w:r w:rsidRPr="00A27F8A">
        <w:rPr>
          <w:rFonts w:eastAsia="MS Mincho"/>
        </w:rPr>
        <w:t xml:space="preserve"> de renforcer la coordination au sein du système des Nations Unies dans le domaine de l’environnement</w:t>
      </w:r>
      <w:r w:rsidR="00E9272E" w:rsidRPr="00A27F8A">
        <w:t>.</w:t>
      </w:r>
      <w:r w:rsidRPr="00A27F8A">
        <w:t xml:space="preserve"> L’environnement </w:t>
      </w:r>
      <w:r w:rsidR="00943875" w:rsidRPr="00A27F8A">
        <w:t>relève de la</w:t>
      </w:r>
      <w:r w:rsidRPr="00A27F8A">
        <w:t xml:space="preserve"> responsabilité partagée</w:t>
      </w:r>
      <w:r w:rsidR="00943875" w:rsidRPr="00A27F8A">
        <w:t xml:space="preserve"> du système et </w:t>
      </w:r>
      <w:r w:rsidR="00954BFB" w:rsidRPr="00A27F8A">
        <w:t>le</w:t>
      </w:r>
      <w:r w:rsidR="00943875" w:rsidRPr="00A27F8A">
        <w:t xml:space="preserve"> PNUE,</w:t>
      </w:r>
      <w:r w:rsidR="00E9272E" w:rsidRPr="00A27F8A">
        <w:t xml:space="preserve"> </w:t>
      </w:r>
      <w:r w:rsidR="00954BFB" w:rsidRPr="00A27F8A">
        <w:t>qui représente l’</w:t>
      </w:r>
      <w:r w:rsidR="00943875" w:rsidRPr="00A27F8A">
        <w:t xml:space="preserve">autorité et </w:t>
      </w:r>
      <w:r w:rsidR="00954BFB" w:rsidRPr="00A27F8A">
        <w:t xml:space="preserve">la </w:t>
      </w:r>
      <w:r w:rsidR="00943875" w:rsidRPr="00A27F8A">
        <w:t>voix des Nations Unies pour les questions d’</w:t>
      </w:r>
      <w:r w:rsidR="00C13E8C" w:rsidRPr="00A27F8A">
        <w:t>environnement</w:t>
      </w:r>
      <w:r w:rsidR="00943875" w:rsidRPr="00A27F8A">
        <w:t xml:space="preserve">, </w:t>
      </w:r>
      <w:r w:rsidR="00954BFB" w:rsidRPr="00A27F8A">
        <w:t xml:space="preserve">a pour mandat initial d’aider les </w:t>
      </w:r>
      <w:r w:rsidR="00954BFB" w:rsidRPr="00A27F8A">
        <w:lastRenderedPageBreak/>
        <w:t xml:space="preserve">autres à assumer </w:t>
      </w:r>
      <w:r w:rsidR="00F2206B">
        <w:t>la</w:t>
      </w:r>
      <w:r w:rsidR="00954BFB" w:rsidRPr="00A27F8A">
        <w:t xml:space="preserve"> part de responsabilité</w:t>
      </w:r>
      <w:r w:rsidR="00F2206B">
        <w:t xml:space="preserve"> qui leur revient</w:t>
      </w:r>
      <w:r w:rsidR="00A93F24" w:rsidRPr="00A27F8A">
        <w:rPr>
          <w:rStyle w:val="FootnoteReference"/>
          <w:szCs w:val="20"/>
        </w:rPr>
        <w:footnoteReference w:id="5"/>
      </w:r>
      <w:r w:rsidR="00F2206B">
        <w:t>.</w:t>
      </w:r>
      <w:r w:rsidR="00E9272E" w:rsidRPr="00A27F8A">
        <w:t xml:space="preserve"> </w:t>
      </w:r>
      <w:r w:rsidR="00954BFB" w:rsidRPr="00A27F8A">
        <w:t xml:space="preserve">La promotion </w:t>
      </w:r>
      <w:r w:rsidR="00435932" w:rsidRPr="00A27F8A">
        <w:t>de la</w:t>
      </w:r>
      <w:r w:rsidR="00954BFB" w:rsidRPr="00A27F8A">
        <w:t xml:space="preserve"> coordination et </w:t>
      </w:r>
      <w:r w:rsidR="00435932" w:rsidRPr="00A27F8A">
        <w:t>de la</w:t>
      </w:r>
      <w:r w:rsidR="00954BFB" w:rsidRPr="00A27F8A">
        <w:t xml:space="preserve"> collaboration à l’échelle du système fait partie intégrante du mandat, des travaux et de la culture institutionnelle du PNUE</w:t>
      </w:r>
      <w:r w:rsidR="00E9272E" w:rsidRPr="00A27F8A">
        <w:t xml:space="preserve">. </w:t>
      </w:r>
    </w:p>
    <w:p w:rsidR="00675D7A" w:rsidRPr="00A27F8A" w:rsidRDefault="0080722F"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 présent rapport vise à montrer la manière dont le PNUE</w:t>
      </w:r>
      <w:r w:rsidR="00C35ABF" w:rsidRPr="00A27F8A">
        <w:t xml:space="preserve">, en travaillant </w:t>
      </w:r>
      <w:r w:rsidR="00A46F71">
        <w:t>par l’intermédiaire d’</w:t>
      </w:r>
      <w:r w:rsidR="00C35ABF" w:rsidRPr="00A27F8A">
        <w:t>une série de mécanismes et de stratégies de coordin</w:t>
      </w:r>
      <w:r w:rsidR="00351A8E">
        <w:t>ation, a répondu à la demande d’une</w:t>
      </w:r>
      <w:r w:rsidR="00C35ABF" w:rsidRPr="00A27F8A">
        <w:t xml:space="preserve"> cohérence des politiques</w:t>
      </w:r>
      <w:r w:rsidR="00E9272E" w:rsidRPr="00A27F8A">
        <w:t xml:space="preserve"> </w:t>
      </w:r>
      <w:r w:rsidR="00C35ABF" w:rsidRPr="00A27F8A">
        <w:rPr>
          <w:rFonts w:eastAsia="MS Mincho"/>
        </w:rPr>
        <w:t>du système des Nations Unies dans la gestion des problèmes environnementaux en vue d’une meilleure coordination et d’une plus grande efficacité des activités</w:t>
      </w:r>
      <w:r w:rsidR="00E9272E" w:rsidRPr="00A27F8A">
        <w:t>.</w:t>
      </w:r>
      <w:r w:rsidR="00C35ABF" w:rsidRPr="00A27F8A">
        <w:t xml:space="preserve"> Des exemples sont donnés pour illustrer la </w:t>
      </w:r>
      <w:r w:rsidR="00A46F71">
        <w:t>façon</w:t>
      </w:r>
      <w:r w:rsidR="00C35ABF" w:rsidRPr="00A27F8A">
        <w:t xml:space="preserve"> dont </w:t>
      </w:r>
      <w:r w:rsidR="0092597F" w:rsidRPr="00A27F8A">
        <w:t xml:space="preserve">les travaux sont menés au sein </w:t>
      </w:r>
      <w:r w:rsidR="00212C59" w:rsidRPr="00A27F8A">
        <w:t xml:space="preserve">– </w:t>
      </w:r>
      <w:r w:rsidR="0092597F" w:rsidRPr="00A27F8A">
        <w:t>et dans le cadre</w:t>
      </w:r>
      <w:r w:rsidR="00E9272E" w:rsidRPr="00A27F8A">
        <w:t xml:space="preserve"> </w:t>
      </w:r>
      <w:r w:rsidR="00212C59" w:rsidRPr="00A27F8A">
        <w:t xml:space="preserve">– </w:t>
      </w:r>
      <w:r w:rsidR="0092597F" w:rsidRPr="00A27F8A">
        <w:t xml:space="preserve">du système des Nations Unies, en distinguant les différents niveaux et modes de participation </w:t>
      </w:r>
      <w:r w:rsidR="003A6DA8" w:rsidRPr="00A27F8A">
        <w:t xml:space="preserve">pour faciliter et exploiter des approches coordonnées et des synergies et en consolidant l’appui du système à la mise en œuvre de la dimension environnementale du </w:t>
      </w:r>
      <w:r w:rsidR="003A6DA8" w:rsidRPr="00A27F8A">
        <w:rPr>
          <w:rFonts w:eastAsia="MS Mincho"/>
        </w:rPr>
        <w:t>Programme de développement durable à l’horizon 2030 et des objectifs de développement durable</w:t>
      </w:r>
      <w:r w:rsidR="00B0681D" w:rsidRPr="00A27F8A">
        <w:t>.</w:t>
      </w:r>
      <w:r w:rsidR="003A6DA8" w:rsidRPr="00A27F8A">
        <w:t xml:space="preserve"> D’autres exemples illustrant les travaux menés par le PNUE en collaboration avec les secrétariats des accords multilatéraux sur l’environnement, notamment dans le cadre d’une coopération programmatique et de la promotion de synergies,</w:t>
      </w:r>
      <w:r w:rsidR="00E9272E" w:rsidRPr="00A27F8A">
        <w:t xml:space="preserve"> </w:t>
      </w:r>
      <w:r w:rsidR="003A6DA8" w:rsidRPr="00A27F8A">
        <w:t xml:space="preserve">sont décrits plus en détail dans le rapport du </w:t>
      </w:r>
      <w:r w:rsidR="00F2206B">
        <w:t>Directeur exécutif sur les relations</w:t>
      </w:r>
      <w:r w:rsidR="003A6DA8" w:rsidRPr="00A27F8A">
        <w:t xml:space="preserve"> entre le PNUE et les accords mu</w:t>
      </w:r>
      <w:r w:rsidR="00052EAA" w:rsidRPr="00A27F8A">
        <w:t xml:space="preserve">ltilatéraux sur l’environnement </w:t>
      </w:r>
      <w:r w:rsidR="00D95925" w:rsidRPr="00A27F8A">
        <w:t>(UNEP/EA.2/</w:t>
      </w:r>
      <w:r w:rsidR="00F2206B">
        <w:t>11</w:t>
      </w:r>
      <w:r w:rsidR="00D95925" w:rsidRPr="00A27F8A">
        <w:rPr>
          <w:b/>
        </w:rPr>
        <w:t>)</w:t>
      </w:r>
      <w:r w:rsidR="00C422C0" w:rsidRPr="00A27F8A">
        <w:t xml:space="preserve">. </w:t>
      </w:r>
      <w:r w:rsidR="00052EAA" w:rsidRPr="00A27F8A">
        <w:t>Des informations supplémentaires concernant</w:t>
      </w:r>
      <w:r w:rsidR="00C422C0" w:rsidRPr="00A27F8A">
        <w:t xml:space="preserve"> </w:t>
      </w:r>
      <w:r w:rsidR="00052EAA" w:rsidRPr="00A27F8A">
        <w:t xml:space="preserve">la manière dont le PNUE travaille avec ses partenaires du système des Nations Unies </w:t>
      </w:r>
      <w:r w:rsidR="0042041B">
        <w:t>sont fournies dans les annexes a</w:t>
      </w:r>
      <w:r w:rsidR="00052EAA" w:rsidRPr="00A27F8A">
        <w:t xml:space="preserve">u </w:t>
      </w:r>
      <w:r w:rsidR="00B0681D" w:rsidRPr="00A27F8A">
        <w:t xml:space="preserve">document </w:t>
      </w:r>
      <w:r w:rsidR="00B0681D" w:rsidRPr="00A27F8A">
        <w:rPr>
          <w:rFonts w:eastAsia="Arial Unicode MS"/>
          <w:szCs w:val="18"/>
          <w:bdr w:val="nil"/>
        </w:rPr>
        <w:t>UNEP/EA.2/INF/</w:t>
      </w:r>
      <w:r w:rsidR="00F2206B">
        <w:rPr>
          <w:rFonts w:eastAsia="Arial Unicode MS"/>
          <w:szCs w:val="18"/>
          <w:bdr w:val="nil"/>
        </w:rPr>
        <w:t>14</w:t>
      </w:r>
      <w:r w:rsidR="00B0681D" w:rsidRPr="00A27F8A">
        <w:rPr>
          <w:szCs w:val="18"/>
        </w:rPr>
        <w:t xml:space="preserve">. </w:t>
      </w:r>
    </w:p>
    <w:p w:rsidR="00E9272E" w:rsidRPr="00A27F8A" w:rsidRDefault="0082155E" w:rsidP="008E0CA4">
      <w:pPr>
        <w:pStyle w:val="CH1"/>
        <w:rPr>
          <w:lang w:val="fr-FR"/>
        </w:rPr>
      </w:pPr>
      <w:r w:rsidRPr="00A27F8A">
        <w:rPr>
          <w:lang w:val="fr-FR"/>
        </w:rPr>
        <w:tab/>
        <w:t>II.</w:t>
      </w:r>
      <w:r w:rsidRPr="00A27F8A">
        <w:rPr>
          <w:lang w:val="fr-FR"/>
        </w:rPr>
        <w:tab/>
      </w:r>
      <w:r w:rsidR="00E85025" w:rsidRPr="00A27F8A">
        <w:rPr>
          <w:lang w:val="fr-FR"/>
        </w:rPr>
        <w:t>Points saillants des travaux du Groupe</w:t>
      </w:r>
      <w:r w:rsidR="004F02B4" w:rsidRPr="00A27F8A">
        <w:rPr>
          <w:lang w:val="fr-FR"/>
        </w:rPr>
        <w:t xml:space="preserve"> </w:t>
      </w:r>
      <w:r w:rsidR="00A95469" w:rsidRPr="00A27F8A">
        <w:rPr>
          <w:lang w:val="fr-FR"/>
        </w:rPr>
        <w:t xml:space="preserve">de la gestion </w:t>
      </w:r>
      <w:r w:rsidR="00F2206B">
        <w:rPr>
          <w:lang w:val="fr-FR"/>
        </w:rPr>
        <w:br/>
      </w:r>
      <w:r w:rsidR="00A95469" w:rsidRPr="00A27F8A">
        <w:rPr>
          <w:lang w:val="fr-FR"/>
        </w:rPr>
        <w:t>de l’environnement des Nations Unies</w:t>
      </w:r>
      <w:r w:rsidR="00946C10" w:rsidRPr="00A27F8A">
        <w:rPr>
          <w:lang w:val="fr-FR"/>
        </w:rPr>
        <w:t xml:space="preserve"> </w:t>
      </w:r>
    </w:p>
    <w:p w:rsidR="00FF2144" w:rsidRPr="00A27F8A" w:rsidRDefault="005C2EB2" w:rsidP="008E0CA4">
      <w:pPr>
        <w:pStyle w:val="CH2"/>
        <w:rPr>
          <w:sz w:val="20"/>
          <w:szCs w:val="20"/>
          <w:lang w:val="fr-FR"/>
        </w:rPr>
      </w:pPr>
      <w:r w:rsidRPr="00A27F8A">
        <w:rPr>
          <w:lang w:val="fr-FR"/>
        </w:rPr>
        <w:tab/>
      </w:r>
      <w:r w:rsidR="00FF2144" w:rsidRPr="00A27F8A">
        <w:rPr>
          <w:lang w:val="fr-FR"/>
        </w:rPr>
        <w:t>A.</w:t>
      </w:r>
      <w:r w:rsidR="00FF2144" w:rsidRPr="00A27F8A">
        <w:rPr>
          <w:lang w:val="fr-FR"/>
        </w:rPr>
        <w:tab/>
      </w:r>
      <w:r w:rsidR="004F02B4" w:rsidRPr="00A27F8A">
        <w:rPr>
          <w:lang w:val="fr-FR"/>
        </w:rPr>
        <w:t>Introduction</w:t>
      </w:r>
    </w:p>
    <w:p w:rsidR="00FF2144" w:rsidRPr="00A27F8A" w:rsidRDefault="00A95469" w:rsidP="008E0CA4">
      <w:pPr>
        <w:pStyle w:val="Normalnumber"/>
        <w:tabs>
          <w:tab w:val="clear" w:pos="1247"/>
          <w:tab w:val="clear" w:pos="1814"/>
          <w:tab w:val="clear" w:pos="2381"/>
          <w:tab w:val="clear" w:pos="2948"/>
          <w:tab w:val="clear" w:pos="3515"/>
          <w:tab w:val="clear" w:pos="4082"/>
          <w:tab w:val="left" w:pos="624"/>
        </w:tabs>
        <w:ind w:left="1247" w:firstLine="0"/>
      </w:pPr>
      <w:r w:rsidRPr="00A27F8A">
        <w:t>Un des objectifs spécifiques du Groupe de la gestion de l’environnement des Nations Unies est d’aider le PNUE à s’acquitter de ses fonctions</w:t>
      </w:r>
      <w:r w:rsidR="00FF2144" w:rsidRPr="00A27F8A">
        <w:t xml:space="preserve"> </w:t>
      </w:r>
      <w:r w:rsidRPr="00A27F8A">
        <w:t>tendant à favoriser des approches coordonnées des questions d’environnement au sein du système des Nations Unies</w:t>
      </w:r>
      <w:r w:rsidR="00FF2144" w:rsidRPr="00A27F8A">
        <w:t>.</w:t>
      </w:r>
      <w:r w:rsidRPr="00A27F8A">
        <w:t xml:space="preserve"> </w:t>
      </w:r>
      <w:r w:rsidR="00362EAA">
        <w:t>Pour mener à bien</w:t>
      </w:r>
      <w:r w:rsidRPr="00A27F8A">
        <w:t xml:space="preserve"> ses travaux, le secrétariat du Groupe de la gestion de l’environnement a </w:t>
      </w:r>
      <w:r w:rsidR="00362EAA">
        <w:t xml:space="preserve">continué de travailler en </w:t>
      </w:r>
      <w:r w:rsidR="00A27F8A">
        <w:t>étroite collaboration avec les</w:t>
      </w:r>
      <w:r w:rsidRPr="00A27F8A">
        <w:t xml:space="preserve"> secrétariats du</w:t>
      </w:r>
      <w:r w:rsidR="00FF2144" w:rsidRPr="00A27F8A">
        <w:t xml:space="preserve"> </w:t>
      </w:r>
      <w:r w:rsidRPr="00A27F8A">
        <w:rPr>
          <w:rFonts w:eastAsia="MS Mincho"/>
        </w:rPr>
        <w:t xml:space="preserve">Conseil des chefs de secrétariat des organismes des Nations Unies pour la coordination et ses </w:t>
      </w:r>
      <w:r w:rsidR="00B07B1F" w:rsidRPr="00A27F8A">
        <w:rPr>
          <w:rFonts w:eastAsia="MS Mincho"/>
        </w:rPr>
        <w:t xml:space="preserve">organes subsidiaires </w:t>
      </w:r>
      <w:r w:rsidR="00B07B1F" w:rsidRPr="00A27F8A">
        <w:t>afin de veiller à ce que les questions d’environnement soient portées au plus haut niveau de coordination au sein du système des Nations Unies et d’encourager les synergies aux fins</w:t>
      </w:r>
      <w:r w:rsidR="00362EAA">
        <w:t xml:space="preserve"> d’un plus ample</w:t>
      </w:r>
      <w:r w:rsidR="00B07B1F" w:rsidRPr="00A27F8A">
        <w:t xml:space="preserve"> suivi et de la mise en œuvre</w:t>
      </w:r>
      <w:r w:rsidR="00FF2144" w:rsidRPr="00A27F8A">
        <w:t xml:space="preserve">. </w:t>
      </w:r>
    </w:p>
    <w:p w:rsidR="00FF2144" w:rsidRPr="00A27F8A" w:rsidRDefault="00B07B1F"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Les</w:t>
      </w:r>
      <w:r w:rsidR="00FF2144" w:rsidRPr="00A27F8A">
        <w:t xml:space="preserve"> </w:t>
      </w:r>
      <w:r w:rsidRPr="00A27F8A">
        <w:t>hauts responsables du Groupe de la gestion de l’environnement, à leur vingt-et-unième réunion qui s’est tenue en septembre </w:t>
      </w:r>
      <w:r w:rsidR="00FF2144" w:rsidRPr="00A27F8A">
        <w:t xml:space="preserve">2015, </w:t>
      </w:r>
      <w:r w:rsidRPr="00A27F8A">
        <w:t xml:space="preserve">ont réaffirmé que les objectifs de développement durable </w:t>
      </w:r>
      <w:r w:rsidR="00A763CF" w:rsidRPr="00A27F8A">
        <w:t>offraient une occasion unique d’intégrer l’environnement en tant que thème universel intersectoriel aux niveaux mondial et national, tant dans les pays développés que dans les pays en développement</w:t>
      </w:r>
      <w:r w:rsidR="00FF2144" w:rsidRPr="00A27F8A">
        <w:t xml:space="preserve">. </w:t>
      </w:r>
      <w:r w:rsidR="00A763CF" w:rsidRPr="00A27F8A">
        <w:t>Le</w:t>
      </w:r>
      <w:r w:rsidR="00FF2144" w:rsidRPr="00A27F8A">
        <w:t xml:space="preserve"> </w:t>
      </w:r>
      <w:r w:rsidR="00A763CF" w:rsidRPr="00A27F8A">
        <w:t>Groupe de la gestion de l’environnement devrait contribuer à mieux faire comprendre la dimension environnementale des obj</w:t>
      </w:r>
      <w:r w:rsidR="00A93646" w:rsidRPr="00A27F8A">
        <w:t>ectifs de développement durable</w:t>
      </w:r>
      <w:r w:rsidR="00A763CF" w:rsidRPr="00A27F8A">
        <w:t xml:space="preserve"> en aidant ses membres dans leurs efforts visant à</w:t>
      </w:r>
      <w:r w:rsidR="00A93646" w:rsidRPr="00A27F8A">
        <w:t xml:space="preserve"> mettre leurs institutions, leurs programmes et leurs politiques en conformité avec le</w:t>
      </w:r>
      <w:r w:rsidR="00A763CF" w:rsidRPr="00A27F8A">
        <w:t xml:space="preserve"> </w:t>
      </w:r>
      <w:r w:rsidR="00A93646" w:rsidRPr="00A27F8A">
        <w:rPr>
          <w:rFonts w:eastAsia="MS Mincho"/>
        </w:rPr>
        <w:t>Programme de développement durable à l’horizon 2030</w:t>
      </w:r>
      <w:r w:rsidR="00FF2144" w:rsidRPr="00A27F8A">
        <w:t>.</w:t>
      </w:r>
      <w:r w:rsidR="00A93646" w:rsidRPr="00A27F8A">
        <w:t xml:space="preserve"> En outre, les hauts responsables ont déclaré que le Groupe de la gestion de l’environnement pourrait aider à</w:t>
      </w:r>
      <w:r w:rsidR="00BD7A91" w:rsidRPr="00A27F8A">
        <w:t xml:space="preserve"> donner un aperçu des progrès accomplis par le système des Nations Unies à cet égard</w:t>
      </w:r>
      <w:r w:rsidR="00FF2144" w:rsidRPr="00A27F8A">
        <w:t>.</w:t>
      </w:r>
    </w:p>
    <w:p w:rsidR="00FF2144" w:rsidRPr="00A27F8A" w:rsidRDefault="004F02B4" w:rsidP="008E0CA4">
      <w:pPr>
        <w:pStyle w:val="CH2"/>
        <w:rPr>
          <w:lang w:val="fr-FR"/>
        </w:rPr>
      </w:pPr>
      <w:r w:rsidRPr="00A27F8A">
        <w:rPr>
          <w:lang w:val="fr-FR"/>
        </w:rPr>
        <w:tab/>
        <w:t>B.</w:t>
      </w:r>
      <w:r w:rsidRPr="00A27F8A">
        <w:rPr>
          <w:lang w:val="fr-FR"/>
        </w:rPr>
        <w:tab/>
      </w:r>
      <w:r w:rsidR="00BD7A91" w:rsidRPr="00A27F8A">
        <w:rPr>
          <w:lang w:val="fr-FR"/>
        </w:rPr>
        <w:t xml:space="preserve">Groupes </w:t>
      </w:r>
      <w:r w:rsidR="00362EAA">
        <w:rPr>
          <w:lang w:val="fr-FR"/>
        </w:rPr>
        <w:t>chargés de questions thématiques</w:t>
      </w:r>
    </w:p>
    <w:p w:rsidR="00FF2144" w:rsidRPr="00A27F8A" w:rsidRDefault="00BD7A91"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w:t>
      </w:r>
      <w:r w:rsidR="00F66590" w:rsidRPr="00A27F8A">
        <w:t xml:space="preserve"> </w:t>
      </w:r>
      <w:hyperlink r:id="rId12" w:history="1">
        <w:r w:rsidR="00064551">
          <w:rPr>
            <w:rStyle w:val="Hyperlink"/>
            <w:color w:val="auto"/>
            <w:u w:val="none"/>
          </w:rPr>
          <w:t>G</w:t>
        </w:r>
        <w:r w:rsidRPr="00A27F8A">
          <w:rPr>
            <w:rStyle w:val="Hyperlink"/>
            <w:color w:val="auto"/>
            <w:u w:val="none"/>
          </w:rPr>
          <w:t xml:space="preserve">roupe de gestion thématique sur la gestion rationnelle des produits chimiques et des déchets </w:t>
        </w:r>
        <w:r w:rsidR="0082068A" w:rsidRPr="00A27F8A">
          <w:t>travaille depuis janvier 2014 à l’élaboration d’une contribution du système des Nations Unies à l’appui de l’objectif d’une gestion rationnelle des</w:t>
        </w:r>
        <w:r w:rsidR="00362EAA">
          <w:t xml:space="preserve"> produits chimiques fixé pour </w:t>
        </w:r>
        <w:r w:rsidR="0082068A" w:rsidRPr="00A27F8A">
          <w:t>2020</w:t>
        </w:r>
      </w:hyperlink>
      <w:r w:rsidR="00FF2144" w:rsidRPr="00A27F8A">
        <w:t xml:space="preserve">. </w:t>
      </w:r>
      <w:r w:rsidRPr="00A27F8A">
        <w:t>Le</w:t>
      </w:r>
      <w:r w:rsidR="004E2B37" w:rsidRPr="00A27F8A">
        <w:t xml:space="preserve"> </w:t>
      </w:r>
      <w:r w:rsidRPr="00A27F8A">
        <w:t xml:space="preserve">Groupe de la gestion de l’environnement, en étroite coopération avec le Programme interorganisations pour la gestion rationnelle des produits chimiques, </w:t>
      </w:r>
      <w:r w:rsidR="002309AD" w:rsidRPr="00A27F8A">
        <w:t>a publié un rapport de synthèse intitulé « </w:t>
      </w:r>
      <w:r w:rsidR="004E2B37" w:rsidRPr="00A27F8A">
        <w:t>United Nations</w:t>
      </w:r>
      <w:r w:rsidR="00FF2144" w:rsidRPr="00A27F8A">
        <w:t xml:space="preserve"> and </w:t>
      </w:r>
      <w:r w:rsidR="004E2B37" w:rsidRPr="00A27F8A">
        <w:t>s</w:t>
      </w:r>
      <w:r w:rsidR="00FF2144" w:rsidRPr="00A27F8A">
        <w:t xml:space="preserve">ound </w:t>
      </w:r>
      <w:r w:rsidR="004E2B37" w:rsidRPr="00A27F8A">
        <w:t>c</w:t>
      </w:r>
      <w:r w:rsidR="00FF2144" w:rsidRPr="00A27F8A">
        <w:t xml:space="preserve">hemicals </w:t>
      </w:r>
      <w:r w:rsidR="004E2B37" w:rsidRPr="00A27F8A">
        <w:t>m</w:t>
      </w:r>
      <w:r w:rsidR="00FF2144" w:rsidRPr="00A27F8A">
        <w:t xml:space="preserve">anagement: </w:t>
      </w:r>
      <w:r w:rsidR="004E2B37" w:rsidRPr="00A27F8A">
        <w:t>c</w:t>
      </w:r>
      <w:r w:rsidR="00FF2144" w:rsidRPr="00A27F8A">
        <w:t xml:space="preserve">oordinating delivery for </w:t>
      </w:r>
      <w:r w:rsidR="000F5D08" w:rsidRPr="00A27F8A">
        <w:t>M</w:t>
      </w:r>
      <w:r w:rsidR="00FF2144" w:rsidRPr="00A27F8A">
        <w:t>ember States and sustainable development</w:t>
      </w:r>
      <w:r w:rsidR="002309AD" w:rsidRPr="00A27F8A">
        <w:t> »</w:t>
      </w:r>
      <w:r w:rsidR="00FF2144" w:rsidRPr="00A27F8A">
        <w:t>.</w:t>
      </w:r>
      <w:r w:rsidR="004A573E" w:rsidRPr="00A27F8A">
        <w:t xml:space="preserve"> </w:t>
      </w:r>
      <w:r w:rsidR="002309AD" w:rsidRPr="00A27F8A">
        <w:t>Le rapport</w:t>
      </w:r>
      <w:r w:rsidR="00FF2144" w:rsidRPr="00A27F8A">
        <w:t xml:space="preserve"> </w:t>
      </w:r>
      <w:r w:rsidR="002309AD" w:rsidRPr="00A27F8A">
        <w:t>souligne l’importance d’une gestion rationnelle des produits chimiques dans le contexte plus large du développement durable</w:t>
      </w:r>
      <w:r w:rsidR="00FF2144" w:rsidRPr="00A27F8A">
        <w:t>,</w:t>
      </w:r>
      <w:r w:rsidR="002309AD" w:rsidRPr="00A27F8A">
        <w:t xml:space="preserve"> </w:t>
      </w:r>
      <w:r w:rsidR="00D23E35" w:rsidRPr="00A27F8A">
        <w:t xml:space="preserve">présente les progrès qui ont déjà été accomplis, formule des recommandations sur les </w:t>
      </w:r>
      <w:r w:rsidR="00362EAA">
        <w:t xml:space="preserve">moyens d’établir </w:t>
      </w:r>
      <w:r w:rsidR="00D23E35" w:rsidRPr="00A27F8A">
        <w:t>des synergies et indique la façon dont le système des Nations Unies peut aider davantage les États membres</w:t>
      </w:r>
      <w:r w:rsidR="00FF2144" w:rsidRPr="00A27F8A">
        <w:t xml:space="preserve"> </w:t>
      </w:r>
      <w:r w:rsidR="00D23E35" w:rsidRPr="00A27F8A">
        <w:t xml:space="preserve">à </w:t>
      </w:r>
      <w:r w:rsidR="00D938E0">
        <w:t>parvenir à</w:t>
      </w:r>
      <w:r w:rsidR="00D23E35" w:rsidRPr="00A27F8A">
        <w:t xml:space="preserve"> une gestion rationnelle des produits chimiques</w:t>
      </w:r>
      <w:r w:rsidR="00FF2144" w:rsidRPr="00A27F8A">
        <w:t xml:space="preserve">. </w:t>
      </w:r>
      <w:r w:rsidR="00D23E35" w:rsidRPr="00A27F8A">
        <w:t>Il contient</w:t>
      </w:r>
      <w:r w:rsidR="00FF2144" w:rsidRPr="00A27F8A">
        <w:t xml:space="preserve"> </w:t>
      </w:r>
      <w:r w:rsidR="00D23E35" w:rsidRPr="00A27F8A">
        <w:t>une déclaration commune des</w:t>
      </w:r>
      <w:r w:rsidR="00FF2144" w:rsidRPr="00A27F8A">
        <w:t xml:space="preserve"> </w:t>
      </w:r>
      <w:r w:rsidR="00D23E35" w:rsidRPr="00A27F8A">
        <w:rPr>
          <w:color w:val="000000"/>
        </w:rPr>
        <w:t xml:space="preserve">chefs </w:t>
      </w:r>
      <w:r w:rsidR="00C12B54" w:rsidRPr="00A27F8A">
        <w:rPr>
          <w:color w:val="000000"/>
        </w:rPr>
        <w:t>de secrétariat d</w:t>
      </w:r>
      <w:r w:rsidR="007E5A49" w:rsidRPr="00A27F8A">
        <w:rPr>
          <w:color w:val="000000"/>
        </w:rPr>
        <w:t xml:space="preserve">es </w:t>
      </w:r>
      <w:r w:rsidR="00C12B54" w:rsidRPr="00A27F8A">
        <w:rPr>
          <w:color w:val="000000"/>
        </w:rPr>
        <w:t>organismes</w:t>
      </w:r>
      <w:r w:rsidR="00FF2144" w:rsidRPr="00A27F8A">
        <w:rPr>
          <w:color w:val="000000"/>
        </w:rPr>
        <w:t xml:space="preserve"> </w:t>
      </w:r>
      <w:hyperlink r:id="rId13" w:history="1">
        <w:r w:rsidR="00C12B54" w:rsidRPr="00A27F8A">
          <w:rPr>
            <w:rStyle w:val="Hyperlink"/>
            <w:color w:val="000000"/>
            <w:u w:val="none"/>
          </w:rPr>
          <w:t>membres du</w:t>
        </w:r>
        <w:r w:rsidR="00FF2144" w:rsidRPr="00A27F8A">
          <w:rPr>
            <w:rStyle w:val="Hyperlink"/>
            <w:color w:val="000000"/>
            <w:u w:val="none"/>
          </w:rPr>
          <w:t xml:space="preserve"> </w:t>
        </w:r>
        <w:r w:rsidR="00C12B54" w:rsidRPr="00A27F8A">
          <w:t>Groupe de la gestion de l’environnement</w:t>
        </w:r>
        <w:r w:rsidR="00C12B54" w:rsidRPr="00A27F8A">
          <w:rPr>
            <w:rStyle w:val="Hyperlink"/>
            <w:color w:val="000000"/>
            <w:u w:val="none"/>
          </w:rPr>
          <w:t xml:space="preserve"> </w:t>
        </w:r>
      </w:hyperlink>
      <w:r w:rsidR="00C12B54" w:rsidRPr="00A27F8A">
        <w:t xml:space="preserve">et un engagement </w:t>
      </w:r>
      <w:r w:rsidR="007E5A49" w:rsidRPr="00A27F8A">
        <w:t>à l’échelle</w:t>
      </w:r>
      <w:r w:rsidR="00C12B54" w:rsidRPr="00A27F8A">
        <w:t xml:space="preserve"> du système de </w:t>
      </w:r>
      <w:r w:rsidR="00C12B54" w:rsidRPr="00A27F8A">
        <w:lastRenderedPageBreak/>
        <w:t>continuer à promouvoir la gestion rationnelle des produits chimiques et</w:t>
      </w:r>
      <w:r w:rsidR="007E5A49" w:rsidRPr="00A27F8A">
        <w:t xml:space="preserve"> à accroître l’importance qui est accordée à cette dernière au sein du système des Nations Unies</w:t>
      </w:r>
      <w:r w:rsidR="00FF2144" w:rsidRPr="00A27F8A">
        <w:t>.</w:t>
      </w:r>
      <w:r w:rsidR="00DD5FA6" w:rsidRPr="00A27F8A">
        <w:t xml:space="preserve"> </w:t>
      </w:r>
    </w:p>
    <w:p w:rsidR="00FF2144" w:rsidRPr="00A27F8A" w:rsidRDefault="007E5A49" w:rsidP="008E0CA4">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A27F8A">
        <w:t>Le PNUE a informé</w:t>
      </w:r>
      <w:r w:rsidR="00362EAA">
        <w:t xml:space="preserve"> les États membres des progrès accomplis lors de</w:t>
      </w:r>
      <w:r w:rsidRPr="00A27F8A">
        <w:t xml:space="preserve"> la deuxième réunion du</w:t>
      </w:r>
      <w:r w:rsidR="00FF2144" w:rsidRPr="00A27F8A">
        <w:t xml:space="preserve"> </w:t>
      </w:r>
      <w:r w:rsidRPr="00A27F8A">
        <w:t>Groupe de travail à composition non limitée de l’Approche stratégique de la gestion internationale des produits chimiques</w:t>
      </w:r>
      <w:r w:rsidR="00FF2144" w:rsidRPr="00A27F8A">
        <w:t xml:space="preserve">, </w:t>
      </w:r>
      <w:r w:rsidR="00362EAA">
        <w:t>de</w:t>
      </w:r>
      <w:r w:rsidRPr="00A27F8A">
        <w:t xml:space="preserve"> la quatrième session</w:t>
      </w:r>
      <w:r w:rsidR="00F66590" w:rsidRPr="00A27F8A">
        <w:t xml:space="preserve"> </w:t>
      </w:r>
      <w:r w:rsidRPr="00A27F8A">
        <w:t>de la Conférence internationale sur la gesti</w:t>
      </w:r>
      <w:r w:rsidR="00362EAA">
        <w:t>on des produits chimiques et des</w:t>
      </w:r>
      <w:r w:rsidRPr="00A27F8A">
        <w:t xml:space="preserve"> réunions de 2015 des conférences des Parties aux conventions de</w:t>
      </w:r>
      <w:r w:rsidR="00FF2144" w:rsidRPr="00A27F8A">
        <w:t xml:space="preserve"> </w:t>
      </w:r>
      <w:r w:rsidRPr="00A27F8A">
        <w:t>Bâle</w:t>
      </w:r>
      <w:r w:rsidR="00F66590" w:rsidRPr="00A27F8A">
        <w:t xml:space="preserve"> </w:t>
      </w:r>
      <w:r w:rsidRPr="00A27F8A">
        <w:rPr>
          <w:bCs/>
        </w:rPr>
        <w:t>sur le contrôle des mouvements transfrontières de déchets dangereux et de leur élimination</w:t>
      </w:r>
      <w:r w:rsidR="00FF2144" w:rsidRPr="00A27F8A">
        <w:t xml:space="preserve">, </w:t>
      </w:r>
      <w:r w:rsidRPr="00A27F8A">
        <w:t>de</w:t>
      </w:r>
      <w:r w:rsidR="007D29AD" w:rsidRPr="00A27F8A">
        <w:t xml:space="preserve"> </w:t>
      </w:r>
      <w:r w:rsidR="00FF2144" w:rsidRPr="00A27F8A">
        <w:t xml:space="preserve">Rotterdam </w:t>
      </w:r>
      <w:r w:rsidRPr="00A27F8A">
        <w:rPr>
          <w:bCs/>
        </w:rPr>
        <w:t>sur la procédure de consentement préalable en connaissance de cause applicable à certains produits chimiques et pesticid</w:t>
      </w:r>
      <w:r w:rsidR="0082068A" w:rsidRPr="00A27F8A">
        <w:rPr>
          <w:bCs/>
        </w:rPr>
        <w:t>es dangereux qui font l’</w:t>
      </w:r>
      <w:r w:rsidRPr="00A27F8A">
        <w:rPr>
          <w:bCs/>
        </w:rPr>
        <w:t xml:space="preserve">objet </w:t>
      </w:r>
      <w:r w:rsidR="0082068A" w:rsidRPr="00A27F8A">
        <w:rPr>
          <w:bCs/>
        </w:rPr>
        <w:t>d’un</w:t>
      </w:r>
      <w:r w:rsidRPr="00A27F8A">
        <w:rPr>
          <w:bCs/>
        </w:rPr>
        <w:t xml:space="preserve"> commerce international </w:t>
      </w:r>
      <w:r w:rsidR="0082068A" w:rsidRPr="00A27F8A">
        <w:t>et de</w:t>
      </w:r>
      <w:r w:rsidR="007D29AD" w:rsidRPr="00A27F8A">
        <w:t xml:space="preserve"> </w:t>
      </w:r>
      <w:r w:rsidR="00FF2144" w:rsidRPr="00A27F8A">
        <w:t>Stockholm</w:t>
      </w:r>
      <w:r w:rsidR="0082068A" w:rsidRPr="00A27F8A">
        <w:t xml:space="preserve"> sur les polluants organiques persistants</w:t>
      </w:r>
      <w:r w:rsidR="004E0EF9">
        <w:rPr>
          <w:rStyle w:val="FootnoteReference"/>
        </w:rPr>
        <w:footnoteReference w:id="6"/>
      </w:r>
      <w:r w:rsidR="00362EAA">
        <w:t>.</w:t>
      </w:r>
      <w:r w:rsidR="00FF2144" w:rsidRPr="00A27F8A">
        <w:t xml:space="preserve"> </w:t>
      </w:r>
      <w:r w:rsidR="004572E0" w:rsidRPr="00A27F8A">
        <w:t>Parmi l</w:t>
      </w:r>
      <w:r w:rsidR="0082068A" w:rsidRPr="00A27F8A">
        <w:t>es résultats du</w:t>
      </w:r>
      <w:r w:rsidR="00FF2144" w:rsidRPr="00A27F8A">
        <w:t xml:space="preserve"> </w:t>
      </w:r>
      <w:r w:rsidR="0082068A" w:rsidRPr="00A27F8A">
        <w:t xml:space="preserve">groupe de gestion thématique </w:t>
      </w:r>
      <w:r w:rsidR="004572E0" w:rsidRPr="00A27F8A">
        <w:t>figurait</w:t>
      </w:r>
      <w:r w:rsidR="0082068A" w:rsidRPr="00A27F8A">
        <w:t xml:space="preserve"> </w:t>
      </w:r>
      <w:r w:rsidR="00362EAA">
        <w:t xml:space="preserve">l’élaboration d’une </w:t>
      </w:r>
      <w:r w:rsidR="0082068A" w:rsidRPr="00A27F8A">
        <w:t xml:space="preserve">série </w:t>
      </w:r>
      <w:hyperlink r:id="rId14" w:history="1">
        <w:r w:rsidR="00362EAA">
          <w:rPr>
            <w:rStyle w:val="Hyperlink"/>
            <w:color w:val="000000"/>
            <w:u w:val="none"/>
          </w:rPr>
          <w:t xml:space="preserve">de cibles et </w:t>
        </w:r>
        <w:r w:rsidR="0082068A" w:rsidRPr="00A27F8A">
          <w:rPr>
            <w:rStyle w:val="Hyperlink"/>
            <w:color w:val="000000"/>
            <w:u w:val="none"/>
          </w:rPr>
          <w:t>indicateurs</w:t>
        </w:r>
      </w:hyperlink>
      <w:r w:rsidR="0082068A" w:rsidRPr="00A27F8A">
        <w:rPr>
          <w:color w:val="000000"/>
        </w:rPr>
        <w:t xml:space="preserve"> composites clés aux fins de la gestion rationnelle des produits chimiques</w:t>
      </w:r>
      <w:r w:rsidR="004572E0" w:rsidRPr="00A27F8A">
        <w:rPr>
          <w:color w:val="000000"/>
        </w:rPr>
        <w:t xml:space="preserve"> et des déchets dangereux</w:t>
      </w:r>
      <w:r w:rsidR="0082068A" w:rsidRPr="00A27F8A">
        <w:rPr>
          <w:color w:val="000000"/>
        </w:rPr>
        <w:t xml:space="preserve">, </w:t>
      </w:r>
      <w:r w:rsidR="004572E0" w:rsidRPr="00A27F8A">
        <w:rPr>
          <w:color w:val="000000"/>
        </w:rPr>
        <w:t>constituant une contribution commune du système des Nations Unies aux travaux du</w:t>
      </w:r>
      <w:r w:rsidR="00F66590" w:rsidRPr="00A27F8A">
        <w:rPr>
          <w:color w:val="000000"/>
        </w:rPr>
        <w:t xml:space="preserve"> </w:t>
      </w:r>
      <w:r w:rsidR="00BA23BB" w:rsidRPr="00A27F8A">
        <w:rPr>
          <w:color w:val="000000"/>
        </w:rPr>
        <w:t xml:space="preserve">Groupe de travail ouvert sur </w:t>
      </w:r>
      <w:r w:rsidR="00DC2E31" w:rsidRPr="00A27F8A">
        <w:rPr>
          <w:color w:val="000000"/>
        </w:rPr>
        <w:t>le</w:t>
      </w:r>
      <w:r w:rsidR="00BA23BB" w:rsidRPr="00A27F8A">
        <w:rPr>
          <w:color w:val="000000"/>
        </w:rPr>
        <w:t xml:space="preserve"> développement durable concernant</w:t>
      </w:r>
      <w:r w:rsidR="00F66590" w:rsidRPr="00A27F8A">
        <w:rPr>
          <w:color w:val="000000"/>
        </w:rPr>
        <w:t xml:space="preserve"> </w:t>
      </w:r>
      <w:r w:rsidR="00BA23BB" w:rsidRPr="00A27F8A">
        <w:rPr>
          <w:color w:val="000000"/>
        </w:rPr>
        <w:t>le programme de développement pour l’après-2015</w:t>
      </w:r>
      <w:r w:rsidR="00FF2144" w:rsidRPr="00A27F8A">
        <w:rPr>
          <w:color w:val="000000"/>
        </w:rPr>
        <w:t>.</w:t>
      </w:r>
    </w:p>
    <w:p w:rsidR="00FF2144" w:rsidRPr="00A27F8A" w:rsidRDefault="00BA23BB" w:rsidP="008E0CA4">
      <w:pPr>
        <w:pStyle w:val="Normalnumber"/>
        <w:tabs>
          <w:tab w:val="clear" w:pos="1247"/>
          <w:tab w:val="clear" w:pos="1814"/>
          <w:tab w:val="clear" w:pos="2381"/>
          <w:tab w:val="clear" w:pos="2948"/>
          <w:tab w:val="clear" w:pos="3515"/>
          <w:tab w:val="clear" w:pos="4082"/>
          <w:tab w:val="left" w:pos="624"/>
        </w:tabs>
        <w:ind w:left="1247" w:firstLine="0"/>
      </w:pPr>
      <w:r w:rsidRPr="00A27F8A">
        <w:rPr>
          <w:color w:val="000000"/>
        </w:rPr>
        <w:t>Le</w:t>
      </w:r>
      <w:r w:rsidR="00FF2144" w:rsidRPr="00A27F8A">
        <w:rPr>
          <w:color w:val="000000"/>
        </w:rPr>
        <w:t xml:space="preserve"> </w:t>
      </w:r>
      <w:hyperlink r:id="rId15" w:history="1">
        <w:r w:rsidRPr="00A27F8A">
          <w:rPr>
            <w:rStyle w:val="Hyperlink"/>
            <w:color w:val="000000"/>
            <w:u w:val="none"/>
          </w:rPr>
          <w:t xml:space="preserve">Processus consultatif sur la viabilité environnementale et sociale </w:t>
        </w:r>
      </w:hyperlink>
      <w:r w:rsidRPr="00A27F8A">
        <w:t>a poursuivi ses travaux visant à établir</w:t>
      </w:r>
      <w:r w:rsidR="00F66590" w:rsidRPr="00A27F8A">
        <w:rPr>
          <w:color w:val="000000"/>
        </w:rPr>
        <w:t xml:space="preserve"> </w:t>
      </w:r>
      <w:r w:rsidRPr="00A27F8A">
        <w:rPr>
          <w:color w:val="000000"/>
        </w:rPr>
        <w:t xml:space="preserve">un </w:t>
      </w:r>
      <w:hyperlink r:id="rId16" w:history="1">
        <w:r w:rsidR="006E24D9" w:rsidRPr="00A27F8A">
          <w:rPr>
            <w:rStyle w:val="Hyperlink"/>
            <w:color w:val="000000"/>
            <w:u w:val="none"/>
          </w:rPr>
          <w:t xml:space="preserve">cadre pour </w:t>
        </w:r>
        <w:r w:rsidR="003A1D32">
          <w:rPr>
            <w:rStyle w:val="Hyperlink"/>
            <w:color w:val="000000"/>
            <w:u w:val="none"/>
          </w:rPr>
          <w:t xml:space="preserve">favoriser </w:t>
        </w:r>
        <w:r w:rsidR="006E24D9" w:rsidRPr="00A27F8A">
          <w:rPr>
            <w:rStyle w:val="Hyperlink"/>
            <w:color w:val="000000"/>
            <w:u w:val="none"/>
          </w:rPr>
          <w:t>la viabilité environnementale et soci</w:t>
        </w:r>
        <w:r w:rsidR="00A27F8A">
          <w:rPr>
            <w:rStyle w:val="Hyperlink"/>
            <w:color w:val="000000"/>
            <w:u w:val="none"/>
          </w:rPr>
          <w:t xml:space="preserve">ale </w:t>
        </w:r>
        <w:r w:rsidR="003A1D32">
          <w:rPr>
            <w:rStyle w:val="Hyperlink"/>
            <w:color w:val="000000"/>
            <w:u w:val="none"/>
          </w:rPr>
          <w:t>au sein du</w:t>
        </w:r>
        <w:r w:rsidR="00A27F8A">
          <w:rPr>
            <w:rStyle w:val="Hyperlink"/>
            <w:color w:val="000000"/>
            <w:u w:val="none"/>
          </w:rPr>
          <w:t xml:space="preserve"> système des Nations </w:t>
        </w:r>
        <w:r w:rsidR="006E24D9" w:rsidRPr="00A27F8A">
          <w:rPr>
            <w:rStyle w:val="Hyperlink"/>
            <w:color w:val="000000"/>
            <w:u w:val="none"/>
          </w:rPr>
          <w:t>Unies</w:t>
        </w:r>
      </w:hyperlink>
      <w:r w:rsidR="000F5D08" w:rsidRPr="00A27F8A">
        <w:rPr>
          <w:rStyle w:val="Hyperlink"/>
          <w:color w:val="000000"/>
          <w:u w:val="none"/>
        </w:rPr>
        <w:t>,</w:t>
      </w:r>
      <w:r w:rsidR="00FF2144" w:rsidRPr="00A27F8A">
        <w:rPr>
          <w:color w:val="000000"/>
        </w:rPr>
        <w:t xml:space="preserve"> </w:t>
      </w:r>
      <w:r w:rsidR="003A1D32">
        <w:rPr>
          <w:color w:val="000000"/>
        </w:rPr>
        <w:t>en pilotant sa mise en œuvre</w:t>
      </w:r>
      <w:r w:rsidR="00FF2144" w:rsidRPr="00A27F8A">
        <w:rPr>
          <w:color w:val="000000"/>
        </w:rPr>
        <w:t xml:space="preserve">. </w:t>
      </w:r>
      <w:r w:rsidR="006E24D9" w:rsidRPr="00A27F8A">
        <w:rPr>
          <w:color w:val="000000"/>
        </w:rPr>
        <w:t>Le processus pilote, lancé en mars </w:t>
      </w:r>
      <w:r w:rsidR="00FF2144" w:rsidRPr="00A27F8A">
        <w:rPr>
          <w:color w:val="000000"/>
        </w:rPr>
        <w:t>2015</w:t>
      </w:r>
      <w:r w:rsidR="006C3136" w:rsidRPr="00A27F8A">
        <w:rPr>
          <w:color w:val="000000"/>
        </w:rPr>
        <w:t>,</w:t>
      </w:r>
      <w:r w:rsidR="00FF2144" w:rsidRPr="00A27F8A">
        <w:rPr>
          <w:color w:val="000000"/>
        </w:rPr>
        <w:t xml:space="preserve"> </w:t>
      </w:r>
      <w:r w:rsidR="006E24D9" w:rsidRPr="00A27F8A">
        <w:rPr>
          <w:color w:val="000000"/>
        </w:rPr>
        <w:t xml:space="preserve">a été exécuté </w:t>
      </w:r>
      <w:r w:rsidR="006632EB" w:rsidRPr="00A27F8A">
        <w:rPr>
          <w:color w:val="000000"/>
        </w:rPr>
        <w:t>à titre</w:t>
      </w:r>
      <w:r w:rsidR="006E24D9" w:rsidRPr="00A27F8A">
        <w:rPr>
          <w:color w:val="000000"/>
        </w:rPr>
        <w:t xml:space="preserve"> volontaire par sept entités des Nations Unies </w:t>
      </w:r>
      <w:r w:rsidR="006C3136" w:rsidRPr="00A27F8A">
        <w:t xml:space="preserve">: </w:t>
      </w:r>
      <w:r w:rsidR="006632EB" w:rsidRPr="00A27F8A">
        <w:t>le</w:t>
      </w:r>
      <w:r w:rsidR="006C3136" w:rsidRPr="00A27F8A">
        <w:t xml:space="preserve"> </w:t>
      </w:r>
      <w:r w:rsidR="006632EB" w:rsidRPr="00A27F8A">
        <w:t>Fonds international de développement agricole</w:t>
      </w:r>
      <w:r w:rsidR="006C3136" w:rsidRPr="00A27F8A">
        <w:t xml:space="preserve">, </w:t>
      </w:r>
      <w:r w:rsidR="006632EB" w:rsidRPr="00A27F8A">
        <w:t>le PNUE</w:t>
      </w:r>
      <w:r w:rsidR="00FF2144" w:rsidRPr="00A27F8A">
        <w:t xml:space="preserve">, </w:t>
      </w:r>
      <w:r w:rsidR="006632EB" w:rsidRPr="00A27F8A">
        <w:t>l’Organisation des Nations Unies pour le développement industriel</w:t>
      </w:r>
      <w:r w:rsidR="00FF2144" w:rsidRPr="00A27F8A">
        <w:t xml:space="preserve">, </w:t>
      </w:r>
      <w:r w:rsidR="003A1D32">
        <w:t>l’Entité des Nations Unies pour l’égalité des sexes et l’autonomisation des femmes</w:t>
      </w:r>
      <w:r w:rsidR="006C3136" w:rsidRPr="00A27F8A">
        <w:t xml:space="preserve">, </w:t>
      </w:r>
      <w:r w:rsidR="006632EB" w:rsidRPr="00A27F8A">
        <w:t>le</w:t>
      </w:r>
      <w:r w:rsidR="006C3136" w:rsidRPr="00A27F8A">
        <w:t xml:space="preserve"> </w:t>
      </w:r>
      <w:r w:rsidR="006632EB" w:rsidRPr="00A27F8A">
        <w:t>Programme alimentaire mondial</w:t>
      </w:r>
      <w:r w:rsidR="006C3136" w:rsidRPr="00A27F8A">
        <w:t xml:space="preserve">, </w:t>
      </w:r>
      <w:r w:rsidR="006632EB" w:rsidRPr="00A27F8A">
        <w:t>l’Organisation mondiale de la Santé et</w:t>
      </w:r>
      <w:r w:rsidR="006C3136" w:rsidRPr="00A27F8A">
        <w:t xml:space="preserve"> </w:t>
      </w:r>
      <w:r w:rsidR="006632EB" w:rsidRPr="00A27F8A">
        <w:t>le</w:t>
      </w:r>
      <w:r w:rsidR="006C3136" w:rsidRPr="00A27F8A">
        <w:t xml:space="preserve"> </w:t>
      </w:r>
      <w:r w:rsidR="006632EB" w:rsidRPr="00A27F8A">
        <w:t>Bureau des Nations Unies pour les services d’appui aux projets</w:t>
      </w:r>
      <w:r w:rsidR="00FF2144" w:rsidRPr="00A27F8A">
        <w:t xml:space="preserve">. </w:t>
      </w:r>
      <w:r w:rsidR="006632EB" w:rsidRPr="00A27F8A">
        <w:t>Les objectifs étaient de partager les enseignements tirés, de comprendre les implication</w:t>
      </w:r>
      <w:r w:rsidR="003A1D32">
        <w:t xml:space="preserve">s pratiques de la mise en œuvre </w:t>
      </w:r>
      <w:r w:rsidR="006632EB" w:rsidRPr="00A27F8A">
        <w:t>du cadre et enfin d’améliorer le cadre sur la base de l’expérience acquise durant la phase pilote</w:t>
      </w:r>
      <w:r w:rsidR="00FF2144" w:rsidRPr="00A27F8A">
        <w:t>.</w:t>
      </w:r>
    </w:p>
    <w:p w:rsidR="00FF2144" w:rsidRPr="00A27F8A" w:rsidRDefault="006632EB" w:rsidP="008E0CA4">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A27F8A">
        <w:t xml:space="preserve">Le processus a aidé les entités des Nations Unies à prendre en compte les </w:t>
      </w:r>
      <w:r w:rsidR="000715DC" w:rsidRPr="00A27F8A">
        <w:t xml:space="preserve">différents </w:t>
      </w:r>
      <w:r w:rsidRPr="00A27F8A">
        <w:t xml:space="preserve">aspects de la viabilité environnementale et sociale dans leurs politiques, leurs programmes et leurs </w:t>
      </w:r>
      <w:r w:rsidR="00957745" w:rsidRPr="00A27F8A">
        <w:t>opérations</w:t>
      </w:r>
      <w:r w:rsidR="00A422AC" w:rsidRPr="00A27F8A">
        <w:t>.</w:t>
      </w:r>
      <w:r w:rsidR="00FF2144" w:rsidRPr="00A27F8A">
        <w:t xml:space="preserve"> </w:t>
      </w:r>
      <w:r w:rsidR="000715DC" w:rsidRPr="00A27F8A">
        <w:t>Alors que la plupart des initiatives concernant la viabilité sont axées sur la viabilité environnementale, la viabilité sociale doit être mieux comprise</w:t>
      </w:r>
      <w:r w:rsidR="00FF2144" w:rsidRPr="00A27F8A">
        <w:t xml:space="preserve">. </w:t>
      </w:r>
      <w:r w:rsidR="000715DC" w:rsidRPr="00A27F8A">
        <w:t>Il exi</w:t>
      </w:r>
      <w:r w:rsidR="0077618A">
        <w:t>ste une forte volonté de tirer d</w:t>
      </w:r>
      <w:r w:rsidR="000715DC" w:rsidRPr="00A27F8A">
        <w:t>es enseignements de l’expérience et de renforcer</w:t>
      </w:r>
      <w:r w:rsidR="00FF2144" w:rsidRPr="00A27F8A">
        <w:t xml:space="preserve"> </w:t>
      </w:r>
      <w:r w:rsidR="000715DC" w:rsidRPr="00A27F8A">
        <w:t xml:space="preserve">l’apprentissage commun </w:t>
      </w:r>
      <w:r w:rsidR="005220CC" w:rsidRPr="00A27F8A">
        <w:t>au sein du système des Nations Unies, tout en reconnaissant que les organismes ont besoin d’approches</w:t>
      </w:r>
      <w:r w:rsidR="005C0BF7" w:rsidRPr="00A27F8A">
        <w:t xml:space="preserve"> </w:t>
      </w:r>
      <w:r w:rsidR="005220CC" w:rsidRPr="00A27F8A">
        <w:t xml:space="preserve">adaptées pour mettre en </w:t>
      </w:r>
      <w:r w:rsidR="003A1D32">
        <w:t xml:space="preserve">œuvre </w:t>
      </w:r>
      <w:r w:rsidR="005220CC" w:rsidRPr="00A27F8A">
        <w:t>le cadre. Le processus pilote offre une occasion de définir une base commune pour le renforcement de la cohérence des politiques</w:t>
      </w:r>
      <w:r w:rsidR="00FF2144" w:rsidRPr="00A27F8A">
        <w:t xml:space="preserve">. </w:t>
      </w:r>
      <w:r w:rsidR="005220CC" w:rsidRPr="00A27F8A">
        <w:t xml:space="preserve">Les hauts responsables du Groupe de la gestion de l’environnement ont prié le Processus consultatif de poursuivre ses travaux visant à améliorer et </w:t>
      </w:r>
      <w:r w:rsidR="009D2FA0" w:rsidRPr="00A27F8A">
        <w:t xml:space="preserve">à </w:t>
      </w:r>
      <w:r w:rsidR="005220CC" w:rsidRPr="00A27F8A">
        <w:t xml:space="preserve">renforcer le cadre </w:t>
      </w:r>
      <w:r w:rsidR="009D2FA0" w:rsidRPr="00A27F8A">
        <w:t>servant de base à une approche commune pour</w:t>
      </w:r>
      <w:r w:rsidR="00FF2144" w:rsidRPr="00A27F8A">
        <w:rPr>
          <w:color w:val="000000"/>
        </w:rPr>
        <w:t xml:space="preserve"> </w:t>
      </w:r>
      <w:r w:rsidR="003A1D32">
        <w:rPr>
          <w:color w:val="000000"/>
        </w:rPr>
        <w:t xml:space="preserve">favoriser </w:t>
      </w:r>
      <w:r w:rsidR="009D2FA0" w:rsidRPr="00A27F8A">
        <w:t xml:space="preserve">la viabilité environnementale et sociale </w:t>
      </w:r>
      <w:r w:rsidR="003A1D32">
        <w:t>au sein du</w:t>
      </w:r>
      <w:r w:rsidR="009D2FA0" w:rsidRPr="00A27F8A">
        <w:t xml:space="preserve"> système des Nations Unies</w:t>
      </w:r>
      <w:r w:rsidR="00FF2144" w:rsidRPr="00A27F8A">
        <w:rPr>
          <w:color w:val="000000"/>
        </w:rPr>
        <w:t xml:space="preserve">. </w:t>
      </w:r>
    </w:p>
    <w:p w:rsidR="00FF2144" w:rsidRPr="00A27F8A" w:rsidRDefault="009D2FA0"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Les hauts responsables du Groupe de la gestion de l’environnement ont engagé leurs </w:t>
      </w:r>
      <w:r w:rsidR="00A15DAC">
        <w:t>organismes</w:t>
      </w:r>
      <w:r w:rsidRPr="00A27F8A">
        <w:t xml:space="preserve"> à intensifier leurs mesures visant à atteindre la neutralité climatique</w:t>
      </w:r>
      <w:r w:rsidR="00BE61F5" w:rsidRPr="00A27F8A">
        <w:t>.</w:t>
      </w:r>
      <w:r w:rsidR="00FF2144" w:rsidRPr="00A27F8A">
        <w:t xml:space="preserve"> </w:t>
      </w:r>
      <w:r w:rsidRPr="00A27F8A">
        <w:t>Le</w:t>
      </w:r>
      <w:r w:rsidR="00FF2144" w:rsidRPr="00A27F8A">
        <w:t xml:space="preserve"> </w:t>
      </w:r>
      <w:r w:rsidR="00A15DAC" w:rsidRPr="00A15DAC">
        <w:t xml:space="preserve">Groupe </w:t>
      </w:r>
      <w:r w:rsidR="003A1D32">
        <w:t xml:space="preserve">de </w:t>
      </w:r>
      <w:r w:rsidR="00A15DAC" w:rsidRPr="00A15DAC">
        <w:t xml:space="preserve">gestion </w:t>
      </w:r>
      <w:r w:rsidR="003A1D32">
        <w:t xml:space="preserve">thématique chargé de la </w:t>
      </w:r>
      <w:r w:rsidR="00A15DAC" w:rsidRPr="00A15DAC">
        <w:t xml:space="preserve">viabilité </w:t>
      </w:r>
      <w:r w:rsidR="003A1D32">
        <w:t>environnementale</w:t>
      </w:r>
      <w:r w:rsidR="00407A32" w:rsidRPr="00A27F8A">
        <w:t xml:space="preserve"> au sein du système des Nations Unies, dans le cadre de l’initiative</w:t>
      </w:r>
      <w:r w:rsidR="00BE61F5" w:rsidRPr="00A27F8A">
        <w:t xml:space="preserve"> </w:t>
      </w:r>
      <w:hyperlink r:id="rId17" w:history="1">
        <w:r w:rsidR="004113D9" w:rsidRPr="00A27F8A">
          <w:rPr>
            <w:rStyle w:val="Hyperlink"/>
            <w:color w:val="auto"/>
            <w:u w:val="none"/>
          </w:rPr>
          <w:t>« ONU durable » du PNUE</w:t>
        </w:r>
      </w:hyperlink>
      <w:r w:rsidR="00BE61F5" w:rsidRPr="00A27F8A">
        <w:rPr>
          <w:rStyle w:val="Hyperlink"/>
          <w:color w:val="auto"/>
          <w:u w:val="none"/>
        </w:rPr>
        <w:t>,</w:t>
      </w:r>
      <w:r w:rsidR="00147408" w:rsidRPr="00A27F8A">
        <w:t xml:space="preserve"> </w:t>
      </w:r>
      <w:r w:rsidR="007B2030" w:rsidRPr="00A27F8A">
        <w:t>a continué d’appuyer ce processus</w:t>
      </w:r>
      <w:r w:rsidR="00A422AC" w:rsidRPr="00A27F8A">
        <w:t xml:space="preserve"> </w:t>
      </w:r>
      <w:r w:rsidR="007B2030" w:rsidRPr="00A27F8A">
        <w:t>de manière concrète</w:t>
      </w:r>
      <w:r w:rsidR="00FF2144" w:rsidRPr="00A27F8A">
        <w:t xml:space="preserve">. </w:t>
      </w:r>
    </w:p>
    <w:p w:rsidR="00FF2144" w:rsidRPr="00A27F8A" w:rsidRDefault="007B2030" w:rsidP="008E0CA4">
      <w:pPr>
        <w:pStyle w:val="Normalnumber"/>
        <w:tabs>
          <w:tab w:val="clear" w:pos="1247"/>
          <w:tab w:val="clear" w:pos="1814"/>
          <w:tab w:val="clear" w:pos="2381"/>
          <w:tab w:val="clear" w:pos="2948"/>
          <w:tab w:val="clear" w:pos="3515"/>
          <w:tab w:val="clear" w:pos="4082"/>
          <w:tab w:val="left" w:pos="624"/>
        </w:tabs>
        <w:ind w:left="1247" w:firstLine="0"/>
      </w:pPr>
      <w:r w:rsidRPr="00A27F8A">
        <w:t>Une « feuille de route pour la neutralité climatique</w:t>
      </w:r>
      <w:r w:rsidR="00421D39" w:rsidRPr="00A27F8A">
        <w:t xml:space="preserve"> d’ici </w:t>
      </w:r>
      <w:r w:rsidR="00D70A13" w:rsidRPr="00A27F8A">
        <w:t xml:space="preserve">à </w:t>
      </w:r>
      <w:r w:rsidR="00421D39" w:rsidRPr="00A27F8A">
        <w:t xml:space="preserve">2020 » des Nations Unies, décrivant un certain nombre de mesures que les </w:t>
      </w:r>
      <w:r w:rsidR="0077618A">
        <w:t>entités</w:t>
      </w:r>
      <w:r w:rsidR="00511FDF">
        <w:t xml:space="preserve"> </w:t>
      </w:r>
      <w:r w:rsidR="00421D39" w:rsidRPr="00A27F8A">
        <w:t>des Nations Unies devront prendre, conjointement et individuellement, afin d’atteindre les objectifs fixés, a été soumise au Comité de haut niveau sur la gestion afin que celui-ci l’examine</w:t>
      </w:r>
      <w:r w:rsidR="00511FDF">
        <w:t xml:space="preserve">. </w:t>
      </w:r>
      <w:r w:rsidR="00421D39" w:rsidRPr="00A27F8A">
        <w:t>Les cinquième et sixième éditions</w:t>
      </w:r>
      <w:r w:rsidR="00D70A13" w:rsidRPr="00A27F8A">
        <w:t xml:space="preserve"> de la publication</w:t>
      </w:r>
      <w:r w:rsidR="00421D39" w:rsidRPr="00A27F8A">
        <w:t xml:space="preserve"> </w:t>
      </w:r>
      <w:r w:rsidR="00D70A13" w:rsidRPr="00A27F8A">
        <w:t xml:space="preserve">« Vers </w:t>
      </w:r>
      <w:r w:rsidR="00511FDF">
        <w:t>la neutralité climatique à l’ONU</w:t>
      </w:r>
      <w:r w:rsidR="00D70A13" w:rsidRPr="00A27F8A">
        <w:t xml:space="preserve"> : l’empreinte du système des Nations Unies et </w:t>
      </w:r>
      <w:r w:rsidR="00606241">
        <w:t>les efforts</w:t>
      </w:r>
      <w:r w:rsidR="00D70A13" w:rsidRPr="00A27F8A">
        <w:t xml:space="preserve"> pour la réduire »</w:t>
      </w:r>
      <w:r w:rsidR="00495C09" w:rsidRPr="00A27F8A">
        <w:t>, contenant des inventaires des émissions de gaz à effet de serre de 64 </w:t>
      </w:r>
      <w:r w:rsidR="0077618A">
        <w:t>entités</w:t>
      </w:r>
      <w:r w:rsidR="00495C09" w:rsidRPr="00A27F8A">
        <w:t xml:space="preserve"> des Nations Uni</w:t>
      </w:r>
      <w:r w:rsidR="0091754E" w:rsidRPr="00A27F8A">
        <w:t>e</w:t>
      </w:r>
      <w:r w:rsidR="00495C09" w:rsidRPr="00A27F8A">
        <w:t>s,</w:t>
      </w:r>
      <w:r w:rsidR="00FF2144" w:rsidRPr="00A27F8A">
        <w:t xml:space="preserve"> </w:t>
      </w:r>
      <w:r w:rsidR="00495C09" w:rsidRPr="00A27F8A">
        <w:t xml:space="preserve">sont </w:t>
      </w:r>
      <w:r w:rsidR="00606241">
        <w:t>parues</w:t>
      </w:r>
      <w:r w:rsidR="00495C09" w:rsidRPr="00A27F8A">
        <w:t xml:space="preserve"> en 2014 et </w:t>
      </w:r>
      <w:r w:rsidR="00E8657B" w:rsidRPr="00A27F8A">
        <w:t>2015</w:t>
      </w:r>
      <w:r w:rsidR="00FF2144" w:rsidRPr="00A27F8A">
        <w:t xml:space="preserve">. </w:t>
      </w:r>
      <w:r w:rsidR="00495C09" w:rsidRPr="00A27F8A">
        <w:rPr>
          <w:color w:val="000000"/>
        </w:rPr>
        <w:t>La campagne</w:t>
      </w:r>
      <w:r w:rsidR="00C10CA9" w:rsidRPr="00A27F8A">
        <w:rPr>
          <w:color w:val="000000"/>
        </w:rPr>
        <w:t xml:space="preserve"> W</w:t>
      </w:r>
      <w:r w:rsidR="00495C09" w:rsidRPr="00A27F8A">
        <w:rPr>
          <w:color w:val="000000"/>
        </w:rPr>
        <w:t>eb « </w:t>
      </w:r>
      <w:r w:rsidR="009545CC" w:rsidRPr="00A27F8A">
        <w:rPr>
          <w:color w:val="000000"/>
        </w:rPr>
        <w:t xml:space="preserve">ONU - </w:t>
      </w:r>
      <w:r w:rsidR="00495C09" w:rsidRPr="00A27F8A">
        <w:rPr>
          <w:color w:val="000000"/>
        </w:rPr>
        <w:t xml:space="preserve">Du bleu au vert » continue de mobiliser </w:t>
      </w:r>
      <w:r w:rsidR="009545CC" w:rsidRPr="00A27F8A">
        <w:rPr>
          <w:color w:val="000000"/>
        </w:rPr>
        <w:t>le</w:t>
      </w:r>
      <w:r w:rsidR="00495C09" w:rsidRPr="00A27F8A">
        <w:rPr>
          <w:color w:val="000000"/>
        </w:rPr>
        <w:t xml:space="preserve"> personnel et </w:t>
      </w:r>
      <w:r w:rsidR="009545CC" w:rsidRPr="00A27F8A">
        <w:rPr>
          <w:color w:val="000000"/>
        </w:rPr>
        <w:t>de fournir</w:t>
      </w:r>
      <w:r w:rsidR="00495C09" w:rsidRPr="00A27F8A">
        <w:rPr>
          <w:color w:val="000000"/>
        </w:rPr>
        <w:t xml:space="preserve"> aux organis</w:t>
      </w:r>
      <w:r w:rsidR="00064551">
        <w:rPr>
          <w:color w:val="000000"/>
        </w:rPr>
        <w:t>me</w:t>
      </w:r>
      <w:r w:rsidR="00495C09" w:rsidRPr="00A27F8A">
        <w:rPr>
          <w:color w:val="000000"/>
        </w:rPr>
        <w:t>s</w:t>
      </w:r>
      <w:r w:rsidR="009545CC" w:rsidRPr="00A27F8A">
        <w:rPr>
          <w:color w:val="000000"/>
        </w:rPr>
        <w:t xml:space="preserve"> une occasion de présenter leurs efforts en matière de réduction des émissions</w:t>
      </w:r>
      <w:r w:rsidR="00E8657B" w:rsidRPr="00A27F8A">
        <w:rPr>
          <w:color w:val="000000"/>
        </w:rPr>
        <w:t xml:space="preserve">. </w:t>
      </w:r>
      <w:r w:rsidR="009545CC" w:rsidRPr="00A27F8A">
        <w:t>Le</w:t>
      </w:r>
      <w:r w:rsidR="00FF2144" w:rsidRPr="00A27F8A">
        <w:t xml:space="preserve"> </w:t>
      </w:r>
      <w:r w:rsidR="009264BF" w:rsidRPr="00A27F8A">
        <w:t>g</w:t>
      </w:r>
      <w:r w:rsidR="00FF2144" w:rsidRPr="00A27F8A">
        <w:t xml:space="preserve">uide </w:t>
      </w:r>
      <w:r w:rsidR="009545CC" w:rsidRPr="00A27F8A">
        <w:t xml:space="preserve">de la compensation des émissions de carbone </w:t>
      </w:r>
      <w:r w:rsidR="00677D11" w:rsidRPr="00A27F8A">
        <w:t>à l’intention des</w:t>
      </w:r>
      <w:r w:rsidR="009545CC" w:rsidRPr="00A27F8A">
        <w:t xml:space="preserve"> organismes des Nations Unies </w:t>
      </w:r>
      <w:r w:rsidR="00677D11" w:rsidRPr="00A27F8A">
        <w:t xml:space="preserve">a été mis à jour et une analyse des lacunes concernant la qualité et la couverture des données d’inventaire au sein du système des Nations Unies a été réalisée en octobre 2015, date à laquelle les installations et les </w:t>
      </w:r>
      <w:r w:rsidR="00957745" w:rsidRPr="00A27F8A">
        <w:t>opérations</w:t>
      </w:r>
      <w:r w:rsidR="00677D11" w:rsidRPr="00A27F8A">
        <w:t xml:space="preserve"> de 21 organismes des Nations Unies étaient climatiquement neutres, 14 organismes avaient </w:t>
      </w:r>
      <w:r w:rsidR="00606241">
        <w:t>mis en place</w:t>
      </w:r>
      <w:r w:rsidR="00677D11" w:rsidRPr="00A27F8A">
        <w:t xml:space="preserve"> des stratégies de réduction des é</w:t>
      </w:r>
      <w:r w:rsidR="007042A4">
        <w:t xml:space="preserve">missions et 3 mettaient en œuvre </w:t>
      </w:r>
      <w:r w:rsidR="00677D11" w:rsidRPr="00A27F8A">
        <w:t>des systèmes de gestion de l’</w:t>
      </w:r>
      <w:r w:rsidR="002D3D49" w:rsidRPr="00A27F8A">
        <w:t>environnement</w:t>
      </w:r>
      <w:r w:rsidR="00FF2144" w:rsidRPr="00A27F8A">
        <w:t>.</w:t>
      </w:r>
      <w:r w:rsidR="00346A24" w:rsidRPr="00A27F8A">
        <w:t xml:space="preserve"> De plus, en novembre 2015, </w:t>
      </w:r>
      <w:r w:rsidR="002D3D49" w:rsidRPr="00A27F8A">
        <w:t>le</w:t>
      </w:r>
      <w:r w:rsidR="009264BF" w:rsidRPr="00A27F8A">
        <w:t xml:space="preserve"> </w:t>
      </w:r>
      <w:r w:rsidR="002D3D49" w:rsidRPr="00A27F8A">
        <w:t xml:space="preserve">Groupe de la gestion de l’environnement a soumis </w:t>
      </w:r>
      <w:r w:rsidR="00346A24" w:rsidRPr="00A27F8A">
        <w:t>au Conseil des chefs de secrétariat</w:t>
      </w:r>
      <w:r w:rsidR="00FF2144" w:rsidRPr="00A27F8A">
        <w:t xml:space="preserve"> </w:t>
      </w:r>
      <w:r w:rsidR="00346A24" w:rsidRPr="00A27F8A">
        <w:t>une note technique</w:t>
      </w:r>
      <w:r w:rsidR="00FF2144" w:rsidRPr="00A27F8A">
        <w:t xml:space="preserve"> </w:t>
      </w:r>
      <w:r w:rsidR="00346A24" w:rsidRPr="00A27F8A">
        <w:t>pour parvenir à la neutralité climatique à l’échelle du système, qui met en évidence les bonnes pratiques</w:t>
      </w:r>
      <w:r w:rsidR="00FF2144" w:rsidRPr="00A27F8A">
        <w:t xml:space="preserve"> </w:t>
      </w:r>
      <w:r w:rsidR="00957745" w:rsidRPr="00A27F8A">
        <w:t>de l’ensemble du système</w:t>
      </w:r>
      <w:r w:rsidR="00FF2144" w:rsidRPr="00A27F8A">
        <w:t xml:space="preserve">. </w:t>
      </w:r>
    </w:p>
    <w:p w:rsidR="00BE61F5" w:rsidRPr="00A27F8A" w:rsidRDefault="00957745" w:rsidP="008E0CA4">
      <w:pPr>
        <w:pStyle w:val="Normalnumber"/>
        <w:tabs>
          <w:tab w:val="clear" w:pos="1247"/>
          <w:tab w:val="clear" w:pos="1814"/>
          <w:tab w:val="clear" w:pos="2381"/>
          <w:tab w:val="clear" w:pos="2948"/>
          <w:tab w:val="clear" w:pos="3515"/>
          <w:tab w:val="clear" w:pos="4082"/>
          <w:tab w:val="left" w:pos="624"/>
        </w:tabs>
        <w:ind w:left="1247" w:firstLine="0"/>
      </w:pPr>
      <w:r w:rsidRPr="00A27F8A">
        <w:lastRenderedPageBreak/>
        <w:t>Un projet visant à intégrer des systèmes de gestion de l’environnement dans les installations et les opérations des organismes des Nations Unies a été lancé en octobre 2014, avec l’appui de</w:t>
      </w:r>
      <w:r w:rsidR="00FF2144" w:rsidRPr="00A27F8A">
        <w:t xml:space="preserve"> </w:t>
      </w:r>
      <w:r w:rsidRPr="00A27F8A">
        <w:t>l’Agence suédoise de protection de l’environnement</w:t>
      </w:r>
      <w:r w:rsidR="00FF2144" w:rsidRPr="00A27F8A">
        <w:t xml:space="preserve">. </w:t>
      </w:r>
      <w:r w:rsidRPr="00A27F8A">
        <w:t>Un cadre</w:t>
      </w:r>
      <w:r w:rsidR="00837C97" w:rsidRPr="00A27F8A">
        <w:t xml:space="preserve"> définissant des jalons pour les systèmes de gestion de l’environnement a été établi à l’intention des organismes des Nations Unies pour fournir des orientations dans le cadre de la mise en</w:t>
      </w:r>
      <w:r w:rsidR="007042A4">
        <w:t xml:space="preserve"> œuvre </w:t>
      </w:r>
      <w:r w:rsidR="00837C97" w:rsidRPr="00A27F8A">
        <w:t>de</w:t>
      </w:r>
      <w:r w:rsidR="007042A4">
        <w:t>s</w:t>
      </w:r>
      <w:r w:rsidR="00837C97" w:rsidRPr="00A27F8A">
        <w:t xml:space="preserve"> systèmes de gestion de l’environnement</w:t>
      </w:r>
      <w:r w:rsidR="006B5460" w:rsidRPr="00A27F8A">
        <w:t>;</w:t>
      </w:r>
      <w:r w:rsidR="00FF2144" w:rsidRPr="00A27F8A">
        <w:t xml:space="preserve"> </w:t>
      </w:r>
      <w:r w:rsidR="00FD6162" w:rsidRPr="00A27F8A">
        <w:t>une évaluation de l’état d</w:t>
      </w:r>
      <w:r w:rsidR="007042A4">
        <w:t xml:space="preserve">’avancement de la mise en œuvre </w:t>
      </w:r>
      <w:r w:rsidR="00FD6162" w:rsidRPr="00A27F8A">
        <w:t>de</w:t>
      </w:r>
      <w:r w:rsidR="007042A4">
        <w:t>s</w:t>
      </w:r>
      <w:r w:rsidR="00FD6162" w:rsidRPr="00A27F8A">
        <w:t xml:space="preserve"> systèmes de gestion de l’environnement au sein des organismes des Nations Unies a été réalisée;</w:t>
      </w:r>
      <w:r w:rsidR="00BE61F5" w:rsidRPr="00A27F8A">
        <w:rPr>
          <w:color w:val="000000"/>
        </w:rPr>
        <w:t xml:space="preserve"> </w:t>
      </w:r>
      <w:r w:rsidR="00FD6162" w:rsidRPr="00A27F8A">
        <w:rPr>
          <w:color w:val="000000"/>
        </w:rPr>
        <w:t xml:space="preserve">et quatre bureaux des Nations Unies ont été </w:t>
      </w:r>
      <w:r w:rsidR="00C10CA9" w:rsidRPr="00A27F8A">
        <w:rPr>
          <w:color w:val="000000"/>
        </w:rPr>
        <w:t>sélectionnés pour jouer un rôle pilote dans le cadre de l’appui à la m</w:t>
      </w:r>
      <w:r w:rsidR="00EE5EB5">
        <w:rPr>
          <w:color w:val="000000"/>
        </w:rPr>
        <w:t xml:space="preserve">ise en œuvre </w:t>
      </w:r>
      <w:r w:rsidR="00C10CA9" w:rsidRPr="00A27F8A">
        <w:rPr>
          <w:color w:val="000000"/>
        </w:rPr>
        <w:t>de systèmes de gestion de l’environnement</w:t>
      </w:r>
      <w:r w:rsidR="00FF2144" w:rsidRPr="00A27F8A">
        <w:rPr>
          <w:color w:val="000000"/>
        </w:rPr>
        <w:t xml:space="preserve">. </w:t>
      </w:r>
    </w:p>
    <w:p w:rsidR="00FF2144" w:rsidRPr="00A27F8A" w:rsidRDefault="00C10CA9" w:rsidP="008E0CA4">
      <w:pPr>
        <w:pStyle w:val="Normalnumber"/>
        <w:tabs>
          <w:tab w:val="clear" w:pos="1247"/>
          <w:tab w:val="clear" w:pos="1814"/>
          <w:tab w:val="clear" w:pos="2381"/>
          <w:tab w:val="clear" w:pos="2948"/>
          <w:tab w:val="clear" w:pos="3515"/>
          <w:tab w:val="clear" w:pos="4082"/>
          <w:tab w:val="left" w:pos="624"/>
        </w:tabs>
        <w:ind w:left="1247" w:firstLine="0"/>
      </w:pPr>
      <w:r w:rsidRPr="00A27F8A">
        <w:rPr>
          <w:color w:val="000000"/>
        </w:rPr>
        <w:t>La campagne Web « ONU - Du bleu au vert » continue de mobiliser le personnel et de fournir aux organis</w:t>
      </w:r>
      <w:r w:rsidR="00064551">
        <w:rPr>
          <w:color w:val="000000"/>
        </w:rPr>
        <w:t>me</w:t>
      </w:r>
      <w:r w:rsidRPr="00A27F8A">
        <w:rPr>
          <w:color w:val="000000"/>
        </w:rPr>
        <w:t>s une occasion de présenter leurs efforts en matière de réduction des émissions</w:t>
      </w:r>
      <w:r w:rsidR="00FF2144" w:rsidRPr="00A27F8A">
        <w:rPr>
          <w:color w:val="000000"/>
        </w:rPr>
        <w:t>.</w:t>
      </w:r>
      <w:r w:rsidRPr="00A27F8A">
        <w:rPr>
          <w:color w:val="000000"/>
        </w:rPr>
        <w:t xml:space="preserve"> Le nombre de visites du site Web a augmenté de manière significative au cours de l’année passée, </w:t>
      </w:r>
      <w:r w:rsidRPr="00A27F8A">
        <w:t>177 </w:t>
      </w:r>
      <w:r w:rsidR="006B5460" w:rsidRPr="00A27F8A">
        <w:t>885</w:t>
      </w:r>
      <w:r w:rsidRPr="00A27F8A">
        <w:t> </w:t>
      </w:r>
      <w:r w:rsidR="006B5460" w:rsidRPr="00A27F8A">
        <w:t>sessions</w:t>
      </w:r>
      <w:r w:rsidRPr="00A27F8A">
        <w:t xml:space="preserve"> ayant été</w:t>
      </w:r>
      <w:r w:rsidR="007E6650" w:rsidRPr="00A27F8A">
        <w:t xml:space="preserve"> ouvertes entre juin </w:t>
      </w:r>
      <w:r w:rsidR="006B5460" w:rsidRPr="00A27F8A">
        <w:t xml:space="preserve">2014 </w:t>
      </w:r>
      <w:r w:rsidR="007E6650" w:rsidRPr="00A27F8A">
        <w:t>et mai 2015. Le</w:t>
      </w:r>
      <w:r w:rsidR="006B5460" w:rsidRPr="00A27F8A">
        <w:t xml:space="preserve"> </w:t>
      </w:r>
      <w:r w:rsidR="00064551">
        <w:t>G</w:t>
      </w:r>
      <w:r w:rsidR="007E6650" w:rsidRPr="00A27F8A">
        <w:t xml:space="preserve">roupe de gestion thématique sur la gestion rationnelle des produits chimiques </w:t>
      </w:r>
      <w:r w:rsidR="008025BF">
        <w:t xml:space="preserve">et des déchets </w:t>
      </w:r>
      <w:r w:rsidR="007E6650" w:rsidRPr="00A27F8A">
        <w:t>a facilité le renforcement des capacités du personnel dans un certain nombre de domaines, notamment l’établissement de rapports sur la durabilité</w:t>
      </w:r>
      <w:r w:rsidR="00FF2144" w:rsidRPr="00A27F8A">
        <w:t>.</w:t>
      </w:r>
    </w:p>
    <w:p w:rsidR="00FF2144" w:rsidRPr="00A27F8A" w:rsidRDefault="007E6650" w:rsidP="008E0CA4">
      <w:pPr>
        <w:pStyle w:val="Normalnumber"/>
        <w:tabs>
          <w:tab w:val="clear" w:pos="1247"/>
          <w:tab w:val="clear" w:pos="1814"/>
          <w:tab w:val="clear" w:pos="2381"/>
          <w:tab w:val="clear" w:pos="2948"/>
          <w:tab w:val="clear" w:pos="3515"/>
          <w:tab w:val="clear" w:pos="4082"/>
          <w:tab w:val="left" w:pos="624"/>
        </w:tabs>
        <w:ind w:left="1247" w:firstLine="0"/>
      </w:pPr>
      <w:r w:rsidRPr="00A27F8A">
        <w:t>E</w:t>
      </w:r>
      <w:r w:rsidR="00FF2144" w:rsidRPr="00A27F8A">
        <w:t xml:space="preserve">n 2011, </w:t>
      </w:r>
      <w:r w:rsidR="002B21AA" w:rsidRPr="00A27F8A">
        <w:t>le Groupe de la gestion de l’environnement a élaboré une approche pour</w:t>
      </w:r>
      <w:hyperlink r:id="rId18" w:history="1">
        <w:r w:rsidR="002B21AA" w:rsidRPr="00A27F8A">
          <w:t xml:space="preserve"> </w:t>
        </w:r>
        <w:r w:rsidR="002B21AA" w:rsidRPr="00A27F8A">
          <w:rPr>
            <w:rStyle w:val="Hyperlink"/>
            <w:color w:val="auto"/>
            <w:u w:val="none"/>
          </w:rPr>
          <w:t>l’examen collégial des profils environnementaux des organismes des Nations Unies</w:t>
        </w:r>
      </w:hyperlink>
      <w:r w:rsidR="008025BF">
        <w:rPr>
          <w:rStyle w:val="Hyperlink"/>
          <w:color w:val="auto"/>
          <w:u w:val="none"/>
        </w:rPr>
        <w:t>.</w:t>
      </w:r>
      <w:r w:rsidR="002B21AA" w:rsidRPr="00A27F8A">
        <w:t xml:space="preserve"> </w:t>
      </w:r>
      <w:r w:rsidR="008025BF">
        <w:t>Dans le cadre d’une</w:t>
      </w:r>
      <w:r w:rsidR="002B21AA" w:rsidRPr="00A27F8A">
        <w:t xml:space="preserve"> phase pilote lancée au début de l’année 2013</w:t>
      </w:r>
      <w:r w:rsidR="008025BF">
        <w:t>, un certain nombre d’organismes ont fait l’objet d’un examen, à savoir le</w:t>
      </w:r>
      <w:r w:rsidR="002B21AA" w:rsidRPr="00A27F8A">
        <w:t xml:space="preserve"> PNUE, l’Organisation des Nations Unies pour le développement industriel et l’Organisation météorologique mondiale</w:t>
      </w:r>
      <w:r w:rsidR="00853868" w:rsidRPr="00A27F8A">
        <w:t>.</w:t>
      </w:r>
      <w:r w:rsidR="002B21AA" w:rsidRPr="00A27F8A">
        <w:t xml:space="preserve"> Les rapports d’examen collégial étaient axés </w:t>
      </w:r>
      <w:r w:rsidR="008E303C" w:rsidRPr="00A27F8A">
        <w:t xml:space="preserve">sur la gestion </w:t>
      </w:r>
      <w:r w:rsidR="00D019FF">
        <w:t xml:space="preserve">interne </w:t>
      </w:r>
      <w:r w:rsidR="008E303C" w:rsidRPr="00A27F8A">
        <w:t>des installations et des opérations du point de vue de l’environnement</w:t>
      </w:r>
      <w:r w:rsidR="00FF2144" w:rsidRPr="00A27F8A">
        <w:t xml:space="preserve">, </w:t>
      </w:r>
      <w:r w:rsidR="008E303C" w:rsidRPr="00A27F8A">
        <w:t>traitant des questions telles que les émissions de gaz à effet de serre</w:t>
      </w:r>
      <w:r w:rsidR="00FF2144" w:rsidRPr="00A27F8A">
        <w:t xml:space="preserve"> </w:t>
      </w:r>
      <w:r w:rsidR="006B5460" w:rsidRPr="00A27F8A">
        <w:t>(</w:t>
      </w:r>
      <w:r w:rsidR="008E303C" w:rsidRPr="00A27F8A">
        <w:t>causées par les voyages et les installations</w:t>
      </w:r>
      <w:r w:rsidR="006B5460" w:rsidRPr="00A27F8A">
        <w:t>),</w:t>
      </w:r>
      <w:r w:rsidR="008E303C" w:rsidRPr="00A27F8A">
        <w:t xml:space="preserve"> la gestion de l’eau et des déchets et les écoréunions, et contenai</w:t>
      </w:r>
      <w:r w:rsidR="008025BF">
        <w:t>en</w:t>
      </w:r>
      <w:r w:rsidR="008E303C" w:rsidRPr="00A27F8A">
        <w:t xml:space="preserve">t des recommandations non contraignantes </w:t>
      </w:r>
      <w:r w:rsidR="00D019FF">
        <w:t>en vue</w:t>
      </w:r>
      <w:r w:rsidR="008E303C" w:rsidRPr="00A27F8A">
        <w:t xml:space="preserve"> d’amélior</w:t>
      </w:r>
      <w:r w:rsidR="00D019FF">
        <w:t>er les choses</w:t>
      </w:r>
      <w:r w:rsidR="00FF2144" w:rsidRPr="00A27F8A">
        <w:t xml:space="preserve">. </w:t>
      </w:r>
      <w:r w:rsidR="008E303C" w:rsidRPr="00A27F8A">
        <w:t xml:space="preserve">Un organe d’examen collégial composé de </w:t>
      </w:r>
      <w:r w:rsidR="00FF2144" w:rsidRPr="00A27F8A">
        <w:t>17</w:t>
      </w:r>
      <w:r w:rsidR="008E303C" w:rsidRPr="00A27F8A">
        <w:t> </w:t>
      </w:r>
      <w:r w:rsidR="00D019FF">
        <w:t>entités</w:t>
      </w:r>
      <w:r w:rsidR="008E303C" w:rsidRPr="00A27F8A">
        <w:t xml:space="preserve"> des Nations Unies a examiné les rapports</w:t>
      </w:r>
      <w:r w:rsidR="00FA7809" w:rsidRPr="00A27F8A">
        <w:t xml:space="preserve"> et finalisé les recommandations pour chaque organisme</w:t>
      </w:r>
      <w:r w:rsidR="00FF2144" w:rsidRPr="00A27F8A">
        <w:t>.</w:t>
      </w:r>
      <w:r w:rsidR="00FA7809" w:rsidRPr="00A27F8A">
        <w:t xml:space="preserve"> Une évaluation de la phase pilote a révélé qu’</w:t>
      </w:r>
      <w:r w:rsidR="00D019FF">
        <w:t>un</w:t>
      </w:r>
      <w:r w:rsidR="00FA7809" w:rsidRPr="00A27F8A">
        <w:t xml:space="preserve"> consensus </w:t>
      </w:r>
      <w:r w:rsidR="00D019FF">
        <w:t xml:space="preserve">s’était dégagé au sujet de </w:t>
      </w:r>
      <w:r w:rsidR="00FA7809" w:rsidRPr="00A27F8A">
        <w:t>l’utilité du processus</w:t>
      </w:r>
      <w:r w:rsidR="00FF2144" w:rsidRPr="00A27F8A">
        <w:t xml:space="preserve"> </w:t>
      </w:r>
      <w:r w:rsidR="00FA7809" w:rsidRPr="00A27F8A">
        <w:t>ainsi qu’un soutien en faveur de sa poursuite</w:t>
      </w:r>
      <w:r w:rsidR="00FF2144" w:rsidRPr="00A27F8A">
        <w:t>.</w:t>
      </w:r>
      <w:r w:rsidR="00FA7809" w:rsidRPr="00A27F8A">
        <w:t xml:space="preserve"> Une deuxième phase a été engagée en septembre </w:t>
      </w:r>
      <w:r w:rsidR="00FF2144" w:rsidRPr="00A27F8A">
        <w:t xml:space="preserve">2014, </w:t>
      </w:r>
      <w:r w:rsidR="00FA7809" w:rsidRPr="00A27F8A">
        <w:t>conduisant à un examen collégial du</w:t>
      </w:r>
      <w:r w:rsidR="00FF2144" w:rsidRPr="00A27F8A">
        <w:t xml:space="preserve"> </w:t>
      </w:r>
      <w:r w:rsidR="00FA7809" w:rsidRPr="00A27F8A">
        <w:t>Fonds monétaire international et de la Convention-cadre des Nations Unies sur les changements climatiques en</w:t>
      </w:r>
      <w:r w:rsidR="00FF2144" w:rsidRPr="00A27F8A">
        <w:t xml:space="preserve"> </w:t>
      </w:r>
      <w:r w:rsidR="00853868" w:rsidRPr="00A27F8A">
        <w:t xml:space="preserve">2015 </w:t>
      </w:r>
      <w:r w:rsidR="00FA7809" w:rsidRPr="00A27F8A">
        <w:t>et</w:t>
      </w:r>
      <w:r w:rsidR="00853868" w:rsidRPr="00A27F8A">
        <w:t xml:space="preserve"> </w:t>
      </w:r>
      <w:r w:rsidR="00FF2144" w:rsidRPr="00A27F8A">
        <w:t>2016</w:t>
      </w:r>
      <w:r w:rsidR="00FA7809" w:rsidRPr="00A27F8A">
        <w:t>,</w:t>
      </w:r>
      <w:r w:rsidR="00853868" w:rsidRPr="00A27F8A">
        <w:t xml:space="preserve"> respective</w:t>
      </w:r>
      <w:r w:rsidR="00FA7809" w:rsidRPr="00A27F8A">
        <w:t>ment</w:t>
      </w:r>
      <w:r w:rsidR="00FF2144" w:rsidRPr="00A27F8A">
        <w:t xml:space="preserve">. </w:t>
      </w:r>
      <w:r w:rsidR="00FA7809" w:rsidRPr="00A27F8A">
        <w:t xml:space="preserve">L’organe d’examen collégial envisage </w:t>
      </w:r>
      <w:r w:rsidR="00534EA6" w:rsidRPr="00A27F8A">
        <w:t xml:space="preserve">également </w:t>
      </w:r>
      <w:r w:rsidR="00FA7809" w:rsidRPr="00A27F8A">
        <w:t>d’établir</w:t>
      </w:r>
      <w:r w:rsidR="00534EA6" w:rsidRPr="00A27F8A">
        <w:t>, dans le cadre du processus,</w:t>
      </w:r>
      <w:r w:rsidR="00FA7809" w:rsidRPr="00A27F8A">
        <w:t xml:space="preserve"> des directives et des meilleures pratiques pour la réalisation des examens collégiaux</w:t>
      </w:r>
      <w:r w:rsidR="00FF2144" w:rsidRPr="00A27F8A">
        <w:t>.</w:t>
      </w:r>
    </w:p>
    <w:p w:rsidR="004F02B4" w:rsidRPr="00A27F8A" w:rsidRDefault="00A328F3" w:rsidP="008E0CA4">
      <w:pPr>
        <w:pStyle w:val="Normalnumber"/>
        <w:keepNext/>
        <w:keepLines/>
        <w:tabs>
          <w:tab w:val="clear" w:pos="1247"/>
          <w:tab w:val="clear" w:pos="1814"/>
          <w:tab w:val="clear" w:pos="2381"/>
          <w:tab w:val="clear" w:pos="2948"/>
          <w:tab w:val="clear" w:pos="3515"/>
          <w:tab w:val="clear" w:pos="4082"/>
          <w:tab w:val="left" w:pos="624"/>
        </w:tabs>
        <w:ind w:left="1247" w:firstLine="0"/>
      </w:pPr>
      <w:r w:rsidRPr="00A27F8A">
        <w:t>Les hauts responsables du Groupe de la gestion de l’environnement</w:t>
      </w:r>
      <w:r w:rsidR="00853868" w:rsidRPr="00A27F8A">
        <w:t>,</w:t>
      </w:r>
      <w:r w:rsidR="00FF2144" w:rsidRPr="00A27F8A">
        <w:t xml:space="preserve"> </w:t>
      </w:r>
      <w:r w:rsidRPr="00A27F8A">
        <w:t>à leur vingt-et-unième réunion, ont décidé d’inviter</w:t>
      </w:r>
      <w:r w:rsidR="00FF2144" w:rsidRPr="00A27F8A">
        <w:t xml:space="preserve"> </w:t>
      </w:r>
      <w:r w:rsidRPr="00A27F8A">
        <w:t xml:space="preserve">l’Union internationale des télécommunications, le PNUE et d’autres </w:t>
      </w:r>
      <w:r w:rsidR="00D019FF">
        <w:t xml:space="preserve">entités </w:t>
      </w:r>
      <w:r w:rsidRPr="00A27F8A">
        <w:t>intéressé</w:t>
      </w:r>
      <w:r w:rsidR="00D019FF">
        <w:t>e</w:t>
      </w:r>
      <w:r w:rsidRPr="00A27F8A">
        <w:t xml:space="preserve">s, en </w:t>
      </w:r>
      <w:r w:rsidR="00FF2144" w:rsidRPr="00A27F8A">
        <w:t xml:space="preserve">consultation </w:t>
      </w:r>
      <w:r w:rsidRPr="00A27F8A">
        <w:t>avec le secrétariat du</w:t>
      </w:r>
      <w:r w:rsidR="00FF2144" w:rsidRPr="00A27F8A">
        <w:t xml:space="preserve"> </w:t>
      </w:r>
      <w:r w:rsidRPr="00A27F8A">
        <w:t>Groupe de la gesti</w:t>
      </w:r>
      <w:r w:rsidR="00D019FF">
        <w:t>on de l’environnement, à élaborer</w:t>
      </w:r>
      <w:r w:rsidRPr="00A27F8A">
        <w:t xml:space="preserve"> une proposition tendant à créer un groupe </w:t>
      </w:r>
      <w:r w:rsidR="00D019FF">
        <w:t xml:space="preserve">de gestion thématique chargé de </w:t>
      </w:r>
      <w:r w:rsidRPr="00A27F8A">
        <w:t>la coordination des travaux au sein du système des Nations Unies concernant le problème</w:t>
      </w:r>
      <w:r w:rsidR="00FF2144" w:rsidRPr="00A27F8A">
        <w:t xml:space="preserve"> </w:t>
      </w:r>
      <w:r w:rsidRPr="00A27F8A">
        <w:t xml:space="preserve">croissant des </w:t>
      </w:r>
      <w:r w:rsidR="00217750">
        <w:t>déchets d’</w:t>
      </w:r>
      <w:r w:rsidRPr="00A27F8A">
        <w:t>équipements électriques et électroniques</w:t>
      </w:r>
      <w:r w:rsidR="00FF2144" w:rsidRPr="00A27F8A">
        <w:t>.</w:t>
      </w:r>
    </w:p>
    <w:p w:rsidR="004F02B4" w:rsidRPr="00A27F8A" w:rsidRDefault="002870DF" w:rsidP="008E0CA4">
      <w:pPr>
        <w:pStyle w:val="CH2"/>
        <w:rPr>
          <w:sz w:val="20"/>
          <w:szCs w:val="20"/>
          <w:lang w:val="fr-FR"/>
        </w:rPr>
      </w:pPr>
      <w:r w:rsidRPr="00A27F8A">
        <w:rPr>
          <w:lang w:val="fr-FR"/>
        </w:rPr>
        <w:tab/>
      </w:r>
      <w:r w:rsidR="004F02B4" w:rsidRPr="00A27F8A">
        <w:rPr>
          <w:lang w:val="fr-FR"/>
        </w:rPr>
        <w:t>C.</w:t>
      </w:r>
      <w:r w:rsidR="004F02B4" w:rsidRPr="00A27F8A">
        <w:rPr>
          <w:lang w:val="fr-FR"/>
        </w:rPr>
        <w:tab/>
      </w:r>
      <w:r w:rsidR="00D019FF">
        <w:rPr>
          <w:lang w:val="fr-FR"/>
        </w:rPr>
        <w:t>Établissement d’un cadre pour l’élaboration de</w:t>
      </w:r>
      <w:r w:rsidR="00556D0B" w:rsidRPr="00A27F8A">
        <w:rPr>
          <w:lang w:val="fr-FR"/>
        </w:rPr>
        <w:t xml:space="preserve"> stratégies</w:t>
      </w:r>
      <w:r w:rsidR="00D019FF">
        <w:rPr>
          <w:lang w:val="fr-FR"/>
        </w:rPr>
        <w:t xml:space="preserve"> relatives </w:t>
      </w:r>
      <w:r w:rsidR="00D019FF">
        <w:rPr>
          <w:lang w:val="fr-FR"/>
        </w:rPr>
        <w:br/>
        <w:t>à l’</w:t>
      </w:r>
      <w:r w:rsidR="00556D0B" w:rsidRPr="00A27F8A">
        <w:rPr>
          <w:lang w:val="fr-FR"/>
        </w:rPr>
        <w:t>environnement à l’échelle du système des Nations Unies</w:t>
      </w:r>
    </w:p>
    <w:p w:rsidR="00FF2144" w:rsidRPr="00A27F8A" w:rsidRDefault="0009373B" w:rsidP="008E0CA4">
      <w:pPr>
        <w:pStyle w:val="Normalnumber"/>
        <w:tabs>
          <w:tab w:val="clear" w:pos="1247"/>
          <w:tab w:val="clear" w:pos="1814"/>
          <w:tab w:val="clear" w:pos="2381"/>
          <w:tab w:val="clear" w:pos="2948"/>
          <w:tab w:val="clear" w:pos="3515"/>
          <w:tab w:val="clear" w:pos="4082"/>
          <w:tab w:val="left" w:pos="624"/>
        </w:tabs>
        <w:ind w:left="1247" w:firstLine="0"/>
      </w:pPr>
      <w:r w:rsidRPr="00A27F8A">
        <w:t>En application de</w:t>
      </w:r>
      <w:r w:rsidR="00556D0B" w:rsidRPr="00A27F8A">
        <w:t xml:space="preserve"> la résolution </w:t>
      </w:r>
      <w:r w:rsidR="00FF2144" w:rsidRPr="00A27F8A">
        <w:t>1/11</w:t>
      </w:r>
      <w:r w:rsidR="00556D0B" w:rsidRPr="00A27F8A">
        <w:t xml:space="preserve"> de l’Assemblée des Nations Unies pour l’environnement et </w:t>
      </w:r>
      <w:r w:rsidRPr="00A27F8A">
        <w:t xml:space="preserve">conformément </w:t>
      </w:r>
      <w:r w:rsidR="00556D0B" w:rsidRPr="00A27F8A">
        <w:t>au paragraphe 88 du document final de la Conférence des Nations Unies sur le développement durable</w:t>
      </w:r>
      <w:r w:rsidRPr="00A27F8A">
        <w:t>, les</w:t>
      </w:r>
      <w:r w:rsidR="00556D0B" w:rsidRPr="00A27F8A">
        <w:t xml:space="preserve"> </w:t>
      </w:r>
      <w:r w:rsidRPr="00A27F8A">
        <w:t xml:space="preserve">hauts responsables du Groupe de la gestion de l’environnement ont mis en place un </w:t>
      </w:r>
      <w:hyperlink r:id="rId19" w:history="1">
        <w:r w:rsidR="001A7DFC" w:rsidRPr="00A27F8A">
          <w:rPr>
            <w:rStyle w:val="Hyperlink"/>
            <w:color w:val="auto"/>
            <w:u w:val="none"/>
          </w:rPr>
          <w:t>p</w:t>
        </w:r>
        <w:r w:rsidR="00FF2144" w:rsidRPr="00A27F8A">
          <w:rPr>
            <w:rStyle w:val="Hyperlink"/>
            <w:color w:val="auto"/>
            <w:u w:val="none"/>
          </w:rPr>
          <w:t>roces</w:t>
        </w:r>
        <w:r w:rsidRPr="00A27F8A">
          <w:rPr>
            <w:rStyle w:val="Hyperlink"/>
            <w:color w:val="auto"/>
            <w:u w:val="none"/>
          </w:rPr>
          <w:t>sus consultatif</w:t>
        </w:r>
      </w:hyperlink>
      <w:r w:rsidR="00FF2144" w:rsidRPr="00A27F8A">
        <w:t xml:space="preserve"> </w:t>
      </w:r>
      <w:r w:rsidRPr="00A27F8A">
        <w:t>associant des représentants de 19 organismes des Nations Unies afin de contribuer à l’</w:t>
      </w:r>
      <w:r w:rsidR="009A516E">
        <w:t>élaboration</w:t>
      </w:r>
      <w:r w:rsidRPr="00A27F8A">
        <w:t xml:space="preserve"> de stratégies </w:t>
      </w:r>
      <w:r w:rsidR="009A516E">
        <w:t>relatives à l’</w:t>
      </w:r>
      <w:r w:rsidRPr="00A27F8A">
        <w:t>environnement à l’échelle du système</w:t>
      </w:r>
      <w:r w:rsidR="00FF2144" w:rsidRPr="00A27F8A">
        <w:t>.</w:t>
      </w:r>
      <w:r w:rsidR="006A3812" w:rsidRPr="00A27F8A">
        <w:t xml:space="preserve"> La première contribution du processus consultatif a été apportée sous la forme</w:t>
      </w:r>
      <w:r w:rsidR="00382E03" w:rsidRPr="00A27F8A">
        <w:t xml:space="preserve"> d’informations aux fins de </w:t>
      </w:r>
      <w:r w:rsidR="009A516E">
        <w:t>l’établissement,</w:t>
      </w:r>
      <w:r w:rsidR="00382E03" w:rsidRPr="00A27F8A">
        <w:t xml:space="preserve"> </w:t>
      </w:r>
      <w:r w:rsidR="009A516E" w:rsidRPr="00A27F8A">
        <w:t>par le PNUE</w:t>
      </w:r>
      <w:r w:rsidR="009A516E">
        <w:t>,</w:t>
      </w:r>
      <w:r w:rsidR="009A516E" w:rsidRPr="00A27F8A">
        <w:t xml:space="preserve"> </w:t>
      </w:r>
      <w:r w:rsidR="00382E03" w:rsidRPr="00A27F8A">
        <w:t>d’un rapport</w:t>
      </w:r>
      <w:r w:rsidR="00FF2144" w:rsidRPr="00A27F8A">
        <w:t xml:space="preserve"> </w:t>
      </w:r>
      <w:r w:rsidR="00382E03" w:rsidRPr="00A27F8A">
        <w:t>de cartographie concernant les mandats et les compétences des organismes du système des Nations Unies en matière d’environnement</w:t>
      </w:r>
      <w:r w:rsidR="00FF2144" w:rsidRPr="00A27F8A">
        <w:t>.</w:t>
      </w:r>
      <w:r w:rsidR="009A516E">
        <w:t xml:space="preserve"> L</w:t>
      </w:r>
      <w:r w:rsidR="00382E03" w:rsidRPr="00A27F8A">
        <w:t>es participants au processus consultatif ont</w:t>
      </w:r>
      <w:r w:rsidR="009A516E">
        <w:t>, s</w:t>
      </w:r>
      <w:r w:rsidR="009A516E" w:rsidRPr="00A27F8A">
        <w:t xml:space="preserve">ur cette base, </w:t>
      </w:r>
      <w:r w:rsidR="00382E03" w:rsidRPr="00A27F8A">
        <w:t xml:space="preserve">convenu d’établir un cadre </w:t>
      </w:r>
      <w:r w:rsidR="009A516E">
        <w:t>pour l’élaboration de</w:t>
      </w:r>
      <w:r w:rsidR="00382E03" w:rsidRPr="00A27F8A">
        <w:t xml:space="preserve"> stratégies environnementales à l’échelle du système des Nations Unies</w:t>
      </w:r>
      <w:r w:rsidR="009A516E">
        <w:t>. Ce cadre serait</w:t>
      </w:r>
      <w:r w:rsidR="00382E03" w:rsidRPr="00A27F8A">
        <w:t xml:space="preserve"> axé sur le renforcement des synergies, de la collaboration et de la cohérence </w:t>
      </w:r>
      <w:r w:rsidR="002F273E" w:rsidRPr="00A27F8A">
        <w:t>entre les organismes des Nations Unies sur les questions environnementales aux fins du développement durable</w:t>
      </w:r>
      <w:r w:rsidR="00FF2144" w:rsidRPr="00A27F8A">
        <w:t>,</w:t>
      </w:r>
      <w:r w:rsidR="002F273E" w:rsidRPr="00A27F8A">
        <w:t xml:space="preserve"> en tirant </w:t>
      </w:r>
      <w:r w:rsidR="00380D29" w:rsidRPr="00A27F8A">
        <w:t>le meilleur</w:t>
      </w:r>
      <w:r w:rsidR="002F273E" w:rsidRPr="00A27F8A">
        <w:t xml:space="preserve"> parti du programme commun </w:t>
      </w:r>
      <w:r w:rsidR="00C542CF">
        <w:t>concernant l</w:t>
      </w:r>
      <w:r w:rsidR="002F273E" w:rsidRPr="00A27F8A">
        <w:t>es objectifs de développement durable afin de faciliter la convergence de leurs stratégies</w:t>
      </w:r>
      <w:r w:rsidR="00380D29" w:rsidRPr="00A27F8A">
        <w:t xml:space="preserve"> </w:t>
      </w:r>
      <w:r w:rsidR="00D3333B">
        <w:t>institutionnelles</w:t>
      </w:r>
      <w:r w:rsidR="00380D29" w:rsidRPr="00A27F8A">
        <w:t xml:space="preserve"> existantes et futures en matière d’environnement</w:t>
      </w:r>
      <w:r w:rsidR="00FF2144" w:rsidRPr="00A27F8A">
        <w:t>.</w:t>
      </w:r>
    </w:p>
    <w:p w:rsidR="00FF2144" w:rsidRPr="00A27F8A" w:rsidRDefault="009A516E" w:rsidP="008E0CA4">
      <w:pPr>
        <w:pStyle w:val="Normalnumber"/>
        <w:tabs>
          <w:tab w:val="clear" w:pos="1247"/>
          <w:tab w:val="clear" w:pos="1814"/>
          <w:tab w:val="clear" w:pos="2381"/>
          <w:tab w:val="clear" w:pos="2948"/>
          <w:tab w:val="clear" w:pos="3515"/>
          <w:tab w:val="clear" w:pos="4082"/>
          <w:tab w:val="left" w:pos="624"/>
        </w:tabs>
        <w:ind w:left="1247" w:firstLine="0"/>
      </w:pPr>
      <w:r>
        <w:t>Le cadre pour l’élaboration de</w:t>
      </w:r>
      <w:r w:rsidR="006B66F0" w:rsidRPr="00A27F8A">
        <w:t xml:space="preserve"> stratégies à l’échelle du système vise à assurer la cohérence des politiques </w:t>
      </w:r>
      <w:r>
        <w:t>pertinentes et</w:t>
      </w:r>
      <w:r w:rsidR="00957861" w:rsidRPr="00A27F8A">
        <w:t xml:space="preserve"> la coordination efficace des différents services, activités et</w:t>
      </w:r>
      <w:r>
        <w:t xml:space="preserve"> programmes mis en place au sein du </w:t>
      </w:r>
      <w:r w:rsidR="00957861" w:rsidRPr="00A27F8A">
        <w:t xml:space="preserve">système des Nations Unies dans le domaine de l’environnement, en tenant compte, entre autres, des objectifs de développement durable et des objectifs et cadres </w:t>
      </w:r>
      <w:r>
        <w:t>réglementaires</w:t>
      </w:r>
      <w:r w:rsidR="00957861" w:rsidRPr="00A27F8A">
        <w:t xml:space="preserve"> des accords multilatéraux sur l’environnement</w:t>
      </w:r>
      <w:r w:rsidR="00FF2144" w:rsidRPr="00A27F8A">
        <w:t>.</w:t>
      </w:r>
      <w:r>
        <w:t xml:space="preserve"> C</w:t>
      </w:r>
      <w:r w:rsidR="00957861" w:rsidRPr="00A27F8A">
        <w:t>e cadre</w:t>
      </w:r>
      <w:r w:rsidR="003263B2" w:rsidRPr="00A27F8A">
        <w:t xml:space="preserve"> englobera un certain nombre de sous-stratégies </w:t>
      </w:r>
      <w:r w:rsidR="003263B2" w:rsidRPr="00A27F8A">
        <w:lastRenderedPageBreak/>
        <w:t xml:space="preserve">thématiques, y compris toute sous-stratégie déjà mise en œuvre sous la </w:t>
      </w:r>
      <w:r w:rsidR="00A71126" w:rsidRPr="00A27F8A">
        <w:t>conduite</w:t>
      </w:r>
      <w:r w:rsidR="003263B2" w:rsidRPr="00A27F8A">
        <w:t xml:space="preserve"> d’une entité des Nations Unies, s’appuiera sur </w:t>
      </w:r>
      <w:r w:rsidR="00C542CF">
        <w:t>celles-ci</w:t>
      </w:r>
      <w:r>
        <w:t xml:space="preserve"> </w:t>
      </w:r>
      <w:r w:rsidR="00A71126" w:rsidRPr="00A27F8A">
        <w:t>et servira à les structurer</w:t>
      </w:r>
      <w:r w:rsidR="00FF2144" w:rsidRPr="00A27F8A">
        <w:t>.</w:t>
      </w:r>
      <w:r w:rsidR="00A71126" w:rsidRPr="00A27F8A">
        <w:t xml:space="preserve"> </w:t>
      </w:r>
      <w:r w:rsidR="006913E1">
        <w:t>C</w:t>
      </w:r>
      <w:r w:rsidR="00A71126" w:rsidRPr="00A27F8A">
        <w:t>e cadre</w:t>
      </w:r>
      <w:r w:rsidR="006913E1">
        <w:t>, qui favorisera une démarche</w:t>
      </w:r>
      <w:r w:rsidR="00C542CF">
        <w:t xml:space="preserve"> à l’échelle du système, appuiera</w:t>
      </w:r>
      <w:r w:rsidR="00A71126" w:rsidRPr="00A27F8A">
        <w:t xml:space="preserve"> les travaux de l’Assemblée des Nations Unies pour l’environnement </w:t>
      </w:r>
      <w:r w:rsidR="00FE4B8D" w:rsidRPr="00A27F8A">
        <w:t xml:space="preserve">visant à fournir des </w:t>
      </w:r>
      <w:r w:rsidR="006913E1">
        <w:t>orientations de politique générale concernant</w:t>
      </w:r>
      <w:r w:rsidR="00FE4B8D" w:rsidRPr="00A27F8A">
        <w:t xml:space="preserve"> les programmes relatifs à l’environnement </w:t>
      </w:r>
      <w:r w:rsidR="006913E1">
        <w:t xml:space="preserve">au sein du système </w:t>
      </w:r>
      <w:r w:rsidR="00FE4B8D" w:rsidRPr="00A27F8A">
        <w:t>des Nations Unies, conformément à la résolution </w:t>
      </w:r>
      <w:r w:rsidR="009C4E3A" w:rsidRPr="00A27F8A">
        <w:t>2997 </w:t>
      </w:r>
      <w:r w:rsidR="00FE4B8D" w:rsidRPr="00A27F8A">
        <w:t xml:space="preserve">(XXVII) de l’Assemblée générale et en tenant compte des mandats </w:t>
      </w:r>
      <w:r w:rsidR="006913E1">
        <w:t xml:space="preserve">respectifs </w:t>
      </w:r>
      <w:r w:rsidR="00FE4B8D" w:rsidRPr="00A27F8A">
        <w:t>et des organes</w:t>
      </w:r>
      <w:r w:rsidR="006913E1">
        <w:t xml:space="preserve"> directeurs</w:t>
      </w:r>
      <w:r w:rsidR="00FE4B8D" w:rsidRPr="00A27F8A">
        <w:t xml:space="preserve"> </w:t>
      </w:r>
      <w:r w:rsidR="009C4E3A" w:rsidRPr="00A27F8A">
        <w:t xml:space="preserve">délibérants et autonomes </w:t>
      </w:r>
      <w:r w:rsidR="00C542CF">
        <w:t>d’autres entités</w:t>
      </w:r>
      <w:r w:rsidR="009C4E3A" w:rsidRPr="00A27F8A">
        <w:t xml:space="preserve"> des Nations Unies</w:t>
      </w:r>
      <w:r w:rsidR="00FF2144" w:rsidRPr="00A27F8A">
        <w:t xml:space="preserve">. </w:t>
      </w:r>
    </w:p>
    <w:p w:rsidR="002D7039" w:rsidRPr="00A27F8A" w:rsidRDefault="009C4E3A"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Un projet de cadre </w:t>
      </w:r>
      <w:r w:rsidR="006913E1">
        <w:t xml:space="preserve">pour l’élaboration </w:t>
      </w:r>
      <w:r w:rsidRPr="00A27F8A">
        <w:t xml:space="preserve">de stratégies à l’échelle du système </w:t>
      </w:r>
      <w:r w:rsidR="00C162B0">
        <w:rPr>
          <w:lang w:val="en-GB"/>
        </w:rPr>
        <w:t>(UNEP/EA.2/INF/</w:t>
      </w:r>
      <w:r w:rsidR="006913E1" w:rsidRPr="003F04A9">
        <w:rPr>
          <w:lang w:val="en-GB"/>
        </w:rPr>
        <w:t>6)</w:t>
      </w:r>
      <w:r w:rsidR="006913E1">
        <w:rPr>
          <w:lang w:val="en-GB"/>
        </w:rPr>
        <w:t xml:space="preserve"> </w:t>
      </w:r>
      <w:r w:rsidRPr="00A27F8A">
        <w:t>a été transmis aux</w:t>
      </w:r>
      <w:r w:rsidR="00B4246C" w:rsidRPr="00A27F8A">
        <w:t xml:space="preserve"> </w:t>
      </w:r>
      <w:r w:rsidRPr="00A27F8A">
        <w:t>hauts responsables afin que ceux-ci l’examinent et l’approuvent</w:t>
      </w:r>
      <w:r w:rsidR="00235FB4" w:rsidRPr="00A27F8A">
        <w:t>. Il sera ensuite porté à l’attention du</w:t>
      </w:r>
      <w:r w:rsidR="00B4246C" w:rsidRPr="00A27F8A">
        <w:t xml:space="preserve"> </w:t>
      </w:r>
      <w:r w:rsidR="00235FB4" w:rsidRPr="00A27F8A">
        <w:t xml:space="preserve">Conseil des chefs de secrétariat et soumis par le </w:t>
      </w:r>
      <w:r w:rsidR="00282E65" w:rsidRPr="00A27F8A">
        <w:t>p</w:t>
      </w:r>
      <w:r w:rsidR="00235FB4" w:rsidRPr="00A27F8A">
        <w:t>résident du Groupe de la gestion de l’environnement à l’Assemblée des Nations Unies pour l’environnement</w:t>
      </w:r>
      <w:r w:rsidR="00FF2144" w:rsidRPr="00A27F8A">
        <w:t xml:space="preserve">. </w:t>
      </w:r>
    </w:p>
    <w:p w:rsidR="004F02B4" w:rsidRPr="00A27F8A" w:rsidRDefault="002870DF" w:rsidP="008E0CA4">
      <w:pPr>
        <w:pStyle w:val="CH2"/>
        <w:rPr>
          <w:lang w:val="fr-FR"/>
        </w:rPr>
      </w:pPr>
      <w:r w:rsidRPr="00A27F8A">
        <w:rPr>
          <w:lang w:val="fr-FR"/>
        </w:rPr>
        <w:tab/>
      </w:r>
      <w:r w:rsidR="004F02B4" w:rsidRPr="00A27F8A">
        <w:rPr>
          <w:lang w:val="fr-FR"/>
        </w:rPr>
        <w:t>D.</w:t>
      </w:r>
      <w:r w:rsidR="004F02B4" w:rsidRPr="00A27F8A">
        <w:rPr>
          <w:lang w:val="fr-FR"/>
        </w:rPr>
        <w:tab/>
        <w:t>Maximi</w:t>
      </w:r>
      <w:r w:rsidR="00420900" w:rsidRPr="00A27F8A">
        <w:rPr>
          <w:lang w:val="fr-FR"/>
        </w:rPr>
        <w:t xml:space="preserve">ser l’efficacité du Groupe de la gestion de l’environnement </w:t>
      </w:r>
    </w:p>
    <w:p w:rsidR="00B4246C" w:rsidRPr="00A27F8A" w:rsidRDefault="006913E1" w:rsidP="008E0CA4">
      <w:pPr>
        <w:pStyle w:val="Normalnumber"/>
        <w:ind w:left="1247" w:firstLine="0"/>
      </w:pPr>
      <w:r>
        <w:t>Dans le cadre des discussions sur le programme de développement pour l’après-2015, qui ont permis de</w:t>
      </w:r>
      <w:r w:rsidR="00282E65" w:rsidRPr="00A27F8A">
        <w:rPr>
          <w:rFonts w:eastAsia="MS Mincho"/>
        </w:rPr>
        <w:t xml:space="preserve"> renforcer la coordination de la dimension environnementale du développement durable, l’Assemblée des Nations Unies pour l’environnement, dans sa résolution 1/11, a prié</w:t>
      </w:r>
      <w:r w:rsidR="00B4246C" w:rsidRPr="00A27F8A">
        <w:t xml:space="preserve"> </w:t>
      </w:r>
      <w:r w:rsidR="00282E65" w:rsidRPr="00A27F8A">
        <w:t>le Directeur exécutif du PNUE, en sa qualité de président du Groupe de la gestion de l’environnement, et agissant en consultation avec le Secrétaire général et le Conseil des chefs de secrétariat, de mettre en évidence les mesures pouvant être prises pour maximiser l’efficacité et l’efficience du Groupe et de soumettre un rapport assorti de recommandations à l’Assemblée des Nations Unies pour l’environnement pour examen à sa deuxième session</w:t>
      </w:r>
      <w:r w:rsidR="004C4F80" w:rsidRPr="00A27F8A">
        <w:t>.</w:t>
      </w:r>
      <w:r w:rsidR="00282E65" w:rsidRPr="00A27F8A">
        <w:t xml:space="preserve"> À leur vingtième réunion, les hauts responsables du Groupe de la gestion de l’environnement ont mis en place une équipe spéciale interinstitutions à cette fin</w:t>
      </w:r>
      <w:r w:rsidR="004C4F80" w:rsidRPr="00A27F8A">
        <w:t>.</w:t>
      </w:r>
    </w:p>
    <w:p w:rsidR="00B4246C" w:rsidRPr="00A27F8A" w:rsidRDefault="00CE3569"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L’équipe spéciale a réalisé un examen du mandat, du fonctionnement et des travaux du Groupe de la gestion de l’environnement </w:t>
      </w:r>
      <w:r w:rsidR="00466E20" w:rsidRPr="00A27F8A">
        <w:t>et</w:t>
      </w:r>
      <w:r w:rsidR="00B4246C" w:rsidRPr="00A27F8A">
        <w:t xml:space="preserve">, </w:t>
      </w:r>
      <w:r w:rsidR="00466E20" w:rsidRPr="00A27F8A">
        <w:t>plus largement</w:t>
      </w:r>
      <w:r w:rsidR="00B4246C" w:rsidRPr="00A27F8A">
        <w:t xml:space="preserve">, </w:t>
      </w:r>
      <w:r w:rsidR="00466E20" w:rsidRPr="00A27F8A">
        <w:t>de son efficacité</w:t>
      </w:r>
      <w:r w:rsidR="004C4F80" w:rsidRPr="00A27F8A">
        <w:t xml:space="preserve"> </w:t>
      </w:r>
      <w:r w:rsidR="00466E20" w:rsidRPr="00A27F8A">
        <w:t>et de son aptitude à s’acquitter de ses fonctions</w:t>
      </w:r>
      <w:r w:rsidR="004C4F80" w:rsidRPr="00A27F8A">
        <w:t xml:space="preserve">, </w:t>
      </w:r>
      <w:r w:rsidR="00466E20" w:rsidRPr="00A27F8A">
        <w:t xml:space="preserve">aboutissant à l’élaboration d’un rapport intitulé </w:t>
      </w:r>
      <w:hyperlink r:id="rId20" w:history="1">
        <w:r w:rsidR="00466E20" w:rsidRPr="00A27F8A">
          <w:rPr>
            <w:rStyle w:val="Hyperlink"/>
            <w:color w:val="auto"/>
            <w:u w:val="none"/>
          </w:rPr>
          <w:t>« </w:t>
        </w:r>
        <w:r w:rsidR="004C4F80" w:rsidRPr="00A27F8A">
          <w:rPr>
            <w:rStyle w:val="Hyperlink"/>
            <w:color w:val="auto"/>
            <w:u w:val="none"/>
          </w:rPr>
          <w:t xml:space="preserve">Maximizing the effectiveness of the Environment Management Group in the context of the 2030 </w:t>
        </w:r>
        <w:r w:rsidR="00E515BC" w:rsidRPr="00A27F8A">
          <w:rPr>
            <w:rStyle w:val="Hyperlink"/>
            <w:color w:val="auto"/>
            <w:u w:val="none"/>
          </w:rPr>
          <w:t>A</w:t>
        </w:r>
        <w:r w:rsidR="004C4F80" w:rsidRPr="00A27F8A">
          <w:rPr>
            <w:rStyle w:val="Hyperlink"/>
            <w:color w:val="auto"/>
            <w:u w:val="none"/>
          </w:rPr>
          <w:t>genda</w:t>
        </w:r>
        <w:r w:rsidR="00E515BC" w:rsidRPr="00A27F8A">
          <w:rPr>
            <w:rStyle w:val="Hyperlink"/>
            <w:color w:val="auto"/>
            <w:u w:val="none"/>
          </w:rPr>
          <w:t xml:space="preserve"> for Sustainable Development</w:t>
        </w:r>
      </w:hyperlink>
      <w:r w:rsidR="00466E20" w:rsidRPr="00A27F8A">
        <w:t> »</w:t>
      </w:r>
      <w:r w:rsidR="004C4F80" w:rsidRPr="00A27F8A">
        <w:t xml:space="preserve">. </w:t>
      </w:r>
      <w:r w:rsidR="00466E20" w:rsidRPr="00A27F8A">
        <w:t>L’équipe spéciale poursuivra ses travaux en tenant compte des recommandations et des conclusions du rapport, en examinant leurs éventuelles implications</w:t>
      </w:r>
      <w:r w:rsidR="006913E1">
        <w:t xml:space="preserve"> ainsi qu’en déterminant l</w:t>
      </w:r>
      <w:r w:rsidR="00760510" w:rsidRPr="00A27F8A">
        <w:t xml:space="preserve">es mesures </w:t>
      </w:r>
      <w:r w:rsidR="006913E1">
        <w:t xml:space="preserve">à prendre </w:t>
      </w:r>
      <w:r w:rsidR="00760510" w:rsidRPr="00A27F8A">
        <w:t xml:space="preserve">à court terme et à long terme </w:t>
      </w:r>
      <w:r w:rsidR="006913E1">
        <w:t>en vue d’</w:t>
      </w:r>
      <w:r w:rsidR="00760510" w:rsidRPr="00A27F8A">
        <w:t xml:space="preserve">améliorer l’efficacité du Groupe à l’appui du Programme </w:t>
      </w:r>
      <w:r w:rsidR="00760510" w:rsidRPr="00A27F8A">
        <w:rPr>
          <w:rFonts w:eastAsia="MS Mincho"/>
        </w:rPr>
        <w:t>de développement durable</w:t>
      </w:r>
      <w:r w:rsidR="00760510" w:rsidRPr="00A27F8A">
        <w:t xml:space="preserve"> à l’horizon 2030</w:t>
      </w:r>
      <w:r w:rsidR="00E515BC" w:rsidRPr="00A27F8A">
        <w:t>.</w:t>
      </w:r>
    </w:p>
    <w:p w:rsidR="00DE4F6D" w:rsidRPr="00A27F8A" w:rsidRDefault="008D39D1" w:rsidP="008E0CA4">
      <w:pPr>
        <w:pStyle w:val="Normalnumber"/>
        <w:ind w:left="1247" w:firstLine="0"/>
      </w:pPr>
      <w:r w:rsidRPr="00A27F8A">
        <w:t>En outre</w:t>
      </w:r>
      <w:r w:rsidR="003347CA" w:rsidRPr="00A27F8A">
        <w:t xml:space="preserve">, </w:t>
      </w:r>
      <w:r w:rsidRPr="00A27F8A">
        <w:t>les hauts responsables ont prié l’équipe spéciale d’</w:t>
      </w:r>
      <w:r w:rsidR="006913E1">
        <w:t>établir</w:t>
      </w:r>
      <w:r w:rsidRPr="00A27F8A">
        <w:t xml:space="preserve"> un rapport sur la mise en œuvre de la dimension environnementale des objectifs de développement durable</w:t>
      </w:r>
      <w:r w:rsidR="006913E1">
        <w:t>, comportant notamment</w:t>
      </w:r>
      <w:r w:rsidRPr="00A27F8A">
        <w:t xml:space="preserve"> une analy</w:t>
      </w:r>
      <w:r w:rsidR="00673FFD">
        <w:t>se des possibilités de synergie</w:t>
      </w:r>
      <w:r w:rsidRPr="00A27F8A">
        <w:t xml:space="preserve"> avec les accords multilatéraux sur l’environnement et de la manière dont la dimension environnementale pourrait contribuer à la </w:t>
      </w:r>
      <w:r w:rsidR="00E17C45" w:rsidRPr="00A27F8A">
        <w:t>réalisation des dimensions sociale et économique des objectifs de développement durable</w:t>
      </w:r>
      <w:r w:rsidR="00DE4F6D" w:rsidRPr="00A27F8A">
        <w:t>.</w:t>
      </w:r>
      <w:r w:rsidR="00E17C45" w:rsidRPr="00A27F8A">
        <w:t xml:space="preserve"> Cette analyse est en cours de réalisation et devrait être finalisée en avril </w:t>
      </w:r>
      <w:r w:rsidR="000A3712" w:rsidRPr="00A27F8A">
        <w:t>2016.</w:t>
      </w:r>
    </w:p>
    <w:p w:rsidR="00946C10" w:rsidRPr="00A27F8A" w:rsidRDefault="002870DF" w:rsidP="008E0CA4">
      <w:pPr>
        <w:pStyle w:val="CH1"/>
        <w:rPr>
          <w:lang w:val="fr-FR"/>
        </w:rPr>
      </w:pPr>
      <w:r w:rsidRPr="00A27F8A">
        <w:rPr>
          <w:lang w:val="fr-FR"/>
        </w:rPr>
        <w:tab/>
        <w:t>II</w:t>
      </w:r>
      <w:r w:rsidR="006D5EA7" w:rsidRPr="00A27F8A">
        <w:rPr>
          <w:lang w:val="fr-FR"/>
        </w:rPr>
        <w:t>I</w:t>
      </w:r>
      <w:r w:rsidRPr="00A27F8A">
        <w:rPr>
          <w:lang w:val="fr-FR"/>
        </w:rPr>
        <w:t>.</w:t>
      </w:r>
      <w:r w:rsidRPr="00A27F8A">
        <w:rPr>
          <w:lang w:val="fr-FR"/>
        </w:rPr>
        <w:tab/>
      </w:r>
      <w:r w:rsidR="00E17C45" w:rsidRPr="00A27F8A">
        <w:rPr>
          <w:lang w:val="fr-FR"/>
        </w:rPr>
        <w:t xml:space="preserve">Coordination du système des Nations Unies dans le domaine </w:t>
      </w:r>
      <w:r w:rsidR="00E867D8">
        <w:rPr>
          <w:lang w:val="fr-FR"/>
        </w:rPr>
        <w:br/>
      </w:r>
      <w:r w:rsidR="00E17C45" w:rsidRPr="00A27F8A">
        <w:rPr>
          <w:lang w:val="fr-FR"/>
        </w:rPr>
        <w:t>de l’environnement à l’appui du</w:t>
      </w:r>
      <w:r w:rsidR="006D5EA7" w:rsidRPr="00A27F8A">
        <w:rPr>
          <w:lang w:val="fr-FR"/>
        </w:rPr>
        <w:t xml:space="preserve"> </w:t>
      </w:r>
      <w:r w:rsidR="00E17C45" w:rsidRPr="00A27F8A">
        <w:rPr>
          <w:lang w:val="fr-FR"/>
        </w:rPr>
        <w:t xml:space="preserve">Programme </w:t>
      </w:r>
      <w:r w:rsidR="00E17C45" w:rsidRPr="00A27F8A">
        <w:rPr>
          <w:rFonts w:eastAsia="MS Mincho"/>
          <w:lang w:val="fr-FR"/>
        </w:rPr>
        <w:t>de développement durable</w:t>
      </w:r>
      <w:r w:rsidR="00E17C45" w:rsidRPr="00A27F8A">
        <w:rPr>
          <w:lang w:val="fr-FR"/>
        </w:rPr>
        <w:t xml:space="preserve"> à l’horizon 2030</w:t>
      </w:r>
    </w:p>
    <w:p w:rsidR="00D449F5" w:rsidRPr="00A27F8A" w:rsidRDefault="00FF2144" w:rsidP="008E0CA4">
      <w:pPr>
        <w:pStyle w:val="CH2"/>
        <w:rPr>
          <w:sz w:val="20"/>
          <w:szCs w:val="20"/>
          <w:lang w:val="fr-FR"/>
        </w:rPr>
      </w:pPr>
      <w:r w:rsidRPr="00A27F8A">
        <w:rPr>
          <w:lang w:val="fr-FR"/>
        </w:rPr>
        <w:tab/>
      </w:r>
      <w:r w:rsidR="004F02B4" w:rsidRPr="00A27F8A">
        <w:rPr>
          <w:lang w:val="fr-FR"/>
        </w:rPr>
        <w:t>A</w:t>
      </w:r>
      <w:r w:rsidR="005C2EB2" w:rsidRPr="00A27F8A">
        <w:rPr>
          <w:lang w:val="fr-FR"/>
        </w:rPr>
        <w:t>.</w:t>
      </w:r>
      <w:r w:rsidR="005C2EB2" w:rsidRPr="00A27F8A">
        <w:rPr>
          <w:lang w:val="fr-FR"/>
        </w:rPr>
        <w:tab/>
      </w:r>
      <w:r w:rsidR="00E17C45" w:rsidRPr="00A27F8A">
        <w:rPr>
          <w:lang w:val="fr-FR"/>
        </w:rPr>
        <w:t>Rô</w:t>
      </w:r>
      <w:r w:rsidR="0077602D" w:rsidRPr="00A27F8A">
        <w:rPr>
          <w:lang w:val="fr-FR"/>
        </w:rPr>
        <w:t xml:space="preserve">le </w:t>
      </w:r>
      <w:r w:rsidR="00E17C45" w:rsidRPr="00A27F8A">
        <w:rPr>
          <w:lang w:val="fr-FR"/>
        </w:rPr>
        <w:t xml:space="preserve">du PNUE dans d’autres mécanismes de coordination thématique </w:t>
      </w:r>
      <w:r w:rsidR="00006AFD">
        <w:rPr>
          <w:lang w:val="fr-FR"/>
        </w:rPr>
        <w:br/>
      </w:r>
      <w:r w:rsidR="00E17C45" w:rsidRPr="00A27F8A">
        <w:rPr>
          <w:lang w:val="fr-FR"/>
        </w:rPr>
        <w:t xml:space="preserve">au niveau mondial </w:t>
      </w:r>
    </w:p>
    <w:p w:rsidR="00456876" w:rsidRPr="00A27F8A" w:rsidRDefault="00651456" w:rsidP="008E0CA4">
      <w:pPr>
        <w:pStyle w:val="Normalnumber"/>
        <w:tabs>
          <w:tab w:val="clear" w:pos="1247"/>
          <w:tab w:val="clear" w:pos="1814"/>
          <w:tab w:val="clear" w:pos="2381"/>
          <w:tab w:val="clear" w:pos="2948"/>
          <w:tab w:val="clear" w:pos="3515"/>
          <w:tab w:val="clear" w:pos="4082"/>
          <w:tab w:val="left" w:pos="624"/>
        </w:tabs>
        <w:ind w:left="1247" w:firstLine="0"/>
      </w:pPr>
      <w:r w:rsidRPr="00A27F8A">
        <w:t>En sus du</w:t>
      </w:r>
      <w:r w:rsidR="00E17C45" w:rsidRPr="00A27F8A">
        <w:t xml:space="preserve"> Groupe de la gestion de l’environnement, le PNUE joue</w:t>
      </w:r>
      <w:r w:rsidR="00E867D8">
        <w:t xml:space="preserve"> un</w:t>
      </w:r>
      <w:r w:rsidRPr="00A27F8A">
        <w:t xml:space="preserve"> rôle de rassembleur et de chef de file dans un certain nombre de mécanismes de coordination thématique qui sont actifs au niveau mondial</w:t>
      </w:r>
      <w:r w:rsidR="00DC1DB9" w:rsidRPr="00A27F8A">
        <w:t>.</w:t>
      </w:r>
      <w:r w:rsidR="00992C68" w:rsidRPr="00A27F8A">
        <w:t xml:space="preserve"> </w:t>
      </w:r>
      <w:r w:rsidR="000A25CE">
        <w:t>Le</w:t>
      </w:r>
      <w:r w:rsidR="00992C68" w:rsidRPr="00A27F8A">
        <w:t xml:space="preserve"> PNUE fournit également des orientations techniques relatives à l’environnement </w:t>
      </w:r>
      <w:r w:rsidR="001A4AE7" w:rsidRPr="00A27F8A">
        <w:t>par l’intermédiaire</w:t>
      </w:r>
      <w:r w:rsidR="00992C68" w:rsidRPr="00A27F8A">
        <w:t xml:space="preserve"> </w:t>
      </w:r>
      <w:r w:rsidR="00E867D8">
        <w:t>d’autres</w:t>
      </w:r>
      <w:r w:rsidR="00992C68" w:rsidRPr="00A27F8A">
        <w:t xml:space="preserve"> mécanismes de coordination thématique</w:t>
      </w:r>
      <w:r w:rsidR="000A25CE">
        <w:t xml:space="preserve"> décrits ci-après</w:t>
      </w:r>
      <w:r w:rsidR="001A4AE7" w:rsidRPr="00A27F8A">
        <w:t xml:space="preserve">, </w:t>
      </w:r>
      <w:r w:rsidR="000A25CE">
        <w:t>auxquels il pourrait s’associer</w:t>
      </w:r>
      <w:r w:rsidR="001A4AE7" w:rsidRPr="00A27F8A">
        <w:t xml:space="preserve"> lorsqu’il met en œuvre son programme de travail dans le cadre des efforts déployés à l’échelle du système des Nations Unies pour intégrer des cadres normatifs et opérationnels</w:t>
      </w:r>
      <w:r w:rsidR="002F5287" w:rsidRPr="00A27F8A">
        <w:t xml:space="preserve">. </w:t>
      </w:r>
      <w:r w:rsidR="00E867D8">
        <w:t>On trouvera dans l</w:t>
      </w:r>
      <w:r w:rsidR="002F5287" w:rsidRPr="00A27F8A">
        <w:t>e</w:t>
      </w:r>
      <w:r w:rsidR="00DC1DB9" w:rsidRPr="00A27F8A">
        <w:t xml:space="preserve"> </w:t>
      </w:r>
      <w:r w:rsidR="00B42BDA" w:rsidRPr="00A27F8A">
        <w:t xml:space="preserve">document </w:t>
      </w:r>
      <w:r w:rsidR="006300CA" w:rsidRPr="00A27F8A">
        <w:t>UNEP/EA.2/INF</w:t>
      </w:r>
      <w:r w:rsidR="006300CA" w:rsidRPr="00A27F8A">
        <w:rPr>
          <w:b/>
        </w:rPr>
        <w:t>/</w:t>
      </w:r>
      <w:r w:rsidR="00E867D8" w:rsidRPr="00E867D8">
        <w:t>14</w:t>
      </w:r>
      <w:r w:rsidR="00F06E45" w:rsidRPr="00A27F8A">
        <w:t xml:space="preserve"> </w:t>
      </w:r>
      <w:r w:rsidR="00B42BDA" w:rsidRPr="00A27F8A">
        <w:t>(a</w:t>
      </w:r>
      <w:r w:rsidR="002F5287" w:rsidRPr="00A27F8A">
        <w:t>nnexe </w:t>
      </w:r>
      <w:r w:rsidR="00E867D8">
        <w:t>IV</w:t>
      </w:r>
      <w:r w:rsidR="00B42BDA" w:rsidRPr="00A27F8A">
        <w:t>)</w:t>
      </w:r>
      <w:r w:rsidR="00E867D8">
        <w:t xml:space="preserve"> </w:t>
      </w:r>
      <w:r w:rsidR="002F5287" w:rsidRPr="00A27F8A">
        <w:t>des exemples de partenariats bilatéraux avec le PNUE, qui présentent des modalités opérationnelles supplémentaires pour renforcer la collaboration</w:t>
      </w:r>
      <w:r w:rsidR="00E37883" w:rsidRPr="00A27F8A">
        <w:t>,</w:t>
      </w:r>
      <w:r w:rsidR="002F5287" w:rsidRPr="00A27F8A">
        <w:t xml:space="preserve"> unir les efforts et tirer parti de l’expertise technique et des capacités opérationnelles de chaque partenaire</w:t>
      </w:r>
      <w:r w:rsidR="00E37883" w:rsidRPr="00A27F8A">
        <w:t>.</w:t>
      </w:r>
    </w:p>
    <w:p w:rsidR="00D449F5" w:rsidRPr="00A27F8A" w:rsidRDefault="00546FE8"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 PNUE réunit le</w:t>
      </w:r>
      <w:r w:rsidR="00D449F5" w:rsidRPr="00A27F8A">
        <w:t xml:space="preserve"> </w:t>
      </w:r>
      <w:r w:rsidR="001137A9" w:rsidRPr="00A27F8A">
        <w:t>Groupe de coordination interinstitutions pour le</w:t>
      </w:r>
      <w:r w:rsidR="00D449F5" w:rsidRPr="00A27F8A">
        <w:rPr>
          <w:color w:val="000000"/>
        </w:rPr>
        <w:t xml:space="preserve"> </w:t>
      </w:r>
      <w:hyperlink r:id="rId21" w:history="1">
        <w:r w:rsidR="001137A9" w:rsidRPr="00A27F8A">
          <w:rPr>
            <w:rStyle w:val="Hyperlink"/>
            <w:color w:val="auto"/>
            <w:u w:val="none"/>
          </w:rPr>
          <w:t>Cadre décennal de programmation concernant les modes de consommation et de production durables</w:t>
        </w:r>
      </w:hyperlink>
      <w:r w:rsidR="008F0EC0" w:rsidRPr="00A27F8A">
        <w:rPr>
          <w:color w:val="000000"/>
        </w:rPr>
        <w:t xml:space="preserve">, </w:t>
      </w:r>
      <w:r w:rsidR="001137A9" w:rsidRPr="00A27F8A">
        <w:rPr>
          <w:color w:val="000000"/>
        </w:rPr>
        <w:t>qui vise à assurer une meilleure visibilité</w:t>
      </w:r>
      <w:r w:rsidR="008F0EC0" w:rsidRPr="00A27F8A">
        <w:t xml:space="preserve"> </w:t>
      </w:r>
      <w:r w:rsidR="00751C82" w:rsidRPr="00A27F8A">
        <w:t>du C</w:t>
      </w:r>
      <w:r w:rsidR="006E14D8" w:rsidRPr="00A27F8A">
        <w:t>adre décennal de programmation</w:t>
      </w:r>
      <w:r w:rsidR="008F0EC0" w:rsidRPr="00A27F8A">
        <w:t xml:space="preserve"> </w:t>
      </w:r>
      <w:r w:rsidR="007A69F6" w:rsidRPr="00A27F8A">
        <w:t>en tant que mécanisme clé de mise en œuvre des résultats de la</w:t>
      </w:r>
      <w:r w:rsidR="00B42BDA" w:rsidRPr="00A27F8A">
        <w:t xml:space="preserve"> </w:t>
      </w:r>
      <w:r w:rsidR="007A69F6" w:rsidRPr="00A27F8A">
        <w:t>Conférence des Nations Unies sur le développement durable</w:t>
      </w:r>
      <w:r w:rsidR="00BA60A2" w:rsidRPr="00A27F8A">
        <w:t>;</w:t>
      </w:r>
      <w:r w:rsidR="007A69F6" w:rsidRPr="00A27F8A">
        <w:t xml:space="preserve"> une contribution coordonnée, efficace et substantielle du s</w:t>
      </w:r>
      <w:r w:rsidR="00751C82" w:rsidRPr="00A27F8A">
        <w:t>ystème des Nations Unies au C</w:t>
      </w:r>
      <w:r w:rsidR="007A69F6" w:rsidRPr="00A27F8A">
        <w:t>adre</w:t>
      </w:r>
      <w:r w:rsidR="00D449F5" w:rsidRPr="00A27F8A">
        <w:t>,</w:t>
      </w:r>
      <w:r w:rsidR="007A69F6" w:rsidRPr="00A27F8A">
        <w:t xml:space="preserve"> en respectant les mandats et les programmes de travail existants tout en remplissant </w:t>
      </w:r>
      <w:r w:rsidR="00E867D8">
        <w:t xml:space="preserve">ses objectifs, buts </w:t>
      </w:r>
      <w:r w:rsidR="007169A5" w:rsidRPr="00A27F8A">
        <w:t xml:space="preserve">et </w:t>
      </w:r>
      <w:r w:rsidR="007169A5" w:rsidRPr="00A27F8A">
        <w:lastRenderedPageBreak/>
        <w:t>fonctions par la mise en œuvre de ses six programmes à tous les niveaux</w:t>
      </w:r>
      <w:r w:rsidR="00BA60A2" w:rsidRPr="00A27F8A">
        <w:t xml:space="preserve">; </w:t>
      </w:r>
      <w:r w:rsidR="007169A5" w:rsidRPr="00A27F8A">
        <w:t>et un renforcement du partage des informations et de la coordination entre les organismes des Nations Unies afin d’appuyer les gouvernements et d’autres parties prenantes dans leurs efforts visant à passer à des modes de consommation et de production durables</w:t>
      </w:r>
      <w:r w:rsidR="00D449F5" w:rsidRPr="00A27F8A">
        <w:t>.</w:t>
      </w:r>
      <w:r w:rsidR="00B70BD6" w:rsidRPr="00A27F8A">
        <w:t xml:space="preserve"> D</w:t>
      </w:r>
      <w:r w:rsidR="00751C82" w:rsidRPr="00A27F8A">
        <w:t>es entités collaboratrices des Nations Unies jouent à présent le rôle</w:t>
      </w:r>
      <w:r w:rsidR="001A021F" w:rsidRPr="00A27F8A">
        <w:t xml:space="preserve"> d’organismes chefs de file pour différents programmes, </w:t>
      </w:r>
      <w:r w:rsidR="000F375E">
        <w:t>à l’instar</w:t>
      </w:r>
      <w:r w:rsidR="001A021F" w:rsidRPr="00A27F8A">
        <w:t xml:space="preserve"> de</w:t>
      </w:r>
      <w:r w:rsidR="00D449F5" w:rsidRPr="00A27F8A">
        <w:t xml:space="preserve"> </w:t>
      </w:r>
      <w:r w:rsidR="001A021F" w:rsidRPr="00A27F8A">
        <w:t>l’Organisation mondiale du tourisme</w:t>
      </w:r>
      <w:r w:rsidR="00B42BDA" w:rsidRPr="00A27F8A">
        <w:t>,</w:t>
      </w:r>
      <w:r w:rsidR="00C1703A" w:rsidRPr="00A27F8A">
        <w:t xml:space="preserve"> </w:t>
      </w:r>
      <w:r w:rsidR="003A21C3" w:rsidRPr="00A27F8A">
        <w:t xml:space="preserve">ou </w:t>
      </w:r>
      <w:r w:rsidR="000F375E">
        <w:t>sont membres du</w:t>
      </w:r>
      <w:r w:rsidR="003A21C3" w:rsidRPr="00A27F8A">
        <w:t xml:space="preserve"> Comité consultatif multipartite,</w:t>
      </w:r>
      <w:r w:rsidR="00A27F8A">
        <w:t xml:space="preserve"> notamment</w:t>
      </w:r>
      <w:r w:rsidR="003A21C3" w:rsidRPr="00A27F8A">
        <w:t xml:space="preserve"> </w:t>
      </w:r>
      <w:r w:rsidR="00D82906" w:rsidRPr="00A27F8A">
        <w:t>l’Organisation des Nations Unies pour l’alimentation et l’agriculture</w:t>
      </w:r>
      <w:r w:rsidR="00C1703A" w:rsidRPr="00A27F8A">
        <w:t xml:space="preserve">, </w:t>
      </w:r>
      <w:r w:rsidR="00D82906" w:rsidRPr="00A27F8A">
        <w:t>le Programme des Nations Unies pour le développement, l’Organisation des Nations Unies pour l’éducation, la science et la culture</w:t>
      </w:r>
      <w:r w:rsidR="00C1703A" w:rsidRPr="00A27F8A">
        <w:t xml:space="preserve">, </w:t>
      </w:r>
      <w:r w:rsidR="00D82906" w:rsidRPr="00A27F8A">
        <w:t>le</w:t>
      </w:r>
      <w:r w:rsidR="00E515BC" w:rsidRPr="00A27F8A">
        <w:t xml:space="preserve"> </w:t>
      </w:r>
      <w:r w:rsidR="00D82906" w:rsidRPr="00A27F8A">
        <w:t>Programme des Nations Unies pour les établissements humains</w:t>
      </w:r>
      <w:r w:rsidR="00C1703A" w:rsidRPr="00A27F8A">
        <w:t xml:space="preserve">, </w:t>
      </w:r>
      <w:r w:rsidR="00D82906" w:rsidRPr="00A27F8A">
        <w:t>le</w:t>
      </w:r>
      <w:r w:rsidR="00C1703A" w:rsidRPr="00A27F8A">
        <w:t xml:space="preserve"> secr</w:t>
      </w:r>
      <w:r w:rsidR="00D82906" w:rsidRPr="00A27F8A">
        <w:t>é</w:t>
      </w:r>
      <w:r w:rsidR="00C1703A" w:rsidRPr="00A27F8A">
        <w:t xml:space="preserve">tariat </w:t>
      </w:r>
      <w:r w:rsidR="00D82906" w:rsidRPr="00A27F8A">
        <w:t>de la</w:t>
      </w:r>
      <w:r w:rsidR="00C1703A" w:rsidRPr="00A27F8A">
        <w:t xml:space="preserve"> Convention </w:t>
      </w:r>
      <w:r w:rsidR="00D82906" w:rsidRPr="00A27F8A">
        <w:t>sur la diversité biologique</w:t>
      </w:r>
      <w:r w:rsidR="00C1703A" w:rsidRPr="00A27F8A">
        <w:t xml:space="preserve">, </w:t>
      </w:r>
      <w:r w:rsidR="00D82906" w:rsidRPr="00A27F8A">
        <w:t>le</w:t>
      </w:r>
      <w:r w:rsidR="00C1703A" w:rsidRPr="00A27F8A">
        <w:t xml:space="preserve"> </w:t>
      </w:r>
      <w:r w:rsidR="00D82906" w:rsidRPr="00A27F8A">
        <w:t>Bureau des Nations Unies pour les services d’appui aux projets</w:t>
      </w:r>
      <w:r w:rsidR="00C1703A" w:rsidRPr="00A27F8A">
        <w:t>,</w:t>
      </w:r>
      <w:r w:rsidR="00C1703A" w:rsidRPr="00A27F8A" w:rsidDel="00674DA7">
        <w:t xml:space="preserve"> </w:t>
      </w:r>
      <w:r w:rsidR="00D82906" w:rsidRPr="00A27F8A">
        <w:t>le Centre de formation de l’Organisation internationale du Travail</w:t>
      </w:r>
      <w:r w:rsidR="00C1703A" w:rsidRPr="00A27F8A">
        <w:t xml:space="preserve"> </w:t>
      </w:r>
      <w:r w:rsidR="00D82906" w:rsidRPr="00A27F8A">
        <w:rPr>
          <w:bCs/>
        </w:rPr>
        <w:t>et l’Institut des hautes études</w:t>
      </w:r>
      <w:r w:rsidR="000F375E">
        <w:rPr>
          <w:bCs/>
        </w:rPr>
        <w:t xml:space="preserve"> de l’Université des Nations Unies</w:t>
      </w:r>
      <w:r w:rsidR="00D82906" w:rsidRPr="00A27F8A">
        <w:rPr>
          <w:bCs/>
        </w:rPr>
        <w:t xml:space="preserve">. </w:t>
      </w:r>
      <w:r w:rsidR="001A591C" w:rsidRPr="00A27F8A">
        <w:rPr>
          <w:bCs/>
        </w:rPr>
        <w:t>Certains</w:t>
      </w:r>
      <w:r w:rsidR="00D82906" w:rsidRPr="00A27F8A">
        <w:rPr>
          <w:bCs/>
        </w:rPr>
        <w:t xml:space="preserve"> des organismes susmentionnés</w:t>
      </w:r>
      <w:r w:rsidR="00B70BD6" w:rsidRPr="00A27F8A">
        <w:rPr>
          <w:bCs/>
        </w:rPr>
        <w:t xml:space="preserve"> participent également à l’élaboration de projets </w:t>
      </w:r>
      <w:r w:rsidR="000F375E">
        <w:rPr>
          <w:bCs/>
        </w:rPr>
        <w:t xml:space="preserve">de grande envergure </w:t>
      </w:r>
      <w:r w:rsidR="00B70BD6" w:rsidRPr="00A27F8A">
        <w:rPr>
          <w:bCs/>
        </w:rPr>
        <w:t>visant à mettre en place le Cadre en collaboration avec une série de partenaires</w:t>
      </w:r>
      <w:r w:rsidR="00D449F5" w:rsidRPr="00A27F8A">
        <w:t>.</w:t>
      </w:r>
      <w:r w:rsidR="001A591C" w:rsidRPr="00A27F8A">
        <w:t xml:space="preserve"> Un certain nombre d’</w:t>
      </w:r>
      <w:r w:rsidR="000F375E">
        <w:t>entités</w:t>
      </w:r>
      <w:r w:rsidR="001A591C" w:rsidRPr="00A27F8A">
        <w:t xml:space="preserve"> des Nations Unies ont participé activement aux </w:t>
      </w:r>
      <w:r w:rsidR="000F375E">
        <w:t xml:space="preserve">vastes </w:t>
      </w:r>
      <w:r w:rsidR="001A591C" w:rsidRPr="00A27F8A">
        <w:t xml:space="preserve">consultations multipartites </w:t>
      </w:r>
      <w:r w:rsidR="00044FC9" w:rsidRPr="00A27F8A">
        <w:t>qui ont abouti</w:t>
      </w:r>
      <w:r w:rsidR="000F375E">
        <w:t xml:space="preserve"> à l’élaboration six programmes, auxquels</w:t>
      </w:r>
      <w:r w:rsidR="00044FC9" w:rsidRPr="00A27F8A">
        <w:t xml:space="preserve"> 18 entités des Nations Unies sont partenaires</w:t>
      </w:r>
      <w:r w:rsidR="00D449F5" w:rsidRPr="00A27F8A">
        <w:t>.</w:t>
      </w:r>
      <w:r w:rsidR="00044FC9" w:rsidRPr="00A27F8A">
        <w:t xml:space="preserve"> Les réunions du Groupe de coordination interinstitutions ont également </w:t>
      </w:r>
      <w:r w:rsidR="00B35EEE" w:rsidRPr="00A27F8A">
        <w:t>été axées sur</w:t>
      </w:r>
      <w:r w:rsidR="00044FC9" w:rsidRPr="00A27F8A">
        <w:t xml:space="preserve"> la nécessité d’établir un lien entre le Cadre décennal de programmation et les objectifs de développement durable, </w:t>
      </w:r>
      <w:r w:rsidR="00B35EEE" w:rsidRPr="00A27F8A">
        <w:t xml:space="preserve">conduisant à une étroite collaboration avec la Division de statistique </w:t>
      </w:r>
      <w:r w:rsidR="000F375E">
        <w:t xml:space="preserve">de l’ONU </w:t>
      </w:r>
      <w:r w:rsidR="00B35EEE" w:rsidRPr="00A27F8A">
        <w:t>sur la question des indicateurs</w:t>
      </w:r>
      <w:r w:rsidR="00D449F5" w:rsidRPr="00A27F8A">
        <w:t xml:space="preserve"> </w:t>
      </w:r>
      <w:r w:rsidR="00F54840" w:rsidRPr="00A27F8A">
        <w:t xml:space="preserve">relatifs </w:t>
      </w:r>
      <w:r w:rsidR="000F375E">
        <w:t>à la consommation et la</w:t>
      </w:r>
      <w:r w:rsidR="00B35EEE" w:rsidRPr="00A27F8A">
        <w:t xml:space="preserve"> production durables</w:t>
      </w:r>
      <w:r w:rsidR="00D449F5" w:rsidRPr="00A27F8A">
        <w:t>,</w:t>
      </w:r>
      <w:r w:rsidR="00F003EF" w:rsidRPr="00A27F8A">
        <w:t xml:space="preserve"> appuyée par deux précédents documents </w:t>
      </w:r>
      <w:r w:rsidR="000F375E">
        <w:t>de synthèse</w:t>
      </w:r>
      <w:r w:rsidR="00F003EF" w:rsidRPr="00A27F8A">
        <w:t xml:space="preserve"> du PNUE </w:t>
      </w:r>
      <w:r w:rsidR="000F375E">
        <w:t>portant sur l</w:t>
      </w:r>
      <w:r w:rsidR="00F003EF" w:rsidRPr="00A27F8A">
        <w:t xml:space="preserve">es </w:t>
      </w:r>
      <w:r w:rsidR="000F375E">
        <w:t xml:space="preserve">cibles </w:t>
      </w:r>
      <w:r w:rsidR="00F003EF" w:rsidRPr="00A27F8A">
        <w:t xml:space="preserve">et des indicateurs </w:t>
      </w:r>
      <w:r w:rsidR="00F54840" w:rsidRPr="00A27F8A">
        <w:t>relatifs aux modes de</w:t>
      </w:r>
      <w:r w:rsidR="00F003EF" w:rsidRPr="00A27F8A">
        <w:t xml:space="preserve"> consommation et de production durables aux fins des objectifs de développement durable</w:t>
      </w:r>
      <w:r w:rsidR="00D449F5" w:rsidRPr="00A27F8A">
        <w:t>.</w:t>
      </w:r>
      <w:r w:rsidR="00DC1DB9" w:rsidRPr="00A27F8A">
        <w:t xml:space="preserve"> </w:t>
      </w:r>
    </w:p>
    <w:p w:rsidR="00AA3A2E" w:rsidRPr="00A27F8A" w:rsidRDefault="002B41A4"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 PNUE</w:t>
      </w:r>
      <w:r w:rsidR="00D449F5" w:rsidRPr="00A27F8A">
        <w:t xml:space="preserve"> </w:t>
      </w:r>
      <w:r w:rsidR="000F375E">
        <w:t>co-organise le</w:t>
      </w:r>
      <w:r w:rsidR="00D449F5" w:rsidRPr="00A27F8A">
        <w:rPr>
          <w:color w:val="000000"/>
        </w:rPr>
        <w:t xml:space="preserve"> </w:t>
      </w:r>
      <w:hyperlink r:id="rId22" w:history="1">
        <w:r w:rsidR="008E0D46" w:rsidRPr="00A27F8A">
          <w:rPr>
            <w:rStyle w:val="Hyperlink"/>
            <w:color w:val="000000"/>
            <w:u w:val="none"/>
          </w:rPr>
          <w:t>groupe de travail interinstitutions des Nations Unies sur la science, la technologie et l’innovation pour la réalisation des objectifs de développement durable</w:t>
        </w:r>
      </w:hyperlink>
      <w:r w:rsidR="004A2E24" w:rsidRPr="00A27F8A">
        <w:rPr>
          <w:color w:val="000000"/>
        </w:rPr>
        <w:t>,</w:t>
      </w:r>
      <w:r w:rsidR="00D449F5" w:rsidRPr="00A27F8A">
        <w:rPr>
          <w:color w:val="000000"/>
        </w:rPr>
        <w:t xml:space="preserve"> </w:t>
      </w:r>
      <w:r w:rsidR="008E0D46" w:rsidRPr="00A27F8A">
        <w:rPr>
          <w:color w:val="000000"/>
        </w:rPr>
        <w:t xml:space="preserve">qui fait partie intégrante du </w:t>
      </w:r>
      <w:hyperlink r:id="rId23" w:history="1">
        <w:r w:rsidR="008E0D46" w:rsidRPr="00A27F8A">
          <w:rPr>
            <w:rStyle w:val="Hyperlink"/>
            <w:color w:val="000000"/>
            <w:u w:val="none"/>
          </w:rPr>
          <w:t>Mécanisme de facilitation des technologies</w:t>
        </w:r>
      </w:hyperlink>
      <w:r w:rsidR="00D449F5" w:rsidRPr="00A27F8A">
        <w:rPr>
          <w:color w:val="000000"/>
        </w:rPr>
        <w:t xml:space="preserve"> </w:t>
      </w:r>
      <w:r w:rsidR="00637CC1" w:rsidRPr="00A27F8A">
        <w:rPr>
          <w:color w:val="000000"/>
        </w:rPr>
        <w:t>mis en place en application du paragraphe </w:t>
      </w:r>
      <w:r w:rsidR="00D449F5" w:rsidRPr="00A27F8A">
        <w:rPr>
          <w:color w:val="000000"/>
        </w:rPr>
        <w:t xml:space="preserve">70 </w:t>
      </w:r>
      <w:r w:rsidR="00637CC1" w:rsidRPr="00A27F8A">
        <w:rPr>
          <w:color w:val="000000"/>
        </w:rPr>
        <w:t>du</w:t>
      </w:r>
      <w:r w:rsidR="00D449F5" w:rsidRPr="00A27F8A">
        <w:rPr>
          <w:color w:val="000000"/>
        </w:rPr>
        <w:t xml:space="preserve"> </w:t>
      </w:r>
      <w:r w:rsidR="00637CC1" w:rsidRPr="00A27F8A">
        <w:rPr>
          <w:color w:val="000000"/>
        </w:rPr>
        <w:t>document final du Sommet des Nations Unies consacré à l’adoption du programme de développement pour l’après-2015</w:t>
      </w:r>
      <w:r w:rsidR="000F375E">
        <w:rPr>
          <w:color w:val="000000"/>
        </w:rPr>
        <w:t>,</w:t>
      </w:r>
      <w:r w:rsidR="00637CC1" w:rsidRPr="00A27F8A">
        <w:rPr>
          <w:color w:val="000000"/>
        </w:rPr>
        <w:t xml:space="preserve"> </w:t>
      </w:r>
      <w:r w:rsidR="000F375E">
        <w:rPr>
          <w:color w:val="000000"/>
        </w:rPr>
        <w:t xml:space="preserve">intitulé </w:t>
      </w:r>
      <w:r w:rsidR="00637CC1" w:rsidRPr="00A27F8A">
        <w:rPr>
          <w:color w:val="000000"/>
        </w:rPr>
        <w:t>« Transformer notre monde : le Programme de développement durable à l’horizon 2030 »</w:t>
      </w:r>
      <w:r w:rsidR="004E0EF9">
        <w:rPr>
          <w:rStyle w:val="FootnoteReference"/>
        </w:rPr>
        <w:footnoteReference w:id="7"/>
      </w:r>
      <w:r w:rsidR="004A2E24" w:rsidRPr="00A27F8A">
        <w:t xml:space="preserve"> </w:t>
      </w:r>
      <w:r w:rsidR="00637CC1" w:rsidRPr="00A27F8A">
        <w:t>et du</w:t>
      </w:r>
      <w:r w:rsidR="00D449F5" w:rsidRPr="00A27F8A">
        <w:t xml:space="preserve"> paragraph</w:t>
      </w:r>
      <w:r w:rsidR="00637CC1" w:rsidRPr="00A27F8A">
        <w:t>e </w:t>
      </w:r>
      <w:r w:rsidR="00D449F5" w:rsidRPr="00A27F8A">
        <w:t xml:space="preserve">123 </w:t>
      </w:r>
      <w:r w:rsidR="005551A6">
        <w:t>du Programme d’</w:t>
      </w:r>
      <w:r w:rsidR="00637CC1" w:rsidRPr="00A27F8A">
        <w:t>a</w:t>
      </w:r>
      <w:r w:rsidR="00C542CF">
        <w:t xml:space="preserve">ction d’Addis-Abeba et lancé </w:t>
      </w:r>
      <w:r w:rsidR="00637CC1" w:rsidRPr="00A27F8A">
        <w:t xml:space="preserve">à l’occasion de ce Sommet qui s’est tenu en </w:t>
      </w:r>
      <w:r w:rsidR="008B36D9">
        <w:t>septembre </w:t>
      </w:r>
      <w:r w:rsidR="00637CC1" w:rsidRPr="00A27F8A">
        <w:t>2015</w:t>
      </w:r>
      <w:r w:rsidR="00D449F5" w:rsidRPr="00A27F8A">
        <w:t xml:space="preserve">. </w:t>
      </w:r>
      <w:r w:rsidR="00637CC1" w:rsidRPr="00A27F8A">
        <w:t>Le</w:t>
      </w:r>
      <w:r w:rsidR="00D449F5" w:rsidRPr="00A27F8A">
        <w:t xml:space="preserve"> </w:t>
      </w:r>
      <w:r w:rsidR="00637CC1" w:rsidRPr="00A27F8A">
        <w:t xml:space="preserve">Mécanisme de facilitation des technologies </w:t>
      </w:r>
      <w:r w:rsidR="00DD4DF4" w:rsidRPr="00A27F8A">
        <w:t>vise à promouvoir</w:t>
      </w:r>
      <w:r w:rsidR="00637CC1" w:rsidRPr="00A27F8A">
        <w:t xml:space="preserve"> la</w:t>
      </w:r>
      <w:r w:rsidR="00D449F5" w:rsidRPr="00A27F8A">
        <w:t xml:space="preserve"> coordination, </w:t>
      </w:r>
      <w:r w:rsidR="00637CC1" w:rsidRPr="00A27F8A">
        <w:t>la cohé</w:t>
      </w:r>
      <w:r w:rsidR="00D449F5" w:rsidRPr="00A27F8A">
        <w:t xml:space="preserve">rence </w:t>
      </w:r>
      <w:r w:rsidR="00637CC1" w:rsidRPr="00A27F8A">
        <w:t>et la coopé</w:t>
      </w:r>
      <w:r w:rsidR="00D449F5" w:rsidRPr="00A27F8A">
        <w:t xml:space="preserve">ration </w:t>
      </w:r>
      <w:r w:rsidR="00637CC1" w:rsidRPr="00A27F8A">
        <w:t xml:space="preserve">au sein du système des Nations Unies concernant les questions relatives à la science, à la technologie et à l’innovation tout en </w:t>
      </w:r>
      <w:r w:rsidR="00DD4DF4" w:rsidRPr="00A27F8A">
        <w:t>renforçant</w:t>
      </w:r>
      <w:r w:rsidR="00637CC1" w:rsidRPr="00A27F8A">
        <w:t xml:space="preserve"> les synergies et l’efficacité aux fins des initiatives de renforcement des capacités</w:t>
      </w:r>
      <w:r w:rsidR="002C77F0" w:rsidRPr="00A27F8A">
        <w:t xml:space="preserve">, </w:t>
      </w:r>
      <w:r w:rsidR="00DD4DF4" w:rsidRPr="00A27F8A">
        <w:t>entre autres</w:t>
      </w:r>
      <w:r w:rsidR="00D449F5" w:rsidRPr="00A27F8A">
        <w:t xml:space="preserve">. </w:t>
      </w:r>
      <w:r w:rsidR="00DD4DF4" w:rsidRPr="00A27F8A">
        <w:t>Le PNUE a été l’un des principaux moteurs de la création du groupe de travail officieux sur la fa</w:t>
      </w:r>
      <w:r w:rsidR="00EE5EB5">
        <w:t xml:space="preserve">cilitation des technologies, </w:t>
      </w:r>
      <w:r w:rsidR="000F375E">
        <w:t>qui a précédé le</w:t>
      </w:r>
      <w:r w:rsidR="00DD4DF4" w:rsidRPr="00A27F8A">
        <w:t xml:space="preserve"> groupe de travail interinstitutions</w:t>
      </w:r>
      <w:r w:rsidR="00CB65C0" w:rsidRPr="00A27F8A">
        <w:t>.</w:t>
      </w:r>
    </w:p>
    <w:p w:rsidR="00D449F5" w:rsidRPr="00A27F8A" w:rsidRDefault="000B1095" w:rsidP="008E0CA4">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A27F8A">
        <w:t>Le</w:t>
      </w:r>
      <w:r w:rsidR="00CB65C0" w:rsidRPr="00A27F8A">
        <w:t xml:space="preserve"> </w:t>
      </w:r>
      <w:r w:rsidRPr="00A27F8A">
        <w:t>groupe de travail interinstitutions est responsable de la préparation du forum de collaboration multipartite sur la science, la technologie et l’innovation pour la réalisation des objectifs de développement durable</w:t>
      </w:r>
      <w:r w:rsidR="00D449F5" w:rsidRPr="00A27F8A">
        <w:t xml:space="preserve"> </w:t>
      </w:r>
      <w:r w:rsidRPr="00A27F8A">
        <w:t xml:space="preserve">ainsi que de la </w:t>
      </w:r>
      <w:r w:rsidR="004D3D04" w:rsidRPr="00A27F8A">
        <w:t>création</w:t>
      </w:r>
      <w:r w:rsidRPr="00A27F8A">
        <w:t xml:space="preserve"> et</w:t>
      </w:r>
      <w:r w:rsidR="00D449F5" w:rsidRPr="00A27F8A">
        <w:t xml:space="preserve"> </w:t>
      </w:r>
      <w:r w:rsidR="004D3D04" w:rsidRPr="00A27F8A">
        <w:t>de la mise en place d’une plateforme en ligne sur les initiatives en matière de science, de technologie et d’innovation</w:t>
      </w:r>
      <w:r w:rsidR="00D449F5" w:rsidRPr="00A27F8A">
        <w:rPr>
          <w:color w:val="000000"/>
        </w:rPr>
        <w:t>.</w:t>
      </w:r>
      <w:r w:rsidR="004D3D04" w:rsidRPr="00A27F8A">
        <w:rPr>
          <w:color w:val="000000"/>
        </w:rPr>
        <w:t xml:space="preserve"> Il étudiera le rôle transversal que la science, la technologie et l’innovation en général – et les technologies </w:t>
      </w:r>
      <w:r w:rsidR="000F375E">
        <w:rPr>
          <w:color w:val="000000"/>
        </w:rPr>
        <w:t xml:space="preserve">respectueuses de l’environnement </w:t>
      </w:r>
      <w:r w:rsidR="004D3D04" w:rsidRPr="00A27F8A">
        <w:rPr>
          <w:color w:val="000000"/>
        </w:rPr>
        <w:t>en particulier – joueront dans la réalisation des objectifs de développement durable</w:t>
      </w:r>
      <w:r w:rsidR="00D449F5" w:rsidRPr="00A27F8A">
        <w:rPr>
          <w:color w:val="000000"/>
        </w:rPr>
        <w:t>.</w:t>
      </w:r>
      <w:r w:rsidR="004D3D04" w:rsidRPr="00A27F8A">
        <w:rPr>
          <w:color w:val="000000"/>
        </w:rPr>
        <w:t xml:space="preserve"> Il permet également au PNU</w:t>
      </w:r>
      <w:r w:rsidR="00B03F48" w:rsidRPr="00A27F8A">
        <w:rPr>
          <w:color w:val="000000"/>
        </w:rPr>
        <w:t>E de renforcer les liens entre l</w:t>
      </w:r>
      <w:r w:rsidR="004D3D04" w:rsidRPr="00A27F8A">
        <w:rPr>
          <w:color w:val="000000"/>
        </w:rPr>
        <w:t>es activités</w:t>
      </w:r>
      <w:r w:rsidR="00B03F48" w:rsidRPr="00A27F8A">
        <w:rPr>
          <w:color w:val="000000"/>
        </w:rPr>
        <w:t xml:space="preserve"> qu’il mène actuellement dans le domaine de la technologie, notamment</w:t>
      </w:r>
      <w:r w:rsidR="00D449F5" w:rsidRPr="00A27F8A">
        <w:rPr>
          <w:color w:val="000000"/>
        </w:rPr>
        <w:t xml:space="preserve"> </w:t>
      </w:r>
      <w:r w:rsidR="00B03F48" w:rsidRPr="00A27F8A">
        <w:rPr>
          <w:color w:val="000000"/>
        </w:rPr>
        <w:t xml:space="preserve">le </w:t>
      </w:r>
      <w:r w:rsidR="00B03F48" w:rsidRPr="00A27F8A">
        <w:t>Centre et Réseau des technologies climatiques</w:t>
      </w:r>
      <w:r w:rsidR="005F6F91" w:rsidRPr="00A27F8A">
        <w:rPr>
          <w:color w:val="000000"/>
        </w:rPr>
        <w:t>,</w:t>
      </w:r>
      <w:r w:rsidR="00D449F5" w:rsidRPr="00A27F8A">
        <w:rPr>
          <w:color w:val="000000"/>
        </w:rPr>
        <w:t xml:space="preserve"> </w:t>
      </w:r>
      <w:r w:rsidR="00B03F48" w:rsidRPr="00A27F8A">
        <w:rPr>
          <w:color w:val="000000"/>
        </w:rPr>
        <w:t>et les efforts de mise en œuvre qu’il déploie dans le contexte plus large des objectifs de développement durable</w:t>
      </w:r>
      <w:r w:rsidR="00D449F5" w:rsidRPr="00A27F8A">
        <w:rPr>
          <w:color w:val="000000"/>
        </w:rPr>
        <w:t>.</w:t>
      </w:r>
      <w:r w:rsidR="00B03F48" w:rsidRPr="00A27F8A">
        <w:rPr>
          <w:color w:val="000000"/>
        </w:rPr>
        <w:t xml:space="preserve"> À ce jour, les organismes membres du groupe de travail interinstitutions, y compris le PNUE, ont continué de fournir des informations aux fins d’une cartographie initiale des initiatives et des activités relatives à la </w:t>
      </w:r>
      <w:r w:rsidR="00A27F8A">
        <w:t xml:space="preserve">science, à la technologie et </w:t>
      </w:r>
      <w:r w:rsidR="00B03F48" w:rsidRPr="00A27F8A">
        <w:t>à l’innovation</w:t>
      </w:r>
      <w:r w:rsidR="00B03F48" w:rsidRPr="00A27F8A">
        <w:rPr>
          <w:color w:val="000000"/>
        </w:rPr>
        <w:t xml:space="preserve"> </w:t>
      </w:r>
      <w:r w:rsidR="002050E2" w:rsidRPr="00A27F8A">
        <w:rPr>
          <w:color w:val="000000"/>
        </w:rPr>
        <w:t xml:space="preserve">au sein du système des Nations Unies. De futurs efforts viseront notamment à </w:t>
      </w:r>
      <w:r w:rsidR="000F375E">
        <w:rPr>
          <w:color w:val="000000"/>
        </w:rPr>
        <w:t xml:space="preserve">apporter des contributions techniques </w:t>
      </w:r>
      <w:r w:rsidR="002050E2" w:rsidRPr="00A27F8A">
        <w:rPr>
          <w:color w:val="000000"/>
        </w:rPr>
        <w:t>au</w:t>
      </w:r>
      <w:r w:rsidR="00D449F5" w:rsidRPr="00A27F8A">
        <w:rPr>
          <w:color w:val="000000"/>
        </w:rPr>
        <w:t xml:space="preserve"> </w:t>
      </w:r>
      <w:r w:rsidR="002050E2" w:rsidRPr="00A27F8A">
        <w:t>forum multipartite sur la science, la technologie et l’innovation</w:t>
      </w:r>
      <w:r w:rsidR="00D449F5" w:rsidRPr="00A27F8A">
        <w:rPr>
          <w:color w:val="000000"/>
        </w:rPr>
        <w:t xml:space="preserve">. </w:t>
      </w:r>
    </w:p>
    <w:p w:rsidR="00D449F5" w:rsidRPr="00A27F8A" w:rsidRDefault="00E24243" w:rsidP="008E0CA4">
      <w:pPr>
        <w:pStyle w:val="Normalnumber"/>
        <w:tabs>
          <w:tab w:val="clear" w:pos="1247"/>
          <w:tab w:val="clear" w:pos="1814"/>
          <w:tab w:val="clear" w:pos="2381"/>
          <w:tab w:val="clear" w:pos="2948"/>
          <w:tab w:val="clear" w:pos="3515"/>
          <w:tab w:val="clear" w:pos="4082"/>
          <w:tab w:val="left" w:pos="624"/>
        </w:tabs>
        <w:ind w:left="1247" w:firstLine="0"/>
      </w:pPr>
      <w:r w:rsidRPr="00A27F8A">
        <w:rPr>
          <w:color w:val="000000"/>
        </w:rPr>
        <w:t>Le PNUE travaille en collaboration avec la</w:t>
      </w:r>
      <w:r w:rsidR="00D449F5" w:rsidRPr="00A27F8A">
        <w:rPr>
          <w:color w:val="000000"/>
        </w:rPr>
        <w:t xml:space="preserve"> </w:t>
      </w:r>
      <w:hyperlink r:id="rId24" w:history="1">
        <w:r w:rsidRPr="00A27F8A">
          <w:rPr>
            <w:rStyle w:val="Hyperlink"/>
            <w:color w:val="000000"/>
            <w:u w:val="none"/>
          </w:rPr>
          <w:t>Division de statistique</w:t>
        </w:r>
      </w:hyperlink>
      <w:r w:rsidR="00D449F5" w:rsidRPr="00A27F8A">
        <w:rPr>
          <w:color w:val="000000"/>
        </w:rPr>
        <w:t xml:space="preserve"> </w:t>
      </w:r>
      <w:r w:rsidR="000F375E">
        <w:rPr>
          <w:color w:val="000000"/>
        </w:rPr>
        <w:t xml:space="preserve">de l’ONU </w:t>
      </w:r>
      <w:r w:rsidRPr="00A27F8A">
        <w:rPr>
          <w:color w:val="000000"/>
        </w:rPr>
        <w:t>pour appuyer les travaux</w:t>
      </w:r>
      <w:r w:rsidR="00D449F5" w:rsidRPr="00A27F8A">
        <w:rPr>
          <w:color w:val="000000"/>
        </w:rPr>
        <w:t xml:space="preserve"> </w:t>
      </w:r>
      <w:r w:rsidRPr="00A27F8A">
        <w:rPr>
          <w:color w:val="000000"/>
        </w:rPr>
        <w:t>du Groupe d’experts des Nations Unies et de l’extérieur chargé des indicateurs relatifs aux objectifs de développement durable</w:t>
      </w:r>
      <w:r w:rsidR="000F375E">
        <w:rPr>
          <w:color w:val="000000"/>
        </w:rPr>
        <w:t>, qui est composé d’États M</w:t>
      </w:r>
      <w:r w:rsidR="00FA2A04" w:rsidRPr="00A27F8A">
        <w:rPr>
          <w:color w:val="000000"/>
        </w:rPr>
        <w:t xml:space="preserve">embres et comprend des organismes régionaux et internationaux </w:t>
      </w:r>
      <w:r w:rsidR="008B36D9">
        <w:rPr>
          <w:color w:val="000000"/>
        </w:rPr>
        <w:t xml:space="preserve">participant </w:t>
      </w:r>
      <w:r w:rsidR="00FA2A04" w:rsidRPr="00A27F8A">
        <w:rPr>
          <w:color w:val="000000"/>
        </w:rPr>
        <w:t>en qualité d’observateurs</w:t>
      </w:r>
      <w:r w:rsidR="00D449F5" w:rsidRPr="00A27F8A">
        <w:t xml:space="preserve">. </w:t>
      </w:r>
      <w:r w:rsidR="00FA2A04" w:rsidRPr="00A27F8A">
        <w:t>Le</w:t>
      </w:r>
      <w:r w:rsidR="00D449F5" w:rsidRPr="00A27F8A">
        <w:t xml:space="preserve"> </w:t>
      </w:r>
      <w:r w:rsidR="00FA2A04" w:rsidRPr="00A27F8A">
        <w:rPr>
          <w:color w:val="000000"/>
        </w:rPr>
        <w:t xml:space="preserve">Groupe d’experts des Nations Unies et de l’extérieur </w:t>
      </w:r>
      <w:r w:rsidR="00FA2A04" w:rsidRPr="00A27F8A">
        <w:t>élaborera une proposition de</w:t>
      </w:r>
      <w:r w:rsidR="00D449F5" w:rsidRPr="00A27F8A">
        <w:t xml:space="preserve"> </w:t>
      </w:r>
      <w:r w:rsidR="00FA2A04" w:rsidRPr="00A27F8A">
        <w:t xml:space="preserve">cadre d’indicateurs mondiaux </w:t>
      </w:r>
      <w:r w:rsidR="00F1205F" w:rsidRPr="00A27F8A">
        <w:t xml:space="preserve">– </w:t>
      </w:r>
      <w:r w:rsidR="00FA2A04" w:rsidRPr="00A27F8A">
        <w:t>avec des indicateurs universels connexes – afin que la Commission de statistique l’examine en mars </w:t>
      </w:r>
      <w:r w:rsidR="00D449F5" w:rsidRPr="00A27F8A">
        <w:t xml:space="preserve">2016. </w:t>
      </w:r>
      <w:r w:rsidR="007C0E02" w:rsidRPr="00A27F8A">
        <w:t>Depuis la création du</w:t>
      </w:r>
      <w:r w:rsidR="00D449F5" w:rsidRPr="00A27F8A">
        <w:t xml:space="preserve"> </w:t>
      </w:r>
      <w:r w:rsidR="007C0E02" w:rsidRPr="00A27F8A">
        <w:rPr>
          <w:color w:val="000000"/>
        </w:rPr>
        <w:t>Groupe d’experts des Nations Unies et de l’extérieur en mars 2015, le PNUE s’est vu attribuer le rôle de coord</w:t>
      </w:r>
      <w:r w:rsidR="00175402">
        <w:rPr>
          <w:color w:val="000000"/>
        </w:rPr>
        <w:t>onnateur au sein</w:t>
      </w:r>
      <w:r w:rsidR="007C0E02" w:rsidRPr="00A27F8A">
        <w:rPr>
          <w:color w:val="000000"/>
        </w:rPr>
        <w:t xml:space="preserve"> du système des Nations Unies </w:t>
      </w:r>
      <w:r w:rsidR="00175402">
        <w:rPr>
          <w:color w:val="000000"/>
        </w:rPr>
        <w:t>concernant</w:t>
      </w:r>
      <w:r w:rsidR="007C0E02" w:rsidRPr="00A27F8A">
        <w:rPr>
          <w:color w:val="000000"/>
        </w:rPr>
        <w:t xml:space="preserve"> l’établissement des indicateurs et</w:t>
      </w:r>
      <w:r w:rsidR="00175402">
        <w:rPr>
          <w:color w:val="000000"/>
        </w:rPr>
        <w:t xml:space="preserve"> de</w:t>
      </w:r>
      <w:r w:rsidR="007C0E02" w:rsidRPr="00A27F8A">
        <w:rPr>
          <w:color w:val="000000"/>
        </w:rPr>
        <w:t xml:space="preserve"> l’information technique, notamment les métadonnées et les méthodologies</w:t>
      </w:r>
      <w:r w:rsidR="002C77F0" w:rsidRPr="00A27F8A">
        <w:t>,</w:t>
      </w:r>
      <w:r w:rsidR="00D449F5" w:rsidRPr="00A27F8A">
        <w:t xml:space="preserve"> </w:t>
      </w:r>
      <w:r w:rsidR="007C0E02" w:rsidRPr="00A27F8A">
        <w:t>pour les objectifs </w:t>
      </w:r>
      <w:r w:rsidR="00D449F5" w:rsidRPr="00A27F8A">
        <w:t>12</w:t>
      </w:r>
      <w:r w:rsidR="00AA3A2E" w:rsidRPr="00A27F8A">
        <w:t xml:space="preserve"> (</w:t>
      </w:r>
      <w:r w:rsidR="007C0E02" w:rsidRPr="00A27F8A">
        <w:t>modes de consommation et de production durables</w:t>
      </w:r>
      <w:r w:rsidR="00AA3A2E" w:rsidRPr="00A27F8A">
        <w:t xml:space="preserve">) </w:t>
      </w:r>
      <w:r w:rsidR="007C0E02" w:rsidRPr="00A27F8A">
        <w:t>et</w:t>
      </w:r>
      <w:r w:rsidR="005551A6">
        <w:t xml:space="preserve"> </w:t>
      </w:r>
      <w:r w:rsidR="00AA3A2E" w:rsidRPr="00A27F8A">
        <w:t>13 (</w:t>
      </w:r>
      <w:r w:rsidR="007C0E02" w:rsidRPr="00A27F8A">
        <w:t>changements climatiques</w:t>
      </w:r>
      <w:r w:rsidR="00AA3A2E" w:rsidRPr="00A27F8A">
        <w:t>).</w:t>
      </w:r>
    </w:p>
    <w:p w:rsidR="00B72DE3" w:rsidRPr="00A27F8A" w:rsidRDefault="007C0E02" w:rsidP="008E0CA4">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A27F8A">
        <w:lastRenderedPageBreak/>
        <w:t>Le</w:t>
      </w:r>
      <w:r w:rsidR="00D449F5" w:rsidRPr="00A27F8A">
        <w:t xml:space="preserve"> </w:t>
      </w:r>
      <w:r w:rsidRPr="00A27F8A">
        <w:t>Rapport mondial sur le développement durable</w:t>
      </w:r>
      <w:r w:rsidR="00D449F5" w:rsidRPr="00A27F8A">
        <w:t xml:space="preserve"> </w:t>
      </w:r>
      <w:r w:rsidRPr="00A27F8A">
        <w:t xml:space="preserve">est une publication du système des Nations Unies </w:t>
      </w:r>
      <w:r w:rsidR="00DD7353" w:rsidRPr="00A27F8A">
        <w:t>qui vise</w:t>
      </w:r>
      <w:r w:rsidRPr="00A27F8A">
        <w:t xml:space="preserve"> à</w:t>
      </w:r>
      <w:r w:rsidR="00D449F5" w:rsidRPr="00A27F8A">
        <w:t xml:space="preserve"> </w:t>
      </w:r>
      <w:r w:rsidR="00DD7353" w:rsidRPr="00A27F8A">
        <w:t>contribuer au renforcement de l’interface science-politique</w:t>
      </w:r>
      <w:r w:rsidR="00175402">
        <w:t xml:space="preserve"> </w:t>
      </w:r>
      <w:r w:rsidR="00C542CF">
        <w:t xml:space="preserve">dans le cadre </w:t>
      </w:r>
      <w:r w:rsidR="00175402">
        <w:t>du</w:t>
      </w:r>
      <w:r w:rsidR="00D449F5" w:rsidRPr="00A27F8A">
        <w:t xml:space="preserve"> </w:t>
      </w:r>
      <w:hyperlink r:id="rId25" w:history="1">
        <w:r w:rsidR="00DD7353" w:rsidRPr="00A27F8A">
          <w:rPr>
            <w:rStyle w:val="Hyperlink"/>
            <w:color w:val="auto"/>
            <w:u w:val="none"/>
          </w:rPr>
          <w:t>Forum politique de haut niveau pour le développement durable</w:t>
        </w:r>
      </w:hyperlink>
      <w:r w:rsidR="00D449F5" w:rsidRPr="00A27F8A">
        <w:t xml:space="preserve"> </w:t>
      </w:r>
      <w:r w:rsidR="00DD7353" w:rsidRPr="00A27F8A">
        <w:t>des Nations Unies</w:t>
      </w:r>
      <w:r w:rsidR="00D449F5" w:rsidRPr="00A27F8A">
        <w:t xml:space="preserve"> </w:t>
      </w:r>
      <w:r w:rsidR="00DD7353" w:rsidRPr="00A27F8A">
        <w:t xml:space="preserve">et constitue un solide instrument </w:t>
      </w:r>
      <w:r w:rsidR="00751501">
        <w:t>factuel</w:t>
      </w:r>
      <w:r w:rsidR="00DD7353" w:rsidRPr="00A27F8A">
        <w:t xml:space="preserve"> permettant aux décideurs de promouvoir l’élimination de la pauvreté et le développement durable</w:t>
      </w:r>
      <w:r w:rsidR="00D449F5" w:rsidRPr="00A27F8A">
        <w:t>.</w:t>
      </w:r>
      <w:r w:rsidR="00861B77" w:rsidRPr="00A27F8A">
        <w:t xml:space="preserve"> Le PNUE a activement participé à l’élaboration de l’édition de 2015, notamment en mettant à disposition son large éventail d’évaluations et en détachant un administrateur </w:t>
      </w:r>
      <w:r w:rsidR="000522FC" w:rsidRPr="00A27F8A">
        <w:t>pendant 50 % de son temps</w:t>
      </w:r>
      <w:r w:rsidR="00D449F5" w:rsidRPr="00A27F8A">
        <w:t>.</w:t>
      </w:r>
      <w:r w:rsidR="00B672D0" w:rsidRPr="00A27F8A">
        <w:t xml:space="preserve"> </w:t>
      </w:r>
      <w:r w:rsidR="000522FC" w:rsidRPr="00A27F8A">
        <w:t xml:space="preserve">Quasiment tous les chapitres du rapport ont bénéficié de contributions substantielles d’experts et ont fait l’objet d’observations et d’un examen de la part </w:t>
      </w:r>
      <w:r w:rsidR="00175402">
        <w:t xml:space="preserve">de </w:t>
      </w:r>
      <w:r w:rsidR="000522FC" w:rsidRPr="00A27F8A">
        <w:t>divisions techniques du PNUE</w:t>
      </w:r>
      <w:r w:rsidR="00D449F5" w:rsidRPr="00A27F8A">
        <w:t xml:space="preserve">. </w:t>
      </w:r>
      <w:r w:rsidR="000522FC" w:rsidRPr="00A27F8A">
        <w:t xml:space="preserve">Le </w:t>
      </w:r>
      <w:r w:rsidR="00343D71" w:rsidRPr="00A27F8A">
        <w:t>PNUE participe de façon similaire à l’édition de 2016 et a contribué aux débats concernant les nouvelles questions et l’examen collégial à la réunion du</w:t>
      </w:r>
      <w:hyperlink r:id="rId26" w:history="1">
        <w:r w:rsidR="0051539E" w:rsidRPr="00A27F8A">
          <w:t xml:space="preserve"> </w:t>
        </w:r>
        <w:r w:rsidR="0051539E" w:rsidRPr="00A27F8A">
          <w:rPr>
            <w:rStyle w:val="Hyperlink"/>
            <w:color w:val="000000"/>
            <w:u w:val="none"/>
          </w:rPr>
          <w:t>groupe d’experts de haut niveau chargé du Rapport mondial sur le développement durable</w:t>
        </w:r>
      </w:hyperlink>
      <w:r w:rsidR="00175402">
        <w:t>,</w:t>
      </w:r>
      <w:r w:rsidR="00F1205F" w:rsidRPr="00A27F8A">
        <w:rPr>
          <w:color w:val="000000"/>
        </w:rPr>
        <w:t xml:space="preserve"> </w:t>
      </w:r>
      <w:r w:rsidR="0051539E" w:rsidRPr="00A27F8A">
        <w:t>qui s’est tenue en octobre 2015</w:t>
      </w:r>
      <w:r w:rsidR="00B72DE3" w:rsidRPr="00A27F8A">
        <w:rPr>
          <w:color w:val="000000"/>
        </w:rPr>
        <w:t>.</w:t>
      </w:r>
    </w:p>
    <w:p w:rsidR="00D449F5" w:rsidRPr="00A27F8A" w:rsidRDefault="00B40640" w:rsidP="008E0CA4">
      <w:pPr>
        <w:pStyle w:val="Normalnumber"/>
        <w:tabs>
          <w:tab w:val="clear" w:pos="1247"/>
          <w:tab w:val="clear" w:pos="1814"/>
          <w:tab w:val="clear" w:pos="2381"/>
          <w:tab w:val="clear" w:pos="2948"/>
          <w:tab w:val="clear" w:pos="3515"/>
          <w:tab w:val="clear" w:pos="4082"/>
          <w:tab w:val="left" w:pos="624"/>
        </w:tabs>
        <w:ind w:left="1247" w:firstLine="0"/>
      </w:pPr>
      <w:r w:rsidRPr="00A27F8A">
        <w:rPr>
          <w:color w:val="000000"/>
        </w:rPr>
        <w:t xml:space="preserve">Le PNUE </w:t>
      </w:r>
      <w:r w:rsidR="00175402">
        <w:rPr>
          <w:color w:val="000000"/>
        </w:rPr>
        <w:t>collabore</w:t>
      </w:r>
      <w:r w:rsidRPr="00A27F8A">
        <w:rPr>
          <w:color w:val="000000"/>
        </w:rPr>
        <w:t xml:space="preserve"> avec la Division de statistique </w:t>
      </w:r>
      <w:r w:rsidR="00751501">
        <w:rPr>
          <w:color w:val="000000"/>
        </w:rPr>
        <w:t xml:space="preserve">de l’ONU </w:t>
      </w:r>
      <w:r w:rsidR="00E25B58" w:rsidRPr="00A27F8A">
        <w:rPr>
          <w:color w:val="000000"/>
        </w:rPr>
        <w:t>à l’établissement du</w:t>
      </w:r>
      <w:r w:rsidRPr="00A27F8A">
        <w:rPr>
          <w:color w:val="000000"/>
        </w:rPr>
        <w:t xml:space="preserve"> catalogue des données du système des Nations Unies</w:t>
      </w:r>
      <w:r w:rsidR="00E25B58" w:rsidRPr="00A27F8A">
        <w:rPr>
          <w:color w:val="000000"/>
        </w:rPr>
        <w:t xml:space="preserve"> et de la plateforme d’innovation sur les objectifs de déve</w:t>
      </w:r>
      <w:r w:rsidR="00751501">
        <w:rPr>
          <w:color w:val="000000"/>
        </w:rPr>
        <w:t>loppement durable et est membre</w:t>
      </w:r>
      <w:r w:rsidR="00E25B58" w:rsidRPr="00A27F8A">
        <w:rPr>
          <w:color w:val="000000"/>
        </w:rPr>
        <w:t xml:space="preserve"> d’un partenariat</w:t>
      </w:r>
      <w:r w:rsidRPr="00A27F8A">
        <w:rPr>
          <w:color w:val="000000"/>
        </w:rPr>
        <w:t xml:space="preserve"> </w:t>
      </w:r>
      <w:r w:rsidR="00751501">
        <w:rPr>
          <w:color w:val="000000"/>
        </w:rPr>
        <w:t>regroupant</w:t>
      </w:r>
      <w:r w:rsidR="00E25B58" w:rsidRPr="00A27F8A">
        <w:rPr>
          <w:color w:val="000000"/>
        </w:rPr>
        <w:t xml:space="preserve"> dix</w:t>
      </w:r>
      <w:r w:rsidR="00751501">
        <w:rPr>
          <w:color w:val="000000"/>
        </w:rPr>
        <w:t> </w:t>
      </w:r>
      <w:r w:rsidR="00E25B58" w:rsidRPr="00A27F8A">
        <w:rPr>
          <w:color w:val="000000"/>
        </w:rPr>
        <w:t xml:space="preserve">autres </w:t>
      </w:r>
      <w:r w:rsidR="00751501">
        <w:rPr>
          <w:color w:val="000000"/>
        </w:rPr>
        <w:t>entités</w:t>
      </w:r>
      <w:r w:rsidR="00E25B58" w:rsidRPr="00A27F8A">
        <w:rPr>
          <w:color w:val="000000"/>
        </w:rPr>
        <w:t>,</w:t>
      </w:r>
      <w:r w:rsidR="00175402">
        <w:rPr>
          <w:color w:val="000000"/>
        </w:rPr>
        <w:t xml:space="preserve"> qui a été</w:t>
      </w:r>
      <w:r w:rsidR="00E25B58" w:rsidRPr="00A27F8A">
        <w:rPr>
          <w:color w:val="000000"/>
        </w:rPr>
        <w:t xml:space="preserve"> </w:t>
      </w:r>
      <w:r w:rsidR="00175402">
        <w:rPr>
          <w:color w:val="000000"/>
        </w:rPr>
        <w:t>formé pour élaborer</w:t>
      </w:r>
      <w:r w:rsidR="00E25B58" w:rsidRPr="00A27F8A">
        <w:rPr>
          <w:color w:val="000000"/>
        </w:rPr>
        <w:t xml:space="preserve"> un projet</w:t>
      </w:r>
      <w:r w:rsidR="00B72DE3" w:rsidRPr="00A27F8A">
        <w:rPr>
          <w:color w:val="000000"/>
        </w:rPr>
        <w:t xml:space="preserve"> </w:t>
      </w:r>
      <w:r w:rsidR="00E25B58" w:rsidRPr="00A27F8A">
        <w:rPr>
          <w:color w:val="000000"/>
        </w:rPr>
        <w:t>visant à renforcer les capacités des systèmes statistiques nationaux</w:t>
      </w:r>
      <w:r w:rsidR="00B72DE3" w:rsidRPr="00A27F8A">
        <w:rPr>
          <w:color w:val="000000"/>
        </w:rPr>
        <w:t xml:space="preserve"> </w:t>
      </w:r>
      <w:r w:rsidR="00E25B58" w:rsidRPr="00A27F8A">
        <w:rPr>
          <w:color w:val="000000"/>
        </w:rPr>
        <w:t xml:space="preserve">dans les pays en développement afin de répondre de manière systématique et stratégique à la demande croissante de données résultant de l’adoption des objectifs de développement durable. La contribution </w:t>
      </w:r>
      <w:r w:rsidR="00F239C8" w:rsidRPr="00A27F8A">
        <w:rPr>
          <w:color w:val="000000"/>
        </w:rPr>
        <w:t>continue du PNUE au cadre d’indicateurs mondiaux relatifs aux objectifs de développement durable et au</w:t>
      </w:r>
      <w:r w:rsidR="002C77F0" w:rsidRPr="00A27F8A">
        <w:t xml:space="preserve"> </w:t>
      </w:r>
      <w:r w:rsidR="00F239C8" w:rsidRPr="00A27F8A">
        <w:t xml:space="preserve">Rapport mondial sur le développement durable </w:t>
      </w:r>
      <w:r w:rsidR="00161CED" w:rsidRPr="00A27F8A">
        <w:t>garantira que ces outils répondent aux besoins des pays</w:t>
      </w:r>
      <w:r w:rsidR="00B72DE3" w:rsidRPr="00A27F8A">
        <w:t>.</w:t>
      </w:r>
      <w:r w:rsidR="00161CED" w:rsidRPr="00A27F8A">
        <w:t xml:space="preserve"> Le PNUE continue d’appuyer la surveillance, le suivi et l’examen</w:t>
      </w:r>
      <w:r w:rsidR="00B411C3">
        <w:t>,</w:t>
      </w:r>
      <w:r w:rsidR="00161CED" w:rsidRPr="00A27F8A">
        <w:t xml:space="preserve"> aux niveaux national et mondial</w:t>
      </w:r>
      <w:r w:rsidR="00B411C3">
        <w:t>,</w:t>
      </w:r>
      <w:r w:rsidR="00161CED" w:rsidRPr="00A27F8A">
        <w:t xml:space="preserve"> par l’intermédiaire de la plateforme </w:t>
      </w:r>
      <w:hyperlink r:id="rId27" w:history="1">
        <w:r w:rsidR="00A27F8A">
          <w:t>« Le PNUE en direct </w:t>
        </w:r>
        <w:r w:rsidR="00161CED" w:rsidRPr="00A27F8A">
          <w:t>»</w:t>
        </w:r>
      </w:hyperlink>
      <w:r w:rsidR="008A7BE6" w:rsidRPr="00A27F8A">
        <w:t>,</w:t>
      </w:r>
      <w:r w:rsidR="00B72DE3" w:rsidRPr="00A27F8A">
        <w:t xml:space="preserve"> </w:t>
      </w:r>
      <w:r w:rsidR="00161CED" w:rsidRPr="00A27F8A">
        <w:t xml:space="preserve">qui comprend le portail </w:t>
      </w:r>
      <w:r w:rsidR="00751501">
        <w:t>des Objectifs de développement durable</w:t>
      </w:r>
      <w:r w:rsidR="00161CED" w:rsidRPr="00A27F8A">
        <w:t>, le système d’établissement de rapport</w:t>
      </w:r>
      <w:r w:rsidR="00751501">
        <w:t>s nationaux et l’ontologie concernant les Objectifs de développement durable</w:t>
      </w:r>
      <w:r w:rsidR="00B72DE3" w:rsidRPr="00A27F8A">
        <w:t>.</w:t>
      </w:r>
    </w:p>
    <w:p w:rsidR="00173E03" w:rsidRPr="00A27F8A" w:rsidRDefault="00B411C3" w:rsidP="008E0CA4">
      <w:pPr>
        <w:pStyle w:val="Normalnumber"/>
        <w:tabs>
          <w:tab w:val="clear" w:pos="1247"/>
          <w:tab w:val="clear" w:pos="1814"/>
          <w:tab w:val="clear" w:pos="2381"/>
          <w:tab w:val="clear" w:pos="2948"/>
          <w:tab w:val="clear" w:pos="3515"/>
          <w:tab w:val="clear" w:pos="4082"/>
          <w:tab w:val="left" w:pos="624"/>
        </w:tabs>
        <w:ind w:left="1247" w:firstLine="0"/>
      </w:pPr>
      <w:r>
        <w:t>C</w:t>
      </w:r>
      <w:r w:rsidR="007F4290" w:rsidRPr="00A27F8A">
        <w:t xml:space="preserve">e niveau de participation du PNUE aux </w:t>
      </w:r>
      <w:r w:rsidR="00751501">
        <w:t>volets techniques</w:t>
      </w:r>
      <w:r w:rsidR="007F4290" w:rsidRPr="00A27F8A">
        <w:t xml:space="preserve"> du</w:t>
      </w:r>
      <w:r w:rsidR="00D449F5" w:rsidRPr="00A27F8A">
        <w:t xml:space="preserve"> </w:t>
      </w:r>
      <w:r w:rsidR="007F4290" w:rsidRPr="00A27F8A">
        <w:t xml:space="preserve">Programme </w:t>
      </w:r>
      <w:r w:rsidR="007F4290" w:rsidRPr="00A27F8A">
        <w:rPr>
          <w:rFonts w:eastAsia="MS Mincho"/>
        </w:rPr>
        <w:t>de développement durable</w:t>
      </w:r>
      <w:r w:rsidR="007F4290" w:rsidRPr="00A27F8A">
        <w:t xml:space="preserve"> à l’horizon 2030 </w:t>
      </w:r>
      <w:r w:rsidR="00E66850" w:rsidRPr="00A27F8A">
        <w:t>s’inscrit dans la droite ligne</w:t>
      </w:r>
      <w:r w:rsidR="00D449F5" w:rsidRPr="00A27F8A">
        <w:t xml:space="preserve"> </w:t>
      </w:r>
      <w:r w:rsidR="00E66850" w:rsidRPr="00A27F8A">
        <w:t>de son rôle actif dans l’appui fourni au processus antérieur du Groupe de travail ouvert à l’éch</w:t>
      </w:r>
      <w:r w:rsidR="00751501">
        <w:t>elle du système</w:t>
      </w:r>
      <w:r w:rsidR="00F64878" w:rsidRPr="00A27F8A">
        <w:t>.</w:t>
      </w:r>
      <w:r w:rsidR="00F57F5C" w:rsidRPr="00A27F8A">
        <w:t xml:space="preserve"> </w:t>
      </w:r>
      <w:r w:rsidR="00E437CB" w:rsidRPr="00A27F8A">
        <w:t xml:space="preserve">Le PNUE a codirigé plusieurs travaux et contribué à </w:t>
      </w:r>
      <w:r>
        <w:t xml:space="preserve">de nombreux </w:t>
      </w:r>
      <w:r w:rsidR="00E437CB" w:rsidRPr="00A27F8A">
        <w:t>autres produits de l’</w:t>
      </w:r>
      <w:hyperlink r:id="rId28" w:history="1">
        <w:r w:rsidR="00E437CB" w:rsidRPr="00A27F8A">
          <w:t>Équipe spéciale des Nations Unies chargée du programme de développement pour l’après-2015</w:t>
        </w:r>
      </w:hyperlink>
      <w:r w:rsidR="00D449F5" w:rsidRPr="00A27F8A">
        <w:t xml:space="preserve">, </w:t>
      </w:r>
      <w:r w:rsidR="00E437CB" w:rsidRPr="00A27F8A">
        <w:t xml:space="preserve">qui a réuni plus de </w:t>
      </w:r>
      <w:r w:rsidR="00D449F5" w:rsidRPr="00A27F8A">
        <w:t>60</w:t>
      </w:r>
      <w:r w:rsidR="00E437CB" w:rsidRPr="00A27F8A">
        <w:t> entités des Nations Unies, organismes et organisations internationales</w:t>
      </w:r>
      <w:r w:rsidR="00D449F5" w:rsidRPr="00A27F8A">
        <w:t>.</w:t>
      </w:r>
      <w:r w:rsidR="00E437CB" w:rsidRPr="00A27F8A">
        <w:t xml:space="preserve"> Il a appuyé les consultations mult</w:t>
      </w:r>
      <w:r w:rsidR="00F27546">
        <w:t>ipartites menées par les États M</w:t>
      </w:r>
      <w:r w:rsidR="00E437CB" w:rsidRPr="00A27F8A">
        <w:t xml:space="preserve">embres concernant le programme de développement pour l’après-2015, </w:t>
      </w:r>
      <w:r w:rsidR="006F4087" w:rsidRPr="00A27F8A">
        <w:t>en fournissant des données d’analyse</w:t>
      </w:r>
      <w:r w:rsidR="00B87C32" w:rsidRPr="00A27F8A">
        <w:t>, en apportant son expertise, en sensibilisant et en défendant les principes clés d’une approche intégrée des objectifs de développement durable en collaboration avec diverses parties prenantes</w:t>
      </w:r>
      <w:r w:rsidR="00A12DBB" w:rsidRPr="00A27F8A">
        <w:t>,</w:t>
      </w:r>
      <w:r w:rsidR="00D449F5" w:rsidRPr="00A27F8A">
        <w:t xml:space="preserve"> </w:t>
      </w:r>
      <w:r w:rsidR="00B87C32" w:rsidRPr="00A27F8A">
        <w:t>notamment</w:t>
      </w:r>
      <w:r w:rsidR="00D449F5" w:rsidRPr="00A27F8A">
        <w:t xml:space="preserve"> </w:t>
      </w:r>
      <w:r w:rsidR="00B87C32" w:rsidRPr="00A27F8A">
        <w:t xml:space="preserve">les chefs des secrétariats des accords multilatéraux sur l’environnement </w:t>
      </w:r>
      <w:r w:rsidR="00E82EFB" w:rsidRPr="00A27F8A">
        <w:t>et des réseaux de scientifiques et d’experts techniques</w:t>
      </w:r>
      <w:r w:rsidR="00F27546" w:rsidRPr="00F27546">
        <w:t xml:space="preserve"> </w:t>
      </w:r>
      <w:r w:rsidR="00F27546" w:rsidRPr="00A27F8A">
        <w:t>nationaux</w:t>
      </w:r>
      <w:r w:rsidR="00E82EFB" w:rsidRPr="00A27F8A">
        <w:t>, sous la direction</w:t>
      </w:r>
      <w:r w:rsidR="00483012" w:rsidRPr="00A27F8A">
        <w:t xml:space="preserve"> du</w:t>
      </w:r>
      <w:r w:rsidR="00E82EFB" w:rsidRPr="00A27F8A">
        <w:t xml:space="preserve"> </w:t>
      </w:r>
      <w:r w:rsidR="00483012" w:rsidRPr="00A27F8A">
        <w:t>Responsable scientifique du PNUE et du</w:t>
      </w:r>
      <w:r w:rsidR="00D449F5" w:rsidRPr="00A27F8A">
        <w:t xml:space="preserve"> </w:t>
      </w:r>
      <w:r w:rsidR="00483012" w:rsidRPr="00A27F8A">
        <w:t>Conseiller spécial auprès du Directeur exécutif sur le programme de développement pour l’après-2015 et les objectifs de développement durable</w:t>
      </w:r>
      <w:r w:rsidR="003B2B68" w:rsidRPr="00A27F8A">
        <w:t>.</w:t>
      </w:r>
      <w:r w:rsidR="00483012" w:rsidRPr="00A27F8A">
        <w:t xml:space="preserve"> Les réunions d’information et les manifestations parallèles </w:t>
      </w:r>
      <w:r w:rsidR="00DC2E31" w:rsidRPr="00A27F8A">
        <w:t>organisées par le PNUE à l’occasion de sessions du Groupe de travail ouvert sur le développement durable et du Forum</w:t>
      </w:r>
      <w:r w:rsidR="00DE42DE" w:rsidRPr="00A27F8A">
        <w:t xml:space="preserve"> </w:t>
      </w:r>
      <w:r w:rsidR="00DC2E31" w:rsidRPr="00A27F8A">
        <w:t>politique de haut niveau pour le développement durable ont permis de renforcer la coordination et la collaboration avec un certain nombre de par</w:t>
      </w:r>
      <w:r w:rsidR="00F27546">
        <w:t>ties prenantes, allant des États M</w:t>
      </w:r>
      <w:r w:rsidR="00DC2E31" w:rsidRPr="00A27F8A">
        <w:t xml:space="preserve">embres </w:t>
      </w:r>
      <w:r w:rsidR="00F27546">
        <w:t>aux organismes</w:t>
      </w:r>
      <w:r w:rsidR="00DC2E31" w:rsidRPr="00A27F8A">
        <w:t xml:space="preserve"> des Nations</w:t>
      </w:r>
      <w:r w:rsidR="005551A6">
        <w:t> </w:t>
      </w:r>
      <w:r w:rsidR="00DC2E31" w:rsidRPr="00A27F8A">
        <w:t xml:space="preserve">Unies </w:t>
      </w:r>
      <w:r w:rsidR="00F27546">
        <w:t xml:space="preserve">et </w:t>
      </w:r>
      <w:r w:rsidR="00DC2E31" w:rsidRPr="00A27F8A">
        <w:t>organisations de la société civile</w:t>
      </w:r>
      <w:r w:rsidR="00D449F5" w:rsidRPr="00A27F8A">
        <w:t>.</w:t>
      </w:r>
      <w:r w:rsidR="00DC2E31" w:rsidRPr="00A27F8A">
        <w:t xml:space="preserve"> Les </w:t>
      </w:r>
      <w:r w:rsidR="00F27546">
        <w:t>B</w:t>
      </w:r>
      <w:r w:rsidR="00DC2E31" w:rsidRPr="00A27F8A">
        <w:t xml:space="preserve">ureaux régionaux du PNUE, </w:t>
      </w:r>
      <w:r>
        <w:t>dans le cadre</w:t>
      </w:r>
      <w:r w:rsidR="00DC2E31" w:rsidRPr="00A27F8A">
        <w:t xml:space="preserve"> de réunions régionales</w:t>
      </w:r>
      <w:r w:rsidR="00C3663E" w:rsidRPr="00A27F8A">
        <w:t xml:space="preserve"> ordinaires et </w:t>
      </w:r>
      <w:r w:rsidR="00F27546">
        <w:t>extraordinaires</w:t>
      </w:r>
      <w:r w:rsidR="00C3663E" w:rsidRPr="00A27F8A">
        <w:t xml:space="preserve">, ont </w:t>
      </w:r>
      <w:r w:rsidR="00C542CF">
        <w:t>contribué à soutenir les États M</w:t>
      </w:r>
      <w:r w:rsidR="00C3663E" w:rsidRPr="00A27F8A">
        <w:t>embres dans l’examen des aspects environnementaux du nouveau programme</w:t>
      </w:r>
      <w:r w:rsidR="00D449F5" w:rsidRPr="00A27F8A">
        <w:t>.</w:t>
      </w:r>
    </w:p>
    <w:p w:rsidR="003E344F" w:rsidRPr="00A27F8A" w:rsidRDefault="00043DE6" w:rsidP="008E0CA4">
      <w:pPr>
        <w:pStyle w:val="CH2"/>
        <w:rPr>
          <w:lang w:val="fr-FR"/>
        </w:rPr>
      </w:pPr>
      <w:r w:rsidRPr="00A27F8A">
        <w:rPr>
          <w:lang w:val="fr-FR"/>
        </w:rPr>
        <w:tab/>
      </w:r>
      <w:r w:rsidR="001A79D0" w:rsidRPr="00A27F8A">
        <w:rPr>
          <w:lang w:val="fr-FR"/>
        </w:rPr>
        <w:t>B</w:t>
      </w:r>
      <w:r w:rsidR="00C11B29" w:rsidRPr="00A27F8A">
        <w:rPr>
          <w:lang w:val="fr-FR"/>
        </w:rPr>
        <w:t>.</w:t>
      </w:r>
      <w:r w:rsidR="00C11B29" w:rsidRPr="00A27F8A">
        <w:rPr>
          <w:lang w:val="fr-FR"/>
        </w:rPr>
        <w:tab/>
      </w:r>
      <w:r w:rsidR="002E690A" w:rsidRPr="00A27F8A">
        <w:rPr>
          <w:lang w:val="fr-FR"/>
        </w:rPr>
        <w:t xml:space="preserve">Utilisation des mécanismes de coordination du système des Nations Unies </w:t>
      </w:r>
      <w:r w:rsidR="00C542CF">
        <w:rPr>
          <w:lang w:val="fr-FR"/>
        </w:rPr>
        <w:br/>
      </w:r>
      <w:r w:rsidR="002E690A" w:rsidRPr="00A27F8A">
        <w:rPr>
          <w:lang w:val="fr-FR"/>
        </w:rPr>
        <w:t>au niveau régional</w:t>
      </w:r>
    </w:p>
    <w:p w:rsidR="00C11B29" w:rsidRPr="00A27F8A" w:rsidRDefault="00D848F1" w:rsidP="008E0CA4">
      <w:pPr>
        <w:pStyle w:val="Normalnumber"/>
        <w:tabs>
          <w:tab w:val="clear" w:pos="1247"/>
          <w:tab w:val="clear" w:pos="1814"/>
          <w:tab w:val="clear" w:pos="2381"/>
          <w:tab w:val="clear" w:pos="2948"/>
          <w:tab w:val="clear" w:pos="3515"/>
          <w:tab w:val="clear" w:pos="4082"/>
          <w:tab w:val="left" w:pos="624"/>
        </w:tabs>
        <w:ind w:left="1247" w:firstLine="0"/>
      </w:pPr>
      <w:hyperlink r:id="rId29" w:history="1">
        <w:r w:rsidR="002E690A" w:rsidRPr="00A27F8A">
          <w:rPr>
            <w:rStyle w:val="Hyperlink"/>
            <w:color w:val="auto"/>
            <w:u w:val="none"/>
          </w:rPr>
          <w:t>Au niveau régional</w:t>
        </w:r>
      </w:hyperlink>
      <w:r w:rsidR="00C11B29" w:rsidRPr="00A27F8A">
        <w:t xml:space="preserve">, </w:t>
      </w:r>
      <w:r w:rsidR="002E690A" w:rsidRPr="00A27F8A">
        <w:t>le PNUE travaille au sein et par l’intermédiaire d’organismes régionaux et de mécanismes de coordination des Nations Unies, notamment les commissions économiques régionales des Nations Unies et leurs méca</w:t>
      </w:r>
      <w:r w:rsidR="00F27546">
        <w:t>nismes de coordination régionale</w:t>
      </w:r>
      <w:r w:rsidR="002E690A" w:rsidRPr="00A27F8A">
        <w:t xml:space="preserve"> ainsi que les équipes régionales et </w:t>
      </w:r>
      <w:r w:rsidR="001D3BC7" w:rsidRPr="00A27F8A">
        <w:t xml:space="preserve">les </w:t>
      </w:r>
      <w:r w:rsidR="002E690A" w:rsidRPr="00A27F8A">
        <w:t xml:space="preserve">mécanismes subsidiaires </w:t>
      </w:r>
      <w:r w:rsidR="001D3BC7" w:rsidRPr="00A27F8A">
        <w:t>du Groupe des Nations Un</w:t>
      </w:r>
      <w:r w:rsidR="00F27546">
        <w:t>ies pour le développement. Les B</w:t>
      </w:r>
      <w:r w:rsidR="001D3BC7" w:rsidRPr="00A27F8A">
        <w:t xml:space="preserve">ureaux régionaux du PNUE ancrent la mise en œuvre du programme </w:t>
      </w:r>
      <w:r w:rsidR="00F27546">
        <w:t xml:space="preserve">environnemental </w:t>
      </w:r>
      <w:r w:rsidR="001D3BC7" w:rsidRPr="00A27F8A">
        <w:t>des Nations Unies aux niveaux régional, sous-régional et national</w:t>
      </w:r>
      <w:r w:rsidR="00C11B29" w:rsidRPr="00A27F8A">
        <w:t xml:space="preserve">. </w:t>
      </w:r>
      <w:r w:rsidR="001424A0" w:rsidRPr="00A27F8A">
        <w:t>Le PNUE</w:t>
      </w:r>
      <w:r w:rsidR="00C11B29" w:rsidRPr="00A27F8A">
        <w:t xml:space="preserve"> </w:t>
      </w:r>
      <w:r w:rsidR="00F27546">
        <w:t>a efficacement renforcé ses B</w:t>
      </w:r>
      <w:r w:rsidR="001424A0" w:rsidRPr="00A27F8A">
        <w:t xml:space="preserve">ureaux régionaux afin de répondre aux besoins régionaux et nationaux, </w:t>
      </w:r>
      <w:r w:rsidR="00CF345D" w:rsidRPr="00A27F8A">
        <w:t>de mobiliser les gouvernements sur les</w:t>
      </w:r>
      <w:r w:rsidR="00C11B29" w:rsidRPr="00A27F8A">
        <w:t xml:space="preserve"> </w:t>
      </w:r>
      <w:r w:rsidR="00CF345D" w:rsidRPr="00A27F8A">
        <w:t xml:space="preserve">questions relatives à la politique et à la gouvernance en matière d’environnement et </w:t>
      </w:r>
      <w:r w:rsidR="0059599A" w:rsidRPr="00A27F8A">
        <w:t>d’assurer la</w:t>
      </w:r>
      <w:r w:rsidR="00CF345D" w:rsidRPr="00A27F8A">
        <w:t xml:space="preserve"> coordination</w:t>
      </w:r>
      <w:r w:rsidR="0059599A" w:rsidRPr="00A27F8A">
        <w:t xml:space="preserve"> des travaux</w:t>
      </w:r>
      <w:r w:rsidR="00CF345D" w:rsidRPr="00A27F8A">
        <w:t xml:space="preserve"> avec les équipes de pays des Nations Unies dans le cadre </w:t>
      </w:r>
      <w:r w:rsidR="00F27546">
        <w:t>de l’initiative</w:t>
      </w:r>
      <w:r w:rsidR="00CF345D" w:rsidRPr="00A27F8A">
        <w:t xml:space="preserve"> « Unis dans l’action » et </w:t>
      </w:r>
      <w:r w:rsidR="0059599A" w:rsidRPr="00A27F8A">
        <w:t>concernant l</w:t>
      </w:r>
      <w:r w:rsidR="00C946DC" w:rsidRPr="00A27F8A">
        <w:t>es</w:t>
      </w:r>
      <w:r w:rsidR="00C11B29" w:rsidRPr="00A27F8A">
        <w:t xml:space="preserve"> </w:t>
      </w:r>
      <w:r w:rsidR="00C946DC" w:rsidRPr="00A27F8A">
        <w:t>plans-cadres des Nations Unies pour l’aide au développement</w:t>
      </w:r>
      <w:r w:rsidR="00C11B29" w:rsidRPr="00A27F8A">
        <w:t>.</w:t>
      </w:r>
    </w:p>
    <w:p w:rsidR="00C11B29" w:rsidRPr="00A27F8A" w:rsidRDefault="00FF7DB1" w:rsidP="008E0CA4">
      <w:pPr>
        <w:pStyle w:val="Normalnumber"/>
        <w:keepNext/>
        <w:keepLines/>
        <w:tabs>
          <w:tab w:val="clear" w:pos="1247"/>
          <w:tab w:val="clear" w:pos="1814"/>
          <w:tab w:val="clear" w:pos="2381"/>
          <w:tab w:val="clear" w:pos="2948"/>
          <w:tab w:val="clear" w:pos="3515"/>
          <w:tab w:val="clear" w:pos="4082"/>
          <w:tab w:val="left" w:pos="624"/>
        </w:tabs>
        <w:ind w:left="1247" w:firstLine="0"/>
        <w:rPr>
          <w:color w:val="000000"/>
        </w:rPr>
      </w:pPr>
      <w:r w:rsidRPr="00A27F8A">
        <w:lastRenderedPageBreak/>
        <w:t>Dans la région de l’Asie et du Pacifique, par exemple, le PNUE copréside</w:t>
      </w:r>
      <w:r w:rsidR="00626695" w:rsidRPr="00A27F8A">
        <w:t xml:space="preserve"> </w:t>
      </w:r>
      <w:r w:rsidRPr="00A27F8A">
        <w:t xml:space="preserve">le Groupe de travail thématique sur l’environnement et la gestion des catastrophes du Mécanisme de coordination régionale, </w:t>
      </w:r>
      <w:r w:rsidR="0074737C" w:rsidRPr="00A27F8A">
        <w:t>par l’intermédiaire duquel il a dirigé l’organisation</w:t>
      </w:r>
      <w:r w:rsidR="002C57DC">
        <w:t>, sous l’égide de l’</w:t>
      </w:r>
      <w:r w:rsidR="0074737C" w:rsidRPr="00A27F8A">
        <w:t>Association des nations de l’Asie du Sud-Est</w:t>
      </w:r>
      <w:r w:rsidR="002C57DC">
        <w:t xml:space="preserve"> et des </w:t>
      </w:r>
      <w:r w:rsidR="0074737C" w:rsidRPr="00A27F8A">
        <w:t>Nations Unies</w:t>
      </w:r>
      <w:r w:rsidR="002C57DC">
        <w:t>, d’une réunion</w:t>
      </w:r>
      <w:r w:rsidR="0074737C" w:rsidRPr="00A27F8A">
        <w:t xml:space="preserve"> sur</w:t>
      </w:r>
      <w:r w:rsidR="002C77F0" w:rsidRPr="00A27F8A">
        <w:t xml:space="preserve"> </w:t>
      </w:r>
      <w:r w:rsidR="0074737C" w:rsidRPr="00A27F8A">
        <w:t>la planification environnementale</w:t>
      </w:r>
      <w:r w:rsidR="001454BD" w:rsidRPr="00A27F8A">
        <w:t xml:space="preserve"> </w:t>
      </w:r>
      <w:r w:rsidR="0074737C" w:rsidRPr="00A27F8A">
        <w:t>pour l’après-2015 tenue en mai 2015</w:t>
      </w:r>
      <w:r w:rsidR="002C57DC">
        <w:t>, au cours de</w:t>
      </w:r>
      <w:r w:rsidR="0074737C" w:rsidRPr="00A27F8A">
        <w:t xml:space="preserve"> laquelle il a été convenu qu’un plan d’action conjoint pour l’environnement serait établi pour la période </w:t>
      </w:r>
      <w:r w:rsidR="001454BD" w:rsidRPr="00A27F8A">
        <w:t>2016–2020</w:t>
      </w:r>
      <w:r w:rsidR="00C11B29" w:rsidRPr="00A27F8A">
        <w:t xml:space="preserve">. </w:t>
      </w:r>
      <w:r w:rsidR="00F6686F" w:rsidRPr="00A27F8A">
        <w:t>Dans le rapport du Groupe de travail thématique intitulé</w:t>
      </w:r>
      <w:r w:rsidR="001454BD" w:rsidRPr="00A27F8A">
        <w:t xml:space="preserve"> </w:t>
      </w:r>
      <w:r w:rsidR="00F6686F" w:rsidRPr="00A27F8A">
        <w:t>« </w:t>
      </w:r>
      <w:r w:rsidR="00C11B29" w:rsidRPr="00A27F8A">
        <w:t xml:space="preserve">Towards a </w:t>
      </w:r>
      <w:r w:rsidR="001454BD" w:rsidRPr="00A27F8A">
        <w:t>g</w:t>
      </w:r>
      <w:r w:rsidR="00C11B29" w:rsidRPr="00A27F8A">
        <w:t xml:space="preserve">reen </w:t>
      </w:r>
      <w:r w:rsidR="001454BD" w:rsidRPr="00A27F8A">
        <w:t>e</w:t>
      </w:r>
      <w:r w:rsidR="00C11B29" w:rsidRPr="00A27F8A">
        <w:t xml:space="preserve">conomy for </w:t>
      </w:r>
      <w:r w:rsidR="001454BD" w:rsidRPr="00A27F8A">
        <w:rPr>
          <w:color w:val="000000"/>
        </w:rPr>
        <w:t>s</w:t>
      </w:r>
      <w:r w:rsidR="00C11B29" w:rsidRPr="00A27F8A">
        <w:rPr>
          <w:color w:val="000000"/>
        </w:rPr>
        <w:t xml:space="preserve">ustainable </w:t>
      </w:r>
      <w:r w:rsidR="001454BD" w:rsidRPr="00A27F8A">
        <w:rPr>
          <w:color w:val="000000"/>
        </w:rPr>
        <w:t>d</w:t>
      </w:r>
      <w:r w:rsidR="00C11B29" w:rsidRPr="00A27F8A">
        <w:rPr>
          <w:color w:val="000000"/>
        </w:rPr>
        <w:t xml:space="preserve">evelopment and </w:t>
      </w:r>
      <w:r w:rsidR="001454BD" w:rsidRPr="00A27F8A">
        <w:rPr>
          <w:color w:val="000000"/>
        </w:rPr>
        <w:t>p</w:t>
      </w:r>
      <w:r w:rsidR="00C11B29" w:rsidRPr="00A27F8A">
        <w:rPr>
          <w:color w:val="000000"/>
        </w:rPr>
        <w:t xml:space="preserve">overty </w:t>
      </w:r>
      <w:r w:rsidR="001454BD" w:rsidRPr="00A27F8A">
        <w:rPr>
          <w:color w:val="000000"/>
        </w:rPr>
        <w:t>r</w:t>
      </w:r>
      <w:r w:rsidR="00C11B29" w:rsidRPr="00A27F8A">
        <w:rPr>
          <w:color w:val="000000"/>
        </w:rPr>
        <w:t xml:space="preserve">eduction: </w:t>
      </w:r>
      <w:r w:rsidR="001454BD" w:rsidRPr="00A27F8A">
        <w:rPr>
          <w:color w:val="000000"/>
        </w:rPr>
        <w:t>a</w:t>
      </w:r>
      <w:r w:rsidR="00C11B29" w:rsidRPr="00A27F8A">
        <w:rPr>
          <w:color w:val="000000"/>
        </w:rPr>
        <w:t>n</w:t>
      </w:r>
      <w:r w:rsidR="00F6686F" w:rsidRPr="00A27F8A">
        <w:rPr>
          <w:color w:val="000000"/>
        </w:rPr>
        <w:t xml:space="preserve"> </w:t>
      </w:r>
      <w:r w:rsidR="00C11B29" w:rsidRPr="00A27F8A">
        <w:rPr>
          <w:color w:val="000000"/>
        </w:rPr>
        <w:t>Asia</w:t>
      </w:r>
      <w:r w:rsidR="001454BD" w:rsidRPr="00A27F8A">
        <w:rPr>
          <w:color w:val="000000"/>
        </w:rPr>
        <w:t>-</w:t>
      </w:r>
      <w:r w:rsidR="00C11B29" w:rsidRPr="00A27F8A">
        <w:rPr>
          <w:color w:val="000000"/>
        </w:rPr>
        <w:t xml:space="preserve">Pacific </w:t>
      </w:r>
      <w:r w:rsidR="001454BD" w:rsidRPr="00A27F8A">
        <w:rPr>
          <w:color w:val="000000"/>
        </w:rPr>
        <w:t>p</w:t>
      </w:r>
      <w:r w:rsidR="00F6686F" w:rsidRPr="00A27F8A">
        <w:rPr>
          <w:color w:val="000000"/>
        </w:rPr>
        <w:t>erspective »</w:t>
      </w:r>
      <w:r w:rsidR="00C11B29" w:rsidRPr="00A27F8A">
        <w:rPr>
          <w:color w:val="000000"/>
        </w:rPr>
        <w:t xml:space="preserve">, </w:t>
      </w:r>
      <w:r w:rsidR="00F6686F" w:rsidRPr="00A27F8A">
        <w:rPr>
          <w:color w:val="000000"/>
        </w:rPr>
        <w:t>le PNUE a mis en évidence les possibilités de promouvoir une économie verte dans le cadre de</w:t>
      </w:r>
      <w:r w:rsidR="00E9700D" w:rsidRPr="00A27F8A">
        <w:rPr>
          <w:color w:val="000000"/>
        </w:rPr>
        <w:t>s</w:t>
      </w:r>
      <w:r w:rsidR="00F6686F" w:rsidRPr="00A27F8A">
        <w:rPr>
          <w:color w:val="000000"/>
        </w:rPr>
        <w:t xml:space="preserve"> services commerciaux</w:t>
      </w:r>
      <w:r w:rsidR="00E9700D" w:rsidRPr="00A27F8A">
        <w:rPr>
          <w:color w:val="000000"/>
        </w:rPr>
        <w:t xml:space="preserve">, de l’information et des télécommunications </w:t>
      </w:r>
      <w:r w:rsidR="00CC40EE">
        <w:rPr>
          <w:color w:val="000000"/>
        </w:rPr>
        <w:t>ainsi que</w:t>
      </w:r>
      <w:r w:rsidR="00E9700D" w:rsidRPr="00A27F8A">
        <w:rPr>
          <w:color w:val="000000"/>
        </w:rPr>
        <w:t xml:space="preserve"> des services et</w:t>
      </w:r>
      <w:r w:rsidR="00C11B29" w:rsidRPr="00A27F8A">
        <w:rPr>
          <w:color w:val="000000"/>
        </w:rPr>
        <w:t xml:space="preserve"> </w:t>
      </w:r>
      <w:r w:rsidR="00E9700D" w:rsidRPr="00A27F8A">
        <w:rPr>
          <w:color w:val="000000"/>
        </w:rPr>
        <w:t>équipements publics</w:t>
      </w:r>
      <w:r w:rsidR="00C11B29" w:rsidRPr="00A27F8A">
        <w:rPr>
          <w:color w:val="000000"/>
        </w:rPr>
        <w:t xml:space="preserve">. </w:t>
      </w:r>
      <w:r w:rsidR="00E9700D" w:rsidRPr="00A27F8A">
        <w:rPr>
          <w:color w:val="000000"/>
        </w:rPr>
        <w:t>En s’appuyant sur le rapport</w:t>
      </w:r>
      <w:r w:rsidR="00F65560" w:rsidRPr="00A27F8A">
        <w:rPr>
          <w:color w:val="000000"/>
        </w:rPr>
        <w:t xml:space="preserve"> </w:t>
      </w:r>
      <w:r w:rsidR="002C57DC">
        <w:rPr>
          <w:color w:val="000000"/>
        </w:rPr>
        <w:t>issu de l’e</w:t>
      </w:r>
      <w:r w:rsidR="00F65560" w:rsidRPr="00A27F8A">
        <w:rPr>
          <w:color w:val="000000"/>
        </w:rPr>
        <w:t>nquête sur la conception d’un système financier durable intitulé « </w:t>
      </w:r>
      <w:hyperlink r:id="rId30" w:history="1">
        <w:r w:rsidR="00F65560" w:rsidRPr="00A27F8A">
          <w:rPr>
            <w:rStyle w:val="Hyperlink"/>
            <w:color w:val="000000"/>
            <w:u w:val="none"/>
          </w:rPr>
          <w:t>Le</w:t>
        </w:r>
      </w:hyperlink>
      <w:r w:rsidR="00F65560" w:rsidRPr="00A27F8A">
        <w:t xml:space="preserve"> système financier dont nous avons besoin </w:t>
      </w:r>
      <w:r w:rsidR="00870618" w:rsidRPr="00A27F8A">
        <w:rPr>
          <w:color w:val="000000"/>
        </w:rPr>
        <w:t>: align</w:t>
      </w:r>
      <w:r w:rsidR="00F65560" w:rsidRPr="00A27F8A">
        <w:rPr>
          <w:color w:val="000000"/>
        </w:rPr>
        <w:t>ement du système financier sur le développement durable »</w:t>
      </w:r>
      <w:r w:rsidR="00B16C70" w:rsidRPr="00A27F8A">
        <w:rPr>
          <w:color w:val="000000"/>
        </w:rPr>
        <w:t>,</w:t>
      </w:r>
      <w:r w:rsidR="00A37E35" w:rsidRPr="00A27F8A">
        <w:rPr>
          <w:color w:val="000000"/>
        </w:rPr>
        <w:t xml:space="preserve"> </w:t>
      </w:r>
      <w:r w:rsidR="00F65560" w:rsidRPr="00A27F8A">
        <w:rPr>
          <w:color w:val="000000"/>
        </w:rPr>
        <w:t>le PNUE a</w:t>
      </w:r>
      <w:r w:rsidR="00A37E35" w:rsidRPr="00A27F8A">
        <w:rPr>
          <w:color w:val="000000"/>
        </w:rPr>
        <w:t xml:space="preserve"> </w:t>
      </w:r>
      <w:r w:rsidR="00F65560" w:rsidRPr="00A27F8A">
        <w:rPr>
          <w:color w:val="000000"/>
        </w:rPr>
        <w:t xml:space="preserve">élaboré des chapitres sur </w:t>
      </w:r>
      <w:r w:rsidR="002C57DC">
        <w:rPr>
          <w:color w:val="000000"/>
        </w:rPr>
        <w:t>l’utilisation efficace</w:t>
      </w:r>
      <w:r w:rsidR="00F65560" w:rsidRPr="00A27F8A">
        <w:rPr>
          <w:color w:val="000000"/>
        </w:rPr>
        <w:t xml:space="preserve"> des ressources et le financement</w:t>
      </w:r>
      <w:r w:rsidR="0017445C" w:rsidRPr="00A27F8A">
        <w:rPr>
          <w:color w:val="000000"/>
        </w:rPr>
        <w:t xml:space="preserve"> du développement </w:t>
      </w:r>
      <w:r w:rsidR="002C57DC">
        <w:rPr>
          <w:color w:val="000000"/>
        </w:rPr>
        <w:t>dans le cadre de l’établissement d’</w:t>
      </w:r>
      <w:r w:rsidR="0017445C" w:rsidRPr="00A27F8A">
        <w:rPr>
          <w:color w:val="000000"/>
        </w:rPr>
        <w:t>un nouveau rapport régional destiné à éclairer les débats devant se tenir en 2016 à l’occasion d’une conférence ministérielle sur l’environnement et le développement</w:t>
      </w:r>
      <w:r w:rsidR="00C11B29" w:rsidRPr="00A27F8A">
        <w:rPr>
          <w:color w:val="000000"/>
        </w:rPr>
        <w:t>.</w:t>
      </w:r>
    </w:p>
    <w:p w:rsidR="00F54840" w:rsidRPr="00A27F8A" w:rsidRDefault="00F54840" w:rsidP="008E0CA4">
      <w:pPr>
        <w:pStyle w:val="Normalnumber"/>
        <w:keepNext/>
        <w:keepLines/>
        <w:tabs>
          <w:tab w:val="clear" w:pos="1247"/>
          <w:tab w:val="clear" w:pos="1814"/>
          <w:tab w:val="clear" w:pos="2381"/>
          <w:tab w:val="clear" w:pos="2948"/>
          <w:tab w:val="clear" w:pos="3515"/>
          <w:tab w:val="clear" w:pos="4082"/>
          <w:tab w:val="left" w:pos="624"/>
        </w:tabs>
        <w:ind w:left="1247" w:firstLine="0"/>
        <w:rPr>
          <w:color w:val="000000"/>
        </w:rPr>
      </w:pPr>
      <w:r w:rsidRPr="00A27F8A">
        <w:rPr>
          <w:color w:val="000000"/>
        </w:rPr>
        <w:t xml:space="preserve">Également en Asie et dans le Pacifique, le PNUE est membre du groupe d’appui des pairs </w:t>
      </w:r>
      <w:r w:rsidR="002C57DC">
        <w:rPr>
          <w:color w:val="000000"/>
        </w:rPr>
        <w:t xml:space="preserve">relevant </w:t>
      </w:r>
      <w:r w:rsidRPr="00A27F8A">
        <w:rPr>
          <w:color w:val="000000"/>
        </w:rPr>
        <w:t>du Groupe des Nations Unies pour le développement et a joué un rôle de chef de file dans la communication d’informations concernant les objectifs de développement durable, en or</w:t>
      </w:r>
      <w:r w:rsidR="00CC40EE">
        <w:rPr>
          <w:color w:val="000000"/>
        </w:rPr>
        <w:t>ganisant des sessions sur c</w:t>
      </w:r>
      <w:r w:rsidRPr="00A27F8A">
        <w:rPr>
          <w:color w:val="000000"/>
        </w:rPr>
        <w:t>es objectifs à l’occasion de séminaires d’équipes de pays des Nations Unies et de réunions régionales des Nations Unies, qui lui ont permis d’attirer l’attention sur l’approche intégrée dans le cadre d’initiatives clés, notamment l’</w:t>
      </w:r>
      <w:hyperlink r:id="rId31" w:history="1">
        <w:r w:rsidR="002C57DC">
          <w:rPr>
            <w:rStyle w:val="Hyperlink"/>
            <w:color w:val="000000"/>
            <w:u w:val="none"/>
          </w:rPr>
          <w:t>Initiative pauvreté-e</w:t>
        </w:r>
        <w:r w:rsidRPr="00A27F8A">
          <w:rPr>
            <w:rStyle w:val="Hyperlink"/>
            <w:color w:val="000000"/>
            <w:u w:val="none"/>
          </w:rPr>
          <w:t>nvironnement</w:t>
        </w:r>
      </w:hyperlink>
      <w:r w:rsidRPr="00A27F8A">
        <w:t xml:space="preserve"> </w:t>
      </w:r>
      <w:r w:rsidRPr="00A27F8A">
        <w:rPr>
          <w:color w:val="000000"/>
        </w:rPr>
        <w:t xml:space="preserve">et le </w:t>
      </w:r>
      <w:hyperlink r:id="rId32" w:history="1">
        <w:r w:rsidRPr="00A27F8A">
          <w:rPr>
            <w:rStyle w:val="Hyperlink"/>
            <w:color w:val="000000"/>
            <w:u w:val="none"/>
          </w:rPr>
          <w:t>Partenariat pour une action sur l’économie verte</w:t>
        </w:r>
      </w:hyperlink>
      <w:r w:rsidRPr="00A27F8A">
        <w:rPr>
          <w:color w:val="000000"/>
        </w:rPr>
        <w:t>. Le PNUE a dirigé l’élaboration d’une méthodologie pour les évaluations des données nationales se rapportant aux objectifs de développement durable, qui a été adoptée par l’</w:t>
      </w:r>
      <w:r w:rsidR="00FE48BE" w:rsidRPr="00A27F8A">
        <w:rPr>
          <w:color w:val="000000"/>
        </w:rPr>
        <w:t>é</w:t>
      </w:r>
      <w:r w:rsidRPr="00A27F8A">
        <w:rPr>
          <w:color w:val="000000"/>
        </w:rPr>
        <w:t>quipe régionale pour l’Asie et le Pacifique du Groupe des Nations Unies pour le développement et figure en tant qu’outil de planification mondiale dans les orientations du Groupe concernant la simplification, l’accélération et le soutien aux politiques. Les évaluations des données nationales fournissent au PNUE un point d’entrée pour le partage des travaux sur l’</w:t>
      </w:r>
      <w:r w:rsidR="002E75F3">
        <w:rPr>
          <w:color w:val="000000"/>
        </w:rPr>
        <w:t>utilisation efficace</w:t>
      </w:r>
      <w:r w:rsidRPr="00A27F8A">
        <w:rPr>
          <w:color w:val="000000"/>
        </w:rPr>
        <w:t xml:space="preserve"> des ressources et les indicateurs relatifs aux modes de consommation </w:t>
      </w:r>
      <w:r w:rsidR="002E75F3">
        <w:rPr>
          <w:color w:val="000000"/>
        </w:rPr>
        <w:t xml:space="preserve">et </w:t>
      </w:r>
      <w:r w:rsidRPr="00A27F8A">
        <w:rPr>
          <w:color w:val="000000"/>
        </w:rPr>
        <w:t>de production durables avec</w:t>
      </w:r>
      <w:r w:rsidR="00537C4D" w:rsidRPr="00A27F8A">
        <w:rPr>
          <w:color w:val="000000"/>
        </w:rPr>
        <w:t xml:space="preserve"> les bureaux nationaux de statistique</w:t>
      </w:r>
      <w:r w:rsidRPr="00A27F8A">
        <w:t>.</w:t>
      </w:r>
      <w:r w:rsidR="00CD0A8F" w:rsidRPr="00A27F8A">
        <w:t xml:space="preserve"> Le PNUE a égalemen</w:t>
      </w:r>
      <w:r w:rsidR="00EE5EB5">
        <w:t xml:space="preserve">t coprésidé une équipe </w:t>
      </w:r>
      <w:r w:rsidR="00CD0A8F" w:rsidRPr="00A27F8A">
        <w:t>régionale du Groupe des Nations Unies pour le développement chargée d’intégrer les changements climatiques dans les plans-cadres des Nations Unies pour l’aide au développement. Les orientations mondiales du</w:t>
      </w:r>
      <w:r w:rsidRPr="00A27F8A">
        <w:t xml:space="preserve"> </w:t>
      </w:r>
      <w:r w:rsidR="00CD0A8F" w:rsidRPr="00A27F8A">
        <w:t>Groupe des Nations Unies pour le développement relatives à cette question ont ensuite été adaptées pour la région de l’Asie et du Pacifique et le soutien des mécanismes régionaux du système des Nations Unies a été mobilisé afin de</w:t>
      </w:r>
      <w:r w:rsidR="00EE455D" w:rsidRPr="00A27F8A">
        <w:t xml:space="preserve"> mettre en œuvre des programmes de formation au niveau des pays</w:t>
      </w:r>
      <w:r w:rsidRPr="00A27F8A">
        <w:t>.</w:t>
      </w:r>
    </w:p>
    <w:p w:rsidR="00C11B29" w:rsidRPr="00A27F8A" w:rsidRDefault="00EE455D" w:rsidP="008E0CA4">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A27F8A">
        <w:t xml:space="preserve">En Asie occidentale, le PNUE </w:t>
      </w:r>
      <w:r w:rsidR="00FE48BE" w:rsidRPr="00A27F8A">
        <w:t>a collaboré aux efforts de l’équipe du Groupe des Nations Un</w:t>
      </w:r>
      <w:r w:rsidR="002E75F3">
        <w:t>ies pour le développement et du mécanisme de coordination régional</w:t>
      </w:r>
      <w:r w:rsidR="00FE48BE" w:rsidRPr="00A27F8A">
        <w:t xml:space="preserve"> visant à intégrer l’environnement dans les consultations concernant</w:t>
      </w:r>
      <w:r w:rsidR="00D72308" w:rsidRPr="00A27F8A">
        <w:t xml:space="preserve"> </w:t>
      </w:r>
      <w:r w:rsidR="00FE48BE" w:rsidRPr="00A27F8A">
        <w:t xml:space="preserve">le processus conduisant à l’élaboration du </w:t>
      </w:r>
      <w:r w:rsidR="00FE48BE" w:rsidRPr="00A27F8A">
        <w:rPr>
          <w:rFonts w:eastAsia="MS Mincho"/>
        </w:rPr>
        <w:t>Programme de développement durable à l’horizon 2030</w:t>
      </w:r>
      <w:r w:rsidR="003C0066" w:rsidRPr="00A27F8A">
        <w:rPr>
          <w:color w:val="000000"/>
        </w:rPr>
        <w:t>,</w:t>
      </w:r>
      <w:r w:rsidR="00FE48BE" w:rsidRPr="00A27F8A">
        <w:rPr>
          <w:color w:val="000000"/>
        </w:rPr>
        <w:t xml:space="preserve"> notamment en organisant conjointement le</w:t>
      </w:r>
      <w:hyperlink r:id="rId33" w:history="1">
        <w:r w:rsidR="00CF4F3A" w:rsidRPr="00A27F8A">
          <w:t xml:space="preserve"> </w:t>
        </w:r>
        <w:r w:rsidR="00CF4F3A" w:rsidRPr="00A27F8A">
          <w:rPr>
            <w:rStyle w:val="Hyperlink"/>
            <w:color w:val="000000"/>
            <w:u w:val="none"/>
          </w:rPr>
          <w:t xml:space="preserve">Forum arabe de haut niveau </w:t>
        </w:r>
        <w:r w:rsidR="00093E73" w:rsidRPr="00A27F8A">
          <w:rPr>
            <w:rStyle w:val="Hyperlink"/>
            <w:color w:val="000000"/>
            <w:u w:val="none"/>
          </w:rPr>
          <w:t>pour</w:t>
        </w:r>
        <w:r w:rsidR="00CF4F3A" w:rsidRPr="00A27F8A">
          <w:rPr>
            <w:rStyle w:val="Hyperlink"/>
            <w:color w:val="000000"/>
            <w:u w:val="none"/>
          </w:rPr>
          <w:t xml:space="preserve"> le développement durable</w:t>
        </w:r>
      </w:hyperlink>
      <w:r w:rsidR="00C11B29" w:rsidRPr="00A27F8A">
        <w:rPr>
          <w:color w:val="000000"/>
        </w:rPr>
        <w:t xml:space="preserve"> </w:t>
      </w:r>
      <w:r w:rsidR="00CF4F3A" w:rsidRPr="00A27F8A">
        <w:rPr>
          <w:color w:val="000000"/>
        </w:rPr>
        <w:t>et en organisant une session thématique sur la dimension environnementale du développement durable à l’occasion du</w:t>
      </w:r>
      <w:hyperlink r:id="rId34" w:history="1">
        <w:r w:rsidR="00C11B29" w:rsidRPr="00A27F8A">
          <w:rPr>
            <w:rStyle w:val="Hyperlink"/>
            <w:color w:val="000000"/>
            <w:u w:val="none"/>
          </w:rPr>
          <w:t xml:space="preserve"> Foru</w:t>
        </w:r>
        <w:r w:rsidR="00CF4F3A" w:rsidRPr="00A27F8A">
          <w:rPr>
            <w:rStyle w:val="Hyperlink"/>
            <w:color w:val="000000"/>
            <w:u w:val="none"/>
          </w:rPr>
          <w:t>m arabe sur le développement</w:t>
        </w:r>
      </w:hyperlink>
      <w:r w:rsidR="00CF4F3A" w:rsidRPr="00A27F8A">
        <w:t>, qui s’est tenu en avril </w:t>
      </w:r>
      <w:r w:rsidR="00C11B29" w:rsidRPr="00A27F8A">
        <w:rPr>
          <w:color w:val="000000"/>
        </w:rPr>
        <w:t xml:space="preserve">2013. </w:t>
      </w:r>
      <w:r w:rsidR="00CF4F3A" w:rsidRPr="00A27F8A">
        <w:rPr>
          <w:color w:val="000000"/>
        </w:rPr>
        <w:t>Le PNUE et</w:t>
      </w:r>
      <w:r w:rsidR="004D66AE" w:rsidRPr="00A27F8A">
        <w:rPr>
          <w:color w:val="000000"/>
        </w:rPr>
        <w:t xml:space="preserve"> </w:t>
      </w:r>
      <w:r w:rsidR="00CF4F3A" w:rsidRPr="00A27F8A">
        <w:rPr>
          <w:color w:val="000000"/>
        </w:rPr>
        <w:t>la Commission économique et sociale pour l’Asie occidentale</w:t>
      </w:r>
      <w:r w:rsidR="003C0066" w:rsidRPr="00A27F8A">
        <w:rPr>
          <w:color w:val="000000"/>
        </w:rPr>
        <w:t xml:space="preserve">, </w:t>
      </w:r>
      <w:r w:rsidR="00CF4F3A" w:rsidRPr="00A27F8A">
        <w:rPr>
          <w:color w:val="000000"/>
        </w:rPr>
        <w:t>qui ont organisé les consultations dans la région arabe, ont coprésidé un groupe de travail thématique sur</w:t>
      </w:r>
      <w:r w:rsidR="00C11B29" w:rsidRPr="00A27F8A">
        <w:rPr>
          <w:color w:val="000000"/>
        </w:rPr>
        <w:t xml:space="preserve"> </w:t>
      </w:r>
      <w:r w:rsidR="00441295" w:rsidRPr="00A27F8A">
        <w:rPr>
          <w:color w:val="000000"/>
        </w:rPr>
        <w:t>la transition de la région à la suite de la Conférence des Nations Unies sur le développement durable</w:t>
      </w:r>
      <w:r w:rsidR="00C11B29" w:rsidRPr="00A27F8A">
        <w:rPr>
          <w:color w:val="000000"/>
        </w:rPr>
        <w:t xml:space="preserve"> </w:t>
      </w:r>
      <w:r w:rsidR="00441295" w:rsidRPr="00A27F8A">
        <w:rPr>
          <w:color w:val="000000"/>
        </w:rPr>
        <w:t>et élaborent conjointement la première édition du</w:t>
      </w:r>
      <w:r w:rsidR="003C0066" w:rsidRPr="00A27F8A">
        <w:rPr>
          <w:color w:val="000000"/>
        </w:rPr>
        <w:t xml:space="preserve"> </w:t>
      </w:r>
      <w:r w:rsidR="00441295" w:rsidRPr="00A27F8A">
        <w:t xml:space="preserve">Rapport arabe sur le développement durable, dont la publication est prévue pour le début de </w:t>
      </w:r>
      <w:r w:rsidR="00C11B29" w:rsidRPr="00A27F8A">
        <w:rPr>
          <w:color w:val="000000"/>
        </w:rPr>
        <w:t>2016.</w:t>
      </w:r>
    </w:p>
    <w:p w:rsidR="00086D15" w:rsidRPr="00A27F8A" w:rsidRDefault="00441295" w:rsidP="008E0CA4">
      <w:pPr>
        <w:pStyle w:val="Normalnumber"/>
        <w:tabs>
          <w:tab w:val="clear" w:pos="1247"/>
          <w:tab w:val="clear" w:pos="1814"/>
          <w:tab w:val="clear" w:pos="2381"/>
          <w:tab w:val="clear" w:pos="2948"/>
          <w:tab w:val="clear" w:pos="3515"/>
          <w:tab w:val="clear" w:pos="4082"/>
          <w:tab w:val="left" w:pos="624"/>
        </w:tabs>
        <w:ind w:left="1247" w:firstLine="0"/>
        <w:rPr>
          <w:color w:val="000000"/>
        </w:rPr>
      </w:pPr>
      <w:r w:rsidRPr="00A27F8A">
        <w:rPr>
          <w:color w:val="000000"/>
        </w:rPr>
        <w:t>En</w:t>
      </w:r>
      <w:r w:rsidR="00C11B29" w:rsidRPr="00A27F8A">
        <w:rPr>
          <w:color w:val="000000"/>
        </w:rPr>
        <w:t xml:space="preserve"> </w:t>
      </w:r>
      <w:hyperlink r:id="rId35" w:history="1">
        <w:r w:rsidRPr="00A27F8A">
          <w:rPr>
            <w:rStyle w:val="Hyperlink"/>
            <w:color w:val="000000"/>
            <w:u w:val="none"/>
          </w:rPr>
          <w:t>Amérique latine et dans les Caraïbes</w:t>
        </w:r>
      </w:hyperlink>
      <w:r w:rsidRPr="00A27F8A">
        <w:rPr>
          <w:color w:val="000000"/>
        </w:rPr>
        <w:t>, le Bureau régional du PNUE a accordé la priorité à</w:t>
      </w:r>
      <w:r w:rsidR="002E75F3">
        <w:rPr>
          <w:color w:val="000000"/>
        </w:rPr>
        <w:t xml:space="preserve"> l’intégration de la préservation de l’environnement</w:t>
      </w:r>
      <w:r w:rsidRPr="00A27F8A">
        <w:rPr>
          <w:color w:val="000000"/>
        </w:rPr>
        <w:t xml:space="preserve"> dans </w:t>
      </w:r>
      <w:r w:rsidRPr="00A27F8A">
        <w:t>les plans-cadres des Nations Unies pour l’aide au développement</w:t>
      </w:r>
      <w:r w:rsidRPr="00A27F8A">
        <w:rPr>
          <w:color w:val="000000"/>
        </w:rPr>
        <w:t xml:space="preserve"> de </w:t>
      </w:r>
      <w:r w:rsidR="00374415" w:rsidRPr="00A27F8A">
        <w:rPr>
          <w:color w:val="000000"/>
        </w:rPr>
        <w:t xml:space="preserve">Cuba </w:t>
      </w:r>
      <w:r w:rsidRPr="00A27F8A">
        <w:rPr>
          <w:color w:val="000000"/>
        </w:rPr>
        <w:t>et</w:t>
      </w:r>
      <w:r w:rsidR="00374415" w:rsidRPr="00A27F8A">
        <w:rPr>
          <w:color w:val="000000"/>
        </w:rPr>
        <w:t xml:space="preserve"> </w:t>
      </w:r>
      <w:r w:rsidRPr="00A27F8A">
        <w:rPr>
          <w:color w:val="000000"/>
        </w:rPr>
        <w:t>d’</w:t>
      </w:r>
      <w:r w:rsidR="00C11B29" w:rsidRPr="00A27F8A">
        <w:rPr>
          <w:color w:val="000000"/>
        </w:rPr>
        <w:t xml:space="preserve">El Salvador. </w:t>
      </w:r>
      <w:r w:rsidRPr="00A27F8A">
        <w:rPr>
          <w:color w:val="000000"/>
        </w:rPr>
        <w:t>Au Mexique, la collaboration</w:t>
      </w:r>
      <w:r w:rsidR="003C0066" w:rsidRPr="00A27F8A">
        <w:rPr>
          <w:color w:val="000000"/>
        </w:rPr>
        <w:t xml:space="preserve"> </w:t>
      </w:r>
      <w:r w:rsidRPr="00A27F8A">
        <w:rPr>
          <w:color w:val="000000"/>
        </w:rPr>
        <w:t>interinstitutions</w:t>
      </w:r>
      <w:r w:rsidR="00363539" w:rsidRPr="00A27F8A">
        <w:rPr>
          <w:color w:val="000000"/>
        </w:rPr>
        <w:t xml:space="preserve"> menée par le PNUE visant à mettre en œuvre les résultats relatifs à l’économie verte du Plan-cadre des Nations Unies pour l’aide au développement de ce pays a conduit à un certain nombre d’initiatives conjointes avec diverses parties prenantes</w:t>
      </w:r>
      <w:r w:rsidR="00C11B29" w:rsidRPr="00A27F8A">
        <w:rPr>
          <w:color w:val="000000"/>
        </w:rPr>
        <w:t xml:space="preserve">. </w:t>
      </w:r>
      <w:r w:rsidR="00E30B88" w:rsidRPr="00A27F8A">
        <w:rPr>
          <w:color w:val="000000"/>
        </w:rPr>
        <w:t>Par ai</w:t>
      </w:r>
      <w:r w:rsidR="00CC40EE">
        <w:rPr>
          <w:color w:val="000000"/>
        </w:rPr>
        <w:t>lleurs, le PNUE a fait progresser</w:t>
      </w:r>
      <w:r w:rsidR="00E30B88" w:rsidRPr="00A27F8A">
        <w:rPr>
          <w:color w:val="000000"/>
        </w:rPr>
        <w:t xml:space="preserve"> l’intégration de l’adaptation aux changements climatiques, de la réduction des risques de catastrophe et de la protection sociale en République dominicaine et</w:t>
      </w:r>
      <w:r w:rsidR="003C0066" w:rsidRPr="00A27F8A">
        <w:rPr>
          <w:color w:val="000000"/>
        </w:rPr>
        <w:t>,</w:t>
      </w:r>
      <w:r w:rsidR="00C11B29" w:rsidRPr="00A27F8A">
        <w:rPr>
          <w:color w:val="000000"/>
        </w:rPr>
        <w:t xml:space="preserve"> </w:t>
      </w:r>
      <w:r w:rsidR="00E30B88" w:rsidRPr="00A27F8A">
        <w:rPr>
          <w:color w:val="000000"/>
        </w:rPr>
        <w:t xml:space="preserve">dans le cadre de son </w:t>
      </w:r>
      <w:r w:rsidR="002E75F3">
        <w:rPr>
          <w:color w:val="000000"/>
        </w:rPr>
        <w:t xml:space="preserve">Initiative </w:t>
      </w:r>
      <w:r w:rsidR="002E75F3">
        <w:rPr>
          <w:color w:val="000000"/>
        </w:rPr>
        <w:br/>
        <w:t>pauvreté-e</w:t>
      </w:r>
      <w:r w:rsidR="00E30B88" w:rsidRPr="00A27F8A">
        <w:rPr>
          <w:color w:val="000000"/>
        </w:rPr>
        <w:t xml:space="preserve">nvironnement et du </w:t>
      </w:r>
      <w:hyperlink r:id="rId36" w:history="1">
        <w:r w:rsidR="00E30B88" w:rsidRPr="00A27F8A">
          <w:rPr>
            <w:rStyle w:val="Hyperlink"/>
            <w:color w:val="000000"/>
            <w:u w:val="none"/>
          </w:rPr>
          <w:t>portail régional pour le transfert de technologies et la lutte contre les changements climatiques en Amérique Latine et dans les Caraïbes</w:t>
        </w:r>
      </w:hyperlink>
      <w:r w:rsidR="00C11B29" w:rsidRPr="00A27F8A">
        <w:rPr>
          <w:color w:val="000000"/>
        </w:rPr>
        <w:t xml:space="preserve">, </w:t>
      </w:r>
      <w:r w:rsidR="00C318B3">
        <w:rPr>
          <w:color w:val="000000"/>
        </w:rPr>
        <w:t>a fourni un appui au g</w:t>
      </w:r>
      <w:r w:rsidR="005E13F9" w:rsidRPr="00A27F8A">
        <w:rPr>
          <w:color w:val="000000"/>
        </w:rPr>
        <w:t>ouvernement</w:t>
      </w:r>
      <w:r w:rsidR="00C11B29" w:rsidRPr="00A27F8A">
        <w:rPr>
          <w:color w:val="000000"/>
        </w:rPr>
        <w:t xml:space="preserve"> </w:t>
      </w:r>
      <w:r w:rsidR="005E13F9" w:rsidRPr="00A27F8A">
        <w:rPr>
          <w:color w:val="000000"/>
        </w:rPr>
        <w:t xml:space="preserve">dans ses efforts visant à incorporer des variables </w:t>
      </w:r>
      <w:r w:rsidR="002E75F3">
        <w:rPr>
          <w:color w:val="000000"/>
        </w:rPr>
        <w:t>relatifs à la</w:t>
      </w:r>
      <w:r w:rsidR="005E13F9" w:rsidRPr="00A27F8A">
        <w:rPr>
          <w:color w:val="000000"/>
        </w:rPr>
        <w:t xml:space="preserve"> vulnérabilité dans la définition des bénéficiaires de programmes de protection sociale</w:t>
      </w:r>
      <w:r w:rsidR="00C11B29" w:rsidRPr="00A27F8A">
        <w:rPr>
          <w:color w:val="000000"/>
        </w:rPr>
        <w:t>.</w:t>
      </w:r>
      <w:r w:rsidR="005E13F9" w:rsidRPr="00A27F8A">
        <w:rPr>
          <w:color w:val="000000"/>
        </w:rPr>
        <w:t xml:space="preserve"> Le PNUE mène également des efforts de protection de la diversité biologique dans le cadre de l’initiative</w:t>
      </w:r>
      <w:r w:rsidR="00C70C11" w:rsidRPr="00A27F8A">
        <w:rPr>
          <w:color w:val="000000"/>
        </w:rPr>
        <w:t xml:space="preserve"> </w:t>
      </w:r>
      <w:r w:rsidR="00A21F1E">
        <w:rPr>
          <w:color w:val="000000"/>
        </w:rPr>
        <w:t>« </w:t>
      </w:r>
      <w:hyperlink r:id="rId37" w:history="1">
        <w:r w:rsidR="00C11B29" w:rsidRPr="00A27F8A">
          <w:rPr>
            <w:rStyle w:val="Hyperlink"/>
            <w:color w:val="000000"/>
            <w:u w:val="none"/>
          </w:rPr>
          <w:t>C</w:t>
        </w:r>
        <w:r w:rsidR="00C70C11" w:rsidRPr="00A27F8A">
          <w:rPr>
            <w:rStyle w:val="Hyperlink"/>
            <w:color w:val="000000"/>
            <w:u w:val="none"/>
          </w:rPr>
          <w:t xml:space="preserve">orridor </w:t>
        </w:r>
        <w:r w:rsidR="00A21F1E">
          <w:rPr>
            <w:rStyle w:val="Hyperlink"/>
            <w:color w:val="000000"/>
            <w:u w:val="none"/>
          </w:rPr>
          <w:t>biologique</w:t>
        </w:r>
        <w:r w:rsidR="00C70C11" w:rsidRPr="00A27F8A">
          <w:rPr>
            <w:rStyle w:val="Hyperlink"/>
            <w:color w:val="000000"/>
            <w:u w:val="none"/>
          </w:rPr>
          <w:t xml:space="preserve"> des Caraïbes</w:t>
        </w:r>
      </w:hyperlink>
      <w:r w:rsidR="00A21F1E">
        <w:t> »</w:t>
      </w:r>
      <w:r w:rsidR="00C11B29" w:rsidRPr="00A27F8A">
        <w:rPr>
          <w:color w:val="000000"/>
        </w:rPr>
        <w:t xml:space="preserve">, </w:t>
      </w:r>
      <w:r w:rsidR="00C70C11" w:rsidRPr="00A27F8A">
        <w:rPr>
          <w:color w:val="000000"/>
        </w:rPr>
        <w:t xml:space="preserve">qui a été mise en œuvre avec la collaboration de Cuba, </w:t>
      </w:r>
      <w:r w:rsidR="002E75F3" w:rsidRPr="00A27F8A">
        <w:rPr>
          <w:color w:val="000000"/>
        </w:rPr>
        <w:t xml:space="preserve">d’Haïti </w:t>
      </w:r>
      <w:r w:rsidR="002E75F3">
        <w:rPr>
          <w:color w:val="000000"/>
        </w:rPr>
        <w:t xml:space="preserve">et </w:t>
      </w:r>
      <w:r w:rsidR="00C70C11" w:rsidRPr="00A27F8A">
        <w:rPr>
          <w:color w:val="000000"/>
        </w:rPr>
        <w:t>de la République dominicaine et s’intéresse aux questions sociales touchant les populations rurales vulnérables dans le cadre d’une approche intégrée en matière de conservation de la diversité biologique</w:t>
      </w:r>
      <w:r w:rsidR="00C11B29" w:rsidRPr="00A27F8A">
        <w:rPr>
          <w:color w:val="000000"/>
        </w:rPr>
        <w:t xml:space="preserve">. </w:t>
      </w:r>
    </w:p>
    <w:p w:rsidR="003E344F" w:rsidRPr="00A27F8A" w:rsidRDefault="00043DE6" w:rsidP="008E0CA4">
      <w:pPr>
        <w:pStyle w:val="CH2"/>
        <w:rPr>
          <w:lang w:val="fr-FR"/>
        </w:rPr>
      </w:pPr>
      <w:r w:rsidRPr="00A27F8A">
        <w:rPr>
          <w:lang w:val="fr-FR"/>
        </w:rPr>
        <w:lastRenderedPageBreak/>
        <w:tab/>
      </w:r>
      <w:r w:rsidR="001A79D0" w:rsidRPr="00A27F8A">
        <w:rPr>
          <w:lang w:val="fr-FR"/>
        </w:rPr>
        <w:t>C</w:t>
      </w:r>
      <w:r w:rsidR="00C11B29" w:rsidRPr="00A27F8A">
        <w:rPr>
          <w:lang w:val="fr-FR"/>
        </w:rPr>
        <w:t>.</w:t>
      </w:r>
      <w:r w:rsidR="00C11B29" w:rsidRPr="00A27F8A">
        <w:rPr>
          <w:lang w:val="fr-FR"/>
        </w:rPr>
        <w:tab/>
      </w:r>
      <w:r w:rsidR="00C20FC0" w:rsidRPr="00A27F8A">
        <w:rPr>
          <w:lang w:val="fr-FR"/>
        </w:rPr>
        <w:t xml:space="preserve">Utilisation des mécanismes de coordination du système des Nations Unies </w:t>
      </w:r>
      <w:r w:rsidR="00A44F7D">
        <w:rPr>
          <w:lang w:val="fr-FR"/>
        </w:rPr>
        <w:br/>
      </w:r>
      <w:r w:rsidR="00C20FC0" w:rsidRPr="00A27F8A">
        <w:rPr>
          <w:lang w:val="fr-FR"/>
        </w:rPr>
        <w:t xml:space="preserve">au niveau </w:t>
      </w:r>
      <w:r w:rsidR="00C11B29" w:rsidRPr="00A27F8A">
        <w:rPr>
          <w:lang w:val="fr-FR"/>
        </w:rPr>
        <w:t xml:space="preserve">national </w:t>
      </w:r>
    </w:p>
    <w:p w:rsidR="00C11B29" w:rsidRPr="00A27F8A" w:rsidRDefault="002E75F3" w:rsidP="008E0CA4">
      <w:pPr>
        <w:pStyle w:val="Normalnumber"/>
        <w:tabs>
          <w:tab w:val="clear" w:pos="1247"/>
          <w:tab w:val="clear" w:pos="1814"/>
          <w:tab w:val="clear" w:pos="2381"/>
          <w:tab w:val="clear" w:pos="2948"/>
          <w:tab w:val="clear" w:pos="3515"/>
          <w:tab w:val="clear" w:pos="4082"/>
          <w:tab w:val="left" w:pos="624"/>
        </w:tabs>
        <w:ind w:left="1247" w:firstLine="0"/>
      </w:pPr>
      <w:r>
        <w:t>Le PNUE s’emploie</w:t>
      </w:r>
      <w:r w:rsidR="00C20FC0" w:rsidRPr="00A27F8A">
        <w:t xml:space="preserve"> à mettre ses connaissances et son expertise au service des priorités et </w:t>
      </w:r>
      <w:r w:rsidR="00D14DF7" w:rsidRPr="00A27F8A">
        <w:t xml:space="preserve">des </w:t>
      </w:r>
      <w:r w:rsidR="00C20FC0" w:rsidRPr="00A27F8A">
        <w:t xml:space="preserve">cadres stratégiques nationaux et à contribuer à la capacité collective des équipes de pays des Nations Unies, </w:t>
      </w:r>
      <w:r w:rsidR="00D14DF7" w:rsidRPr="00A27F8A">
        <w:t xml:space="preserve">en appuyant l’intégration de la dimension environnementale du développement durable dans le cadre d’initiatives et de programmes </w:t>
      </w:r>
      <w:r w:rsidR="00C542CF">
        <w:t>novateurs, porteurs et piloté</w:t>
      </w:r>
      <w:r>
        <w:t>s</w:t>
      </w:r>
      <w:r w:rsidR="006A25CB" w:rsidRPr="00A27F8A">
        <w:t xml:space="preserve"> par les pays</w:t>
      </w:r>
      <w:r w:rsidR="00C11B29" w:rsidRPr="00A27F8A">
        <w:t xml:space="preserve">. </w:t>
      </w:r>
      <w:r w:rsidR="006A25CB" w:rsidRPr="00A27F8A">
        <w:t>Le PNUE fournit</w:t>
      </w:r>
      <w:r w:rsidR="00C11B29" w:rsidRPr="00A27F8A">
        <w:t xml:space="preserve"> </w:t>
      </w:r>
      <w:r w:rsidR="006A25CB" w:rsidRPr="00A27F8A">
        <w:t xml:space="preserve">un large éventail de services visant à incorporer la </w:t>
      </w:r>
      <w:r>
        <w:t>viabilité de l’</w:t>
      </w:r>
      <w:r w:rsidR="006A25CB" w:rsidRPr="00A27F8A">
        <w:t xml:space="preserve">environnement dans les </w:t>
      </w:r>
      <w:r>
        <w:br/>
      </w:r>
      <w:r w:rsidR="006A25CB" w:rsidRPr="00A27F8A">
        <w:t>plans-cadres des Nations Unies pour l’aide au développement. De plus amples informations concernant sa contribution aux cadres et à la programmation conjointe au niveau national figurent dans le do</w:t>
      </w:r>
      <w:r w:rsidR="003C0066" w:rsidRPr="00A27F8A">
        <w:rPr>
          <w:szCs w:val="18"/>
        </w:rPr>
        <w:t xml:space="preserve">cument </w:t>
      </w:r>
      <w:r w:rsidR="003C0066" w:rsidRPr="00A27F8A">
        <w:t>UNEP/EA.2/</w:t>
      </w:r>
      <w:r>
        <w:t>INF/14</w:t>
      </w:r>
      <w:r w:rsidR="006A25CB" w:rsidRPr="00A27F8A">
        <w:t xml:space="preserve"> sur</w:t>
      </w:r>
      <w:r w:rsidR="003C0066" w:rsidRPr="00A27F8A">
        <w:rPr>
          <w:szCs w:val="18"/>
        </w:rPr>
        <w:t xml:space="preserve"> </w:t>
      </w:r>
      <w:r w:rsidR="006A25CB" w:rsidRPr="00A27F8A">
        <w:rPr>
          <w:szCs w:val="18"/>
        </w:rPr>
        <w:t>l’examen quadriennal complet de l’Assemblée générale des Nations Unies</w:t>
      </w:r>
      <w:r w:rsidR="003C0066" w:rsidRPr="00A27F8A">
        <w:rPr>
          <w:szCs w:val="18"/>
        </w:rPr>
        <w:t>.</w:t>
      </w:r>
      <w:r w:rsidR="00C11B29" w:rsidRPr="00A27F8A">
        <w:t xml:space="preserve"> </w:t>
      </w:r>
      <w:r w:rsidR="006A25CB" w:rsidRPr="00A27F8A">
        <w:t>En</w:t>
      </w:r>
      <w:r w:rsidR="00C11B29" w:rsidRPr="00A27F8A">
        <w:t xml:space="preserve"> 2014, </w:t>
      </w:r>
      <w:r w:rsidR="00CD6CB9" w:rsidRPr="00A27F8A">
        <w:t>l’examen a porté sur</w:t>
      </w:r>
      <w:r w:rsidR="00C11B29" w:rsidRPr="00A27F8A">
        <w:t xml:space="preserve"> 42</w:t>
      </w:r>
      <w:r w:rsidR="00CD6CB9" w:rsidRPr="00A27F8A">
        <w:t> pays se trouvant à différents stades d’élaboration et de mise en œuvre de leurs</w:t>
      </w:r>
      <w:r w:rsidR="00681D2D" w:rsidRPr="00A27F8A">
        <w:t> </w:t>
      </w:r>
      <w:r w:rsidR="00CD6CB9" w:rsidRPr="00A27F8A">
        <w:t xml:space="preserve">cadres de développement, dont cinq incorporaient pleinement la </w:t>
      </w:r>
      <w:r>
        <w:t>via</w:t>
      </w:r>
      <w:r w:rsidR="00CD6CB9" w:rsidRPr="00A27F8A">
        <w:t xml:space="preserve">bilité </w:t>
      </w:r>
      <w:r>
        <w:t>de l’</w:t>
      </w:r>
      <w:r w:rsidR="00CD6CB9" w:rsidRPr="00A27F8A">
        <w:t>environnement</w:t>
      </w:r>
      <w:r w:rsidR="00C11B29" w:rsidRPr="00A27F8A">
        <w:t xml:space="preserve">. </w:t>
      </w:r>
      <w:r w:rsidR="00CD6CB9" w:rsidRPr="00A27F8A">
        <w:t>En juin </w:t>
      </w:r>
      <w:r w:rsidR="00C11B29" w:rsidRPr="00A27F8A">
        <w:t>2015,</w:t>
      </w:r>
      <w:r w:rsidR="00CD6CB9" w:rsidRPr="00A27F8A">
        <w:t xml:space="preserve"> les équipes de pays des Nations Unies de trois nouveaux pays avaient été formées à la </w:t>
      </w:r>
      <w:r w:rsidR="00A44F7D">
        <w:t>préservation de l’</w:t>
      </w:r>
      <w:r w:rsidR="00CD6CB9" w:rsidRPr="00A27F8A">
        <w:t xml:space="preserve">environnement </w:t>
      </w:r>
      <w:r w:rsidR="00F84A83" w:rsidRPr="00A27F8A">
        <w:t>et des résumés de la situation environnementale au niveau national avaient été établis dans quatre nouveaux pays</w:t>
      </w:r>
      <w:r w:rsidR="00C11B29" w:rsidRPr="00A27F8A">
        <w:t>;</w:t>
      </w:r>
      <w:r w:rsidR="00F84A83" w:rsidRPr="00A27F8A">
        <w:t xml:space="preserve"> des projets conjoints bénéficiant d’un appui technique et de la participation de groupes de travail thématique</w:t>
      </w:r>
      <w:r w:rsidR="00C56DB0">
        <w:t>s</w:t>
      </w:r>
      <w:r w:rsidR="00F84A83" w:rsidRPr="00A27F8A">
        <w:t xml:space="preserve"> avaient été entrepris dans deux nouveaux pays</w:t>
      </w:r>
      <w:r w:rsidR="00C11B29" w:rsidRPr="00A27F8A">
        <w:t xml:space="preserve">; </w:t>
      </w:r>
      <w:r w:rsidR="00F84A83" w:rsidRPr="00A27F8A">
        <w:t xml:space="preserve">des plans-cadres des Nations Unies pour l’aide au développement </w:t>
      </w:r>
      <w:r w:rsidR="005551A6">
        <w:t>avaient été achevés dans 11 </w:t>
      </w:r>
      <w:r w:rsidR="00F84A83" w:rsidRPr="00A27F8A">
        <w:t>nouveaux pays</w:t>
      </w:r>
      <w:r w:rsidR="00C11B29" w:rsidRPr="00A27F8A">
        <w:t>;</w:t>
      </w:r>
      <w:r w:rsidR="00C56DB0">
        <w:t xml:space="preserve"> et</w:t>
      </w:r>
      <w:r w:rsidR="00203DBB" w:rsidRPr="00A27F8A">
        <w:t xml:space="preserve"> </w:t>
      </w:r>
      <w:r w:rsidR="00F84A83" w:rsidRPr="00A27F8A">
        <w:t xml:space="preserve">des programmes nationaux d’intégration de la </w:t>
      </w:r>
      <w:r>
        <w:t>viabili</w:t>
      </w:r>
      <w:r w:rsidR="00F84A83" w:rsidRPr="00A27F8A">
        <w:t xml:space="preserve">té </w:t>
      </w:r>
      <w:r>
        <w:t>de l’</w:t>
      </w:r>
      <w:r w:rsidR="00F84A83" w:rsidRPr="00A27F8A">
        <w:t>environnement avaient été soutenu</w:t>
      </w:r>
      <w:r w:rsidR="002A0759" w:rsidRPr="00A27F8A">
        <w:t>s dans quatre nouveaux pays</w:t>
      </w:r>
      <w:r w:rsidR="00C11B29" w:rsidRPr="00A27F8A">
        <w:t xml:space="preserve">. </w:t>
      </w:r>
      <w:r w:rsidR="002A0759" w:rsidRPr="00A27F8A">
        <w:t>Au</w:t>
      </w:r>
      <w:r w:rsidR="00C11B29" w:rsidRPr="00A27F8A">
        <w:t xml:space="preserve"> total</w:t>
      </w:r>
      <w:r w:rsidR="002A0759" w:rsidRPr="00A27F8A">
        <w:t xml:space="preserve">, 60 pays avaient reçu une aide du PNUE depuis le début de </w:t>
      </w:r>
      <w:r w:rsidR="00C11B29" w:rsidRPr="00A27F8A">
        <w:t>2014.</w:t>
      </w:r>
    </w:p>
    <w:p w:rsidR="00C11B29" w:rsidRPr="00A27F8A" w:rsidRDefault="006B408D" w:rsidP="008E0CA4">
      <w:pPr>
        <w:pStyle w:val="Normalnumber"/>
        <w:tabs>
          <w:tab w:val="clear" w:pos="1247"/>
          <w:tab w:val="clear" w:pos="1814"/>
          <w:tab w:val="clear" w:pos="2381"/>
          <w:tab w:val="clear" w:pos="2948"/>
          <w:tab w:val="clear" w:pos="3515"/>
          <w:tab w:val="clear" w:pos="4082"/>
          <w:tab w:val="left" w:pos="624"/>
        </w:tabs>
        <w:ind w:left="1247" w:firstLine="0"/>
      </w:pPr>
      <w:r w:rsidRPr="00A27F8A">
        <w:t>À titre d’exemple</w:t>
      </w:r>
      <w:r w:rsidR="00C11B29" w:rsidRPr="00A27F8A">
        <w:t>,</w:t>
      </w:r>
      <w:r w:rsidRPr="00A27F8A">
        <w:t xml:space="preserve"> le soutien fourni par le PNUE au Gouvernement haïtien a permis de réaliser de nouveaux progrès en matière de développement durable dans le sud du pays</w:t>
      </w:r>
      <w:r w:rsidR="00C11B29" w:rsidRPr="00A27F8A">
        <w:rPr>
          <w:color w:val="000000"/>
        </w:rPr>
        <w:t xml:space="preserve">. </w:t>
      </w:r>
      <w:r w:rsidRPr="00A27F8A">
        <w:rPr>
          <w:color w:val="000000"/>
        </w:rPr>
        <w:t>E</w:t>
      </w:r>
      <w:r w:rsidR="00C11B29" w:rsidRPr="00A27F8A">
        <w:rPr>
          <w:color w:val="000000"/>
        </w:rPr>
        <w:t>n 2011,</w:t>
      </w:r>
      <w:r w:rsidRPr="00A27F8A">
        <w:rPr>
          <w:color w:val="000000"/>
        </w:rPr>
        <w:t xml:space="preserve"> le PNUE a formé une coalition d’</w:t>
      </w:r>
      <w:r w:rsidR="007448B7">
        <w:rPr>
          <w:color w:val="000000"/>
        </w:rPr>
        <w:t>entités</w:t>
      </w:r>
      <w:r w:rsidRPr="00A27F8A">
        <w:rPr>
          <w:color w:val="000000"/>
        </w:rPr>
        <w:t xml:space="preserve"> et de partenaires des Nations Unies</w:t>
      </w:r>
      <w:r w:rsidR="007448B7">
        <w:rPr>
          <w:color w:val="000000"/>
        </w:rPr>
        <w:t>,</w:t>
      </w:r>
      <w:r w:rsidRPr="00A27F8A">
        <w:rPr>
          <w:color w:val="000000"/>
        </w:rPr>
        <w:t xml:space="preserve"> </w:t>
      </w:r>
      <w:r w:rsidR="007448B7">
        <w:rPr>
          <w:color w:val="000000"/>
        </w:rPr>
        <w:t>dénommée</w:t>
      </w:r>
      <w:r w:rsidR="00C11B29" w:rsidRPr="00A27F8A">
        <w:rPr>
          <w:color w:val="000000"/>
        </w:rPr>
        <w:t xml:space="preserve"> </w:t>
      </w:r>
      <w:r w:rsidR="007448B7">
        <w:rPr>
          <w:color w:val="000000"/>
        </w:rPr>
        <w:t>« L</w:t>
      </w:r>
      <w:r w:rsidRPr="00A27F8A">
        <w:rPr>
          <w:color w:val="000000"/>
        </w:rPr>
        <w:t>’</w:t>
      </w:r>
      <w:hyperlink r:id="rId38" w:history="1">
        <w:r w:rsidRPr="00A27F8A">
          <w:rPr>
            <w:rStyle w:val="Hyperlink"/>
            <w:color w:val="000000"/>
            <w:u w:val="none"/>
          </w:rPr>
          <w:t>Initiative C</w:t>
        </w:r>
        <w:r w:rsidR="00C11B29" w:rsidRPr="00A27F8A">
          <w:rPr>
            <w:rStyle w:val="Hyperlink"/>
            <w:color w:val="000000"/>
            <w:u w:val="none"/>
          </w:rPr>
          <w:t>ôte Sud</w:t>
        </w:r>
        <w:r w:rsidR="007448B7">
          <w:rPr>
            <w:rStyle w:val="Hyperlink"/>
            <w:color w:val="000000"/>
            <w:u w:val="none"/>
          </w:rPr>
          <w:t> »,</w:t>
        </w:r>
        <w:r w:rsidR="00C11B29" w:rsidRPr="00A27F8A">
          <w:rPr>
            <w:rStyle w:val="Hyperlink"/>
            <w:color w:val="000000"/>
            <w:u w:val="none"/>
          </w:rPr>
          <w:t xml:space="preserve"> </w:t>
        </w:r>
      </w:hyperlink>
      <w:r w:rsidR="007448B7">
        <w:rPr>
          <w:rStyle w:val="Hyperlink"/>
          <w:color w:val="000000"/>
          <w:u w:val="none"/>
        </w:rPr>
        <w:t>qui avait</w:t>
      </w:r>
      <w:r w:rsidR="007448B7">
        <w:rPr>
          <w:color w:val="000000"/>
        </w:rPr>
        <w:t xml:space="preserve"> pour objet de promouvoir un</w:t>
      </w:r>
      <w:r w:rsidRPr="00A27F8A">
        <w:rPr>
          <w:color w:val="000000"/>
        </w:rPr>
        <w:t xml:space="preserve"> développement</w:t>
      </w:r>
      <w:r w:rsidR="005B61C9" w:rsidRPr="00A27F8A">
        <w:rPr>
          <w:color w:val="000000"/>
        </w:rPr>
        <w:t xml:space="preserve"> </w:t>
      </w:r>
      <w:r w:rsidR="007448B7">
        <w:rPr>
          <w:color w:val="000000"/>
        </w:rPr>
        <w:t>résilient</w:t>
      </w:r>
      <w:r w:rsidR="005B61C9" w:rsidRPr="00A27F8A">
        <w:rPr>
          <w:color w:val="000000"/>
        </w:rPr>
        <w:t xml:space="preserve"> et la croissance économique de la région côtière</w:t>
      </w:r>
      <w:r w:rsidR="00C11B29" w:rsidRPr="00A27F8A">
        <w:t>.</w:t>
      </w:r>
      <w:r w:rsidR="005B61C9" w:rsidRPr="00A27F8A">
        <w:t xml:space="preserve"> La coalition décentralisée est destinée à fourni</w:t>
      </w:r>
      <w:r w:rsidR="00C56DB0">
        <w:t>r</w:t>
      </w:r>
      <w:r w:rsidR="007448B7">
        <w:t xml:space="preserve"> au g</w:t>
      </w:r>
      <w:r w:rsidR="005B61C9" w:rsidRPr="00A27F8A">
        <w:t xml:space="preserve">ouvernement un appui en matière de coordination, de mise en œuvre et d’établissement des rapports, </w:t>
      </w:r>
      <w:r w:rsidR="000C4ED3" w:rsidRPr="00A27F8A">
        <w:t>sur la base du principe</w:t>
      </w:r>
      <w:r w:rsidR="005B61C9" w:rsidRPr="00A27F8A">
        <w:t xml:space="preserve"> « Unité d’action des Nations Unies », et fait partie d’un </w:t>
      </w:r>
      <w:hyperlink r:id="rId39" w:history="1">
        <w:r w:rsidR="005B61C9" w:rsidRPr="00A27F8A">
          <w:t xml:space="preserve">cadre </w:t>
        </w:r>
        <w:r w:rsidR="005551A6">
          <w:t>stratégique intégré des Nations </w:t>
        </w:r>
        <w:r w:rsidR="005B61C9" w:rsidRPr="00A27F8A">
          <w:t>Unies</w:t>
        </w:r>
      </w:hyperlink>
      <w:r w:rsidR="005B61C9" w:rsidRPr="00A27F8A">
        <w:t xml:space="preserve">. Plusieurs </w:t>
      </w:r>
      <w:r w:rsidR="007448B7">
        <w:t xml:space="preserve">entités </w:t>
      </w:r>
      <w:r w:rsidR="005B61C9" w:rsidRPr="00A27F8A">
        <w:t xml:space="preserve">des Nations Unies, </w:t>
      </w:r>
      <w:r w:rsidR="007448B7">
        <w:t xml:space="preserve">dont </w:t>
      </w:r>
      <w:r w:rsidR="000C4ED3" w:rsidRPr="00A27F8A">
        <w:t>l’Organisation des Nations Unies pour l’alimentation et l’agriculture</w:t>
      </w:r>
      <w:r w:rsidR="00C11B29" w:rsidRPr="00A27F8A">
        <w:t xml:space="preserve">, </w:t>
      </w:r>
      <w:r w:rsidR="000C4ED3" w:rsidRPr="00A27F8A">
        <w:t>le Programme des Nations Unies pour le développement</w:t>
      </w:r>
      <w:r w:rsidR="00D757AE" w:rsidRPr="00A27F8A">
        <w:t xml:space="preserve"> </w:t>
      </w:r>
      <w:r w:rsidR="000C4ED3" w:rsidRPr="00A27F8A">
        <w:t>et le</w:t>
      </w:r>
      <w:r w:rsidR="003C0066" w:rsidRPr="00A27F8A">
        <w:t xml:space="preserve"> </w:t>
      </w:r>
      <w:r w:rsidR="000C4ED3" w:rsidRPr="00A27F8A">
        <w:t>Bureau des Na</w:t>
      </w:r>
      <w:r w:rsidR="005551A6">
        <w:t>tions </w:t>
      </w:r>
      <w:r w:rsidR="000C4ED3" w:rsidRPr="00A27F8A">
        <w:t>Unies pour les services d’appui aux projets</w:t>
      </w:r>
      <w:r w:rsidR="003C0066" w:rsidRPr="00A27F8A">
        <w:t>,</w:t>
      </w:r>
      <w:r w:rsidR="00D757AE" w:rsidRPr="00A27F8A">
        <w:t xml:space="preserve"> </w:t>
      </w:r>
      <w:r w:rsidR="000C4ED3" w:rsidRPr="00A27F8A">
        <w:t>et partenaires ont rejoint l’Initiative, dont la coordination a été assurée par le PNUE au cours des cinq dernières années</w:t>
      </w:r>
      <w:r w:rsidR="00C11B29" w:rsidRPr="00A27F8A">
        <w:t xml:space="preserve">. </w:t>
      </w:r>
      <w:r w:rsidR="000C4ED3" w:rsidRPr="00A27F8A">
        <w:t>L’initiative Côt</w:t>
      </w:r>
      <w:r w:rsidR="001C0B3A">
        <w:t>e Sud s’articule autour de cinq </w:t>
      </w:r>
      <w:r w:rsidR="000C4ED3" w:rsidRPr="00A27F8A">
        <w:t>principaux programmes thématiques étroitement liés </w:t>
      </w:r>
      <w:r w:rsidR="000C0BEF" w:rsidRPr="00A27F8A">
        <w:t xml:space="preserve">: </w:t>
      </w:r>
      <w:r w:rsidR="007448B7">
        <w:t>g</w:t>
      </w:r>
      <w:r w:rsidR="00C11B29" w:rsidRPr="00C56DB0">
        <w:t xml:space="preserve">ouvernance </w:t>
      </w:r>
      <w:r w:rsidR="00221AC8">
        <w:t>S</w:t>
      </w:r>
      <w:r w:rsidR="00C11B29" w:rsidRPr="00C56DB0">
        <w:t>ud</w:t>
      </w:r>
      <w:r w:rsidR="00D757AE" w:rsidRPr="00C56DB0">
        <w:t>,</w:t>
      </w:r>
      <w:r w:rsidR="00C11B29" w:rsidRPr="00C56DB0">
        <w:t xml:space="preserve"> </w:t>
      </w:r>
      <w:r w:rsidR="007448B7">
        <w:t>m</w:t>
      </w:r>
      <w:r w:rsidR="00221AC8">
        <w:t>er S</w:t>
      </w:r>
      <w:r w:rsidR="000C0BEF" w:rsidRPr="00C56DB0">
        <w:t xml:space="preserve">ud, </w:t>
      </w:r>
      <w:r w:rsidR="007448B7">
        <w:t>t</w:t>
      </w:r>
      <w:r w:rsidR="00221AC8">
        <w:t>erre S</w:t>
      </w:r>
      <w:r w:rsidR="000C0BEF" w:rsidRPr="00C56DB0">
        <w:t xml:space="preserve">ud, </w:t>
      </w:r>
      <w:r w:rsidR="007448B7">
        <w:t>r</w:t>
      </w:r>
      <w:r w:rsidR="00221AC8">
        <w:t>oute S</w:t>
      </w:r>
      <w:r w:rsidR="000C0BEF" w:rsidRPr="00C56DB0">
        <w:t xml:space="preserve">ud </w:t>
      </w:r>
      <w:r w:rsidR="00393FBE" w:rsidRPr="00C56DB0">
        <w:t>et</w:t>
      </w:r>
      <w:r w:rsidR="000C0BEF" w:rsidRPr="00C56DB0">
        <w:t xml:space="preserve"> </w:t>
      </w:r>
      <w:r w:rsidR="007448B7">
        <w:t>é</w:t>
      </w:r>
      <w:r w:rsidR="00221AC8">
        <w:t>nergie S</w:t>
      </w:r>
      <w:r w:rsidR="000C0BEF" w:rsidRPr="00C56DB0">
        <w:t>ud</w:t>
      </w:r>
      <w:r w:rsidR="00C11B29" w:rsidRPr="00C56DB0">
        <w:t>.</w:t>
      </w:r>
      <w:r w:rsidR="00C11B29" w:rsidRPr="00A27F8A">
        <w:t xml:space="preserve"> </w:t>
      </w:r>
      <w:r w:rsidR="00393FBE" w:rsidRPr="00A27F8A">
        <w:t>Une identité commune développée pour l’Initiative</w:t>
      </w:r>
      <w:r w:rsidR="003C0066" w:rsidRPr="00A27F8A">
        <w:t xml:space="preserve"> Côte Sud</w:t>
      </w:r>
      <w:r w:rsidR="00393FBE" w:rsidRPr="00A27F8A">
        <w:t xml:space="preserve"> </w:t>
      </w:r>
      <w:r w:rsidR="00D45309" w:rsidRPr="00A27F8A">
        <w:t xml:space="preserve">en 2011 </w:t>
      </w:r>
      <w:r w:rsidR="00393FBE" w:rsidRPr="00A27F8A">
        <w:t>a permis de renforcer les synergies interinstitutions au sein de la coalition et, une fois établie, de donner une image de travaux intégrés</w:t>
      </w:r>
      <w:r w:rsidR="00D45309" w:rsidRPr="00A27F8A">
        <w:t xml:space="preserve"> « du massif au récif »</w:t>
      </w:r>
      <w:r w:rsidR="00C11B29" w:rsidRPr="00A27F8A">
        <w:t xml:space="preserve">. </w:t>
      </w:r>
      <w:r w:rsidR="00D45309" w:rsidRPr="00A27F8A">
        <w:t xml:space="preserve">Les engagements à long terme du PNUE visant à faciliter la coordination dans le domaine de l’environnement et du développement durable au niveau infranational ont largement contribué à </w:t>
      </w:r>
      <w:r w:rsidR="00416056" w:rsidRPr="00A27F8A">
        <w:t>obtenir des résultats durables et à améliorer l’efficacité de l’aide</w:t>
      </w:r>
      <w:r w:rsidR="00C11B29" w:rsidRPr="00A27F8A">
        <w:t xml:space="preserve">. </w:t>
      </w:r>
    </w:p>
    <w:p w:rsidR="00C11B29" w:rsidRPr="00A27F8A" w:rsidRDefault="00416056"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w:t>
      </w:r>
      <w:r w:rsidR="00C11B29" w:rsidRPr="00A27F8A">
        <w:t xml:space="preserve"> </w:t>
      </w:r>
      <w:r w:rsidRPr="00A27F8A">
        <w:t xml:space="preserve">Conseil économique et social des Nations Unies a reconnu la valeur ajoutée d’entités des Nations Unies </w:t>
      </w:r>
      <w:r w:rsidR="00F66D06" w:rsidRPr="00A27F8A">
        <w:t>unissant</w:t>
      </w:r>
      <w:r w:rsidRPr="00A27F8A">
        <w:t xml:space="preserve"> leurs forces pour </w:t>
      </w:r>
      <w:r w:rsidR="00F66D06" w:rsidRPr="00A27F8A">
        <w:t xml:space="preserve">stimuler le développement régional en Haïti dans le cadre de l’Initiative </w:t>
      </w:r>
      <w:r w:rsidR="000C0BEF" w:rsidRPr="00A27F8A">
        <w:t xml:space="preserve">Côte Sud, </w:t>
      </w:r>
      <w:r w:rsidR="00F66D06" w:rsidRPr="00A27F8A">
        <w:t xml:space="preserve">indiquant dans un rapport de </w:t>
      </w:r>
      <w:r w:rsidR="009F4D8B" w:rsidRPr="00A27F8A">
        <w:t xml:space="preserve">2014 </w:t>
      </w:r>
      <w:r w:rsidR="00F66D06" w:rsidRPr="00A27F8A">
        <w:t>que « ce projet, qui vise à promouvoir le développement durable du département du Sud, applique l’initiative “Unis dans l’action” au niveau local. D’autres projets de plus grande ampleur du système des Nations Unies pourraient s’en inspirer »</w:t>
      </w:r>
      <w:r w:rsidR="00C11B29" w:rsidRPr="00A27F8A">
        <w:t xml:space="preserve">. </w:t>
      </w:r>
    </w:p>
    <w:p w:rsidR="00CE4793" w:rsidRPr="00A27F8A" w:rsidRDefault="00682433"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Les outils de coordination et la dynamique connexe de développement régional intégré générée par l’Initiative </w:t>
      </w:r>
      <w:r w:rsidR="000C0BEF" w:rsidRPr="00A27F8A">
        <w:t xml:space="preserve">Côte Sud </w:t>
      </w:r>
      <w:r w:rsidRPr="00A27F8A">
        <w:t>et le PNUE ont</w:t>
      </w:r>
      <w:r w:rsidR="00C11B29" w:rsidRPr="00A27F8A">
        <w:t xml:space="preserve"> </w:t>
      </w:r>
      <w:r w:rsidRPr="00A27F8A">
        <w:t>à présent, ap</w:t>
      </w:r>
      <w:r w:rsidR="007448B7">
        <w:t>rès cinq ans, été transférés au g</w:t>
      </w:r>
      <w:r w:rsidRPr="00A27F8A">
        <w:t xml:space="preserve">ouvernement et intégrés par ce dernier, par l’intermédiaire du </w:t>
      </w:r>
      <w:r w:rsidR="007637DB" w:rsidRPr="00A27F8A">
        <w:t>Comité interministériel d’aménagement du territoire et des autorités régionales</w:t>
      </w:r>
      <w:r w:rsidR="00E91715" w:rsidRPr="00A27F8A">
        <w:t>,</w:t>
      </w:r>
      <w:r w:rsidR="007448B7">
        <w:t xml:space="preserve"> et par le Bureau du C</w:t>
      </w:r>
      <w:r w:rsidR="007637DB" w:rsidRPr="00A27F8A">
        <w:t>oordonnateur résident des Nations Unies en Haïti</w:t>
      </w:r>
      <w:r w:rsidR="00C11B29" w:rsidRPr="00A27F8A">
        <w:t xml:space="preserve">. </w:t>
      </w:r>
      <w:r w:rsidR="007637DB" w:rsidRPr="00A27F8A">
        <w:t>E</w:t>
      </w:r>
      <w:r w:rsidR="00E91715" w:rsidRPr="00A27F8A">
        <w:t xml:space="preserve">n 2015, </w:t>
      </w:r>
      <w:r w:rsidR="007637DB" w:rsidRPr="00A27F8A">
        <w:t>le PNUE et le</w:t>
      </w:r>
      <w:r w:rsidR="00C11B29" w:rsidRPr="00A27F8A">
        <w:t xml:space="preserve"> </w:t>
      </w:r>
      <w:r w:rsidR="007637DB" w:rsidRPr="00A27F8A">
        <w:t xml:space="preserve">Bureau du </w:t>
      </w:r>
      <w:r w:rsidR="007448B7">
        <w:t>C</w:t>
      </w:r>
      <w:r w:rsidR="007637DB" w:rsidRPr="00A27F8A">
        <w:t>oordonnateur résident ont établi</w:t>
      </w:r>
      <w:r w:rsidR="00E91715" w:rsidRPr="00A27F8A">
        <w:t>,</w:t>
      </w:r>
      <w:r w:rsidR="00C11B29" w:rsidRPr="00A27F8A">
        <w:t xml:space="preserve"> </w:t>
      </w:r>
      <w:r w:rsidR="00A675EF" w:rsidRPr="00A27F8A">
        <w:t>avec la</w:t>
      </w:r>
      <w:r w:rsidR="00C11B29" w:rsidRPr="00A27F8A">
        <w:t xml:space="preserve"> participation </w:t>
      </w:r>
      <w:r w:rsidR="00A675EF" w:rsidRPr="00A27F8A">
        <w:t>de l’Organisation des Nations Unies pour l’alimentation et l’agriculture</w:t>
      </w:r>
      <w:r w:rsidR="00C11B29" w:rsidRPr="00A27F8A">
        <w:t xml:space="preserve">, </w:t>
      </w:r>
      <w:r w:rsidR="00A675EF" w:rsidRPr="00A27F8A">
        <w:t>du Programme des Nations Unies pour le développement</w:t>
      </w:r>
      <w:r w:rsidR="00CC61A2" w:rsidRPr="00A27F8A">
        <w:t xml:space="preserve">, </w:t>
      </w:r>
      <w:r w:rsidR="00A675EF" w:rsidRPr="00A27F8A">
        <w:t>d’ONU</w:t>
      </w:r>
      <w:r w:rsidR="00EB764D" w:rsidRPr="00A27F8A">
        <w:t>-Habitat</w:t>
      </w:r>
      <w:r w:rsidR="00C11B29" w:rsidRPr="00A27F8A">
        <w:t xml:space="preserve"> </w:t>
      </w:r>
      <w:r w:rsidR="00A675EF" w:rsidRPr="00A27F8A">
        <w:t>et du</w:t>
      </w:r>
      <w:r w:rsidR="00CC61A2" w:rsidRPr="00A27F8A">
        <w:t xml:space="preserve"> </w:t>
      </w:r>
      <w:r w:rsidR="00A675EF" w:rsidRPr="00A27F8A">
        <w:t>Bureau des Na</w:t>
      </w:r>
      <w:r w:rsidR="005551A6">
        <w:t>tions </w:t>
      </w:r>
      <w:r w:rsidR="00A675EF" w:rsidRPr="00A27F8A">
        <w:t>Unies pour les services d’appui aux projets</w:t>
      </w:r>
      <w:r w:rsidR="0074572A" w:rsidRPr="00A27F8A">
        <w:t xml:space="preserve">, </w:t>
      </w:r>
      <w:r w:rsidR="00A675EF" w:rsidRPr="00A27F8A">
        <w:t>une note de cadrage intitulée « Regional integrated mechanism for the south », qui faisait la synthèse des résultats de l’Initiative</w:t>
      </w:r>
      <w:r w:rsidR="00CC61A2" w:rsidRPr="00A27F8A">
        <w:t xml:space="preserve"> Côte Sud </w:t>
      </w:r>
      <w:r w:rsidR="00A675EF" w:rsidRPr="00A27F8A">
        <w:t xml:space="preserve">dans le cadre de l’appui fourni au </w:t>
      </w:r>
      <w:r w:rsidR="007448B7">
        <w:t>g</w:t>
      </w:r>
      <w:r w:rsidR="00A675EF" w:rsidRPr="00A27F8A">
        <w:t xml:space="preserve">ouvernement et </w:t>
      </w:r>
      <w:r w:rsidR="00221AC8">
        <w:t>contenait</w:t>
      </w:r>
      <w:r w:rsidR="00A675EF" w:rsidRPr="00A27F8A">
        <w:t xml:space="preserve"> des orientations à l’intention de l’équipe de pays des Nations Unies au niveau infranational</w:t>
      </w:r>
      <w:r w:rsidR="00C11B29" w:rsidRPr="00A27F8A">
        <w:t>.</w:t>
      </w:r>
    </w:p>
    <w:p w:rsidR="005F32B0" w:rsidRPr="00A27F8A" w:rsidRDefault="00043DE6" w:rsidP="008E0CA4">
      <w:pPr>
        <w:pStyle w:val="CH1"/>
        <w:rPr>
          <w:lang w:val="fr-FR"/>
        </w:rPr>
      </w:pPr>
      <w:r w:rsidRPr="00A27F8A">
        <w:rPr>
          <w:lang w:val="fr-FR"/>
        </w:rPr>
        <w:lastRenderedPageBreak/>
        <w:tab/>
      </w:r>
      <w:r w:rsidR="00495B46" w:rsidRPr="00A27F8A">
        <w:rPr>
          <w:lang w:val="fr-FR"/>
        </w:rPr>
        <w:t>I</w:t>
      </w:r>
      <w:r w:rsidR="006D5EA7" w:rsidRPr="00A27F8A">
        <w:rPr>
          <w:lang w:val="fr-FR"/>
        </w:rPr>
        <w:t>V</w:t>
      </w:r>
      <w:r w:rsidR="00771BEA" w:rsidRPr="00A27F8A">
        <w:rPr>
          <w:lang w:val="fr-FR"/>
        </w:rPr>
        <w:t>.</w:t>
      </w:r>
      <w:r w:rsidRPr="00A27F8A">
        <w:rPr>
          <w:lang w:val="fr-FR"/>
        </w:rPr>
        <w:tab/>
      </w:r>
      <w:r w:rsidR="003E344F" w:rsidRPr="00A27F8A">
        <w:rPr>
          <w:lang w:val="fr-FR"/>
        </w:rPr>
        <w:t>Conclusions</w:t>
      </w:r>
      <w:r w:rsidR="00237861" w:rsidRPr="00A27F8A">
        <w:rPr>
          <w:lang w:val="fr-FR"/>
        </w:rPr>
        <w:t> </w:t>
      </w:r>
      <w:r w:rsidR="003E344F" w:rsidRPr="00A27F8A">
        <w:rPr>
          <w:lang w:val="fr-FR"/>
        </w:rPr>
        <w:t xml:space="preserve">: </w:t>
      </w:r>
      <w:r w:rsidR="00237861" w:rsidRPr="00A27F8A">
        <w:rPr>
          <w:lang w:val="fr-FR"/>
        </w:rPr>
        <w:t xml:space="preserve">vers une plus grande cohérence des travaux </w:t>
      </w:r>
      <w:r w:rsidR="007448B7">
        <w:rPr>
          <w:lang w:val="fr-FR"/>
        </w:rPr>
        <w:br/>
      </w:r>
      <w:r w:rsidR="00237861" w:rsidRPr="00A27F8A">
        <w:rPr>
          <w:lang w:val="fr-FR"/>
        </w:rPr>
        <w:t>du système des Nations Unies</w:t>
      </w:r>
      <w:r w:rsidR="00502E7B" w:rsidRPr="00A27F8A">
        <w:rPr>
          <w:lang w:val="fr-FR"/>
        </w:rPr>
        <w:t xml:space="preserve"> dans le domaine de l’environnement</w:t>
      </w:r>
    </w:p>
    <w:p w:rsidR="003E344F" w:rsidRPr="00A27F8A" w:rsidRDefault="00281E06"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Le présent rapport a </w:t>
      </w:r>
      <w:r w:rsidR="007448B7">
        <w:t>mis en exergue</w:t>
      </w:r>
      <w:r w:rsidR="00C542CF">
        <w:t xml:space="preserve"> </w:t>
      </w:r>
      <w:r w:rsidRPr="00A27F8A">
        <w:t>la manière dont le PNUE s’acquitte de son mandat</w:t>
      </w:r>
      <w:r w:rsidR="003E344F" w:rsidRPr="00A27F8A">
        <w:t xml:space="preserve"> </w:t>
      </w:r>
      <w:r w:rsidRPr="00A27F8A">
        <w:t>consistant à intégrer l’environnement dans l’ensemble des programmes des Nations Unies, en</w:t>
      </w:r>
      <w:r w:rsidR="003E344F" w:rsidRPr="00A27F8A">
        <w:t xml:space="preserve"> </w:t>
      </w:r>
      <w:r w:rsidRPr="00A27F8A">
        <w:t xml:space="preserve">travaillant de façon collaborative par l’intermédiaire du Groupe de la gestion de l’environnement et de nombreux autres mécanismes, stratégies et partenariats innovants </w:t>
      </w:r>
      <w:r w:rsidR="006509C7" w:rsidRPr="00A27F8A">
        <w:t xml:space="preserve">en vue d’obtenir des résultats meilleurs et plus tangibles, de créer des synergies, de renforcer l’action collective et </w:t>
      </w:r>
      <w:r w:rsidR="007448B7">
        <w:t xml:space="preserve">de tirer parti des possibilités qu’offre un </w:t>
      </w:r>
      <w:r w:rsidR="00FF133A">
        <w:t xml:space="preserve">développement </w:t>
      </w:r>
      <w:r w:rsidR="007448B7">
        <w:t>respectueux de l’environnement</w:t>
      </w:r>
      <w:r w:rsidR="003E344F" w:rsidRPr="00A27F8A">
        <w:t xml:space="preserve">.  </w:t>
      </w:r>
    </w:p>
    <w:p w:rsidR="003E344F" w:rsidRPr="00A27F8A" w:rsidRDefault="006509C7"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Des efforts visant à mettre en œuvre de telles approches intégrées et coordonnées devront faire partie intégrante du </w:t>
      </w:r>
      <w:r w:rsidR="00E12F83" w:rsidRPr="00A27F8A">
        <w:t xml:space="preserve">modèle </w:t>
      </w:r>
      <w:r w:rsidR="00930C9F" w:rsidRPr="00A27F8A">
        <w:t>opérationnel</w:t>
      </w:r>
      <w:r w:rsidR="00E12F83" w:rsidRPr="00A27F8A">
        <w:t xml:space="preserve"> et de la culture</w:t>
      </w:r>
      <w:r w:rsidR="003E344F" w:rsidRPr="00A27F8A">
        <w:t xml:space="preserve"> </w:t>
      </w:r>
      <w:r w:rsidR="00E12F83" w:rsidRPr="00A27F8A">
        <w:t>institutionnelle du PNUE et du système des Nations Unies dans son ensemble</w:t>
      </w:r>
      <w:r w:rsidR="003E344F" w:rsidRPr="00A27F8A">
        <w:t xml:space="preserve">. </w:t>
      </w:r>
      <w:r w:rsidR="00E12F83" w:rsidRPr="00A27F8A">
        <w:t>Le</w:t>
      </w:r>
      <w:r w:rsidR="003E344F" w:rsidRPr="00A27F8A">
        <w:t xml:space="preserve"> </w:t>
      </w:r>
      <w:r w:rsidR="00E12F83" w:rsidRPr="00A27F8A">
        <w:rPr>
          <w:rFonts w:eastAsia="MS Mincho"/>
        </w:rPr>
        <w:t xml:space="preserve">Programme de développement durable à l’horizon 2030 et les </w:t>
      </w:r>
      <w:r w:rsidR="00BC72E3">
        <w:rPr>
          <w:rFonts w:eastAsia="MS Mincho"/>
        </w:rPr>
        <w:t>textes issus</w:t>
      </w:r>
      <w:r w:rsidR="00E12F83" w:rsidRPr="00A27F8A">
        <w:rPr>
          <w:rFonts w:eastAsia="MS Mincho"/>
        </w:rPr>
        <w:t xml:space="preserve"> </w:t>
      </w:r>
      <w:r w:rsidR="00591A6D" w:rsidRPr="00A27F8A">
        <w:rPr>
          <w:rFonts w:eastAsia="MS Mincho"/>
        </w:rPr>
        <w:t>d’un certain nombre de</w:t>
      </w:r>
      <w:r w:rsidR="00E12F83" w:rsidRPr="00A27F8A">
        <w:rPr>
          <w:rFonts w:eastAsia="MS Mincho"/>
        </w:rPr>
        <w:t xml:space="preserve"> conférences intergouvernementales, notamment la </w:t>
      </w:r>
      <w:r w:rsidR="00C542CF">
        <w:rPr>
          <w:rFonts w:eastAsia="MS Mincho"/>
        </w:rPr>
        <w:br/>
        <w:t>vingt </w:t>
      </w:r>
      <w:r w:rsidR="00E12F83" w:rsidRPr="00A27F8A">
        <w:rPr>
          <w:rFonts w:eastAsia="MS Mincho"/>
        </w:rPr>
        <w:t>et</w:t>
      </w:r>
      <w:r w:rsidR="00C542CF">
        <w:rPr>
          <w:rFonts w:eastAsia="MS Mincho"/>
        </w:rPr>
        <w:t> </w:t>
      </w:r>
      <w:r w:rsidR="00E12F83" w:rsidRPr="00A27F8A">
        <w:rPr>
          <w:rFonts w:eastAsia="MS Mincho"/>
        </w:rPr>
        <w:t>unième session de la Conférence des Parties à la</w:t>
      </w:r>
      <w:r w:rsidR="00E91715" w:rsidRPr="00A27F8A">
        <w:t xml:space="preserve"> </w:t>
      </w:r>
      <w:r w:rsidR="00E12F83" w:rsidRPr="00A27F8A">
        <w:t>Convention-cadre des Nations Unies sur les changements climatiques qui s’est tenue à Paris (France), la troisième</w:t>
      </w:r>
      <w:r w:rsidR="00FE4371" w:rsidRPr="00A27F8A">
        <w:t xml:space="preserve"> </w:t>
      </w:r>
      <w:r w:rsidR="00E12F83" w:rsidRPr="00A27F8A">
        <w:t>Conférence internationale sur le financement du développement qui s’est tenue à Addis-Abe</w:t>
      </w:r>
      <w:r w:rsidR="003E344F" w:rsidRPr="00A27F8A">
        <w:t>ba</w:t>
      </w:r>
      <w:r w:rsidR="00E12F83" w:rsidRPr="00A27F8A">
        <w:t xml:space="preserve"> (Éthiopie)</w:t>
      </w:r>
      <w:r w:rsidR="00FE4371" w:rsidRPr="00A27F8A">
        <w:t>,</w:t>
      </w:r>
      <w:r w:rsidR="003E344F" w:rsidRPr="00A27F8A">
        <w:t xml:space="preserve"> </w:t>
      </w:r>
      <w:r w:rsidR="00E12F83" w:rsidRPr="00A27F8A">
        <w:t xml:space="preserve">la troisième Conférence mondiale des Nations Unies sur la réduction des risques de catastrophe qui s’est tenue à </w:t>
      </w:r>
      <w:r w:rsidR="003E344F" w:rsidRPr="00A27F8A">
        <w:t>Sendai</w:t>
      </w:r>
      <w:r w:rsidR="00E12F83" w:rsidRPr="00A27F8A">
        <w:t xml:space="preserve"> (Japon)</w:t>
      </w:r>
      <w:r w:rsidR="00591A6D" w:rsidRPr="00A27F8A">
        <w:t>,</w:t>
      </w:r>
      <w:r w:rsidR="003E344F" w:rsidRPr="00A27F8A">
        <w:t xml:space="preserve"> </w:t>
      </w:r>
      <w:r w:rsidR="00E12F83" w:rsidRPr="00A27F8A">
        <w:t xml:space="preserve">la </w:t>
      </w:r>
      <w:r w:rsidR="00591A6D" w:rsidRPr="00A27F8A">
        <w:t xml:space="preserve">prochaine </w:t>
      </w:r>
      <w:r w:rsidR="00E12F83" w:rsidRPr="00A27F8A">
        <w:t xml:space="preserve">Conférence des Nations Unies sur le logement et le développement urbain durable (Habitat III) et le </w:t>
      </w:r>
      <w:r w:rsidR="00591A6D" w:rsidRPr="00A27F8A">
        <w:t xml:space="preserve">prochain </w:t>
      </w:r>
      <w:r w:rsidR="00E12F83" w:rsidRPr="00A27F8A">
        <w:t>Sommet mondial sur l’action humanitaire</w:t>
      </w:r>
      <w:r w:rsidR="00E91715" w:rsidRPr="00A27F8A">
        <w:t>,</w:t>
      </w:r>
      <w:r w:rsidR="00591A6D" w:rsidRPr="00A27F8A">
        <w:t xml:space="preserve"> exigent tous que</w:t>
      </w:r>
      <w:r w:rsidR="00FE4371" w:rsidRPr="00A27F8A">
        <w:t xml:space="preserve"> </w:t>
      </w:r>
      <w:r w:rsidR="00591A6D" w:rsidRPr="00A27F8A">
        <w:t xml:space="preserve">les </w:t>
      </w:r>
      <w:r w:rsidR="00C542CF">
        <w:t>entités</w:t>
      </w:r>
      <w:r w:rsidR="00591A6D" w:rsidRPr="00A27F8A">
        <w:t xml:space="preserve"> des Nations Unies travaillent dans un esprit d’équipe, en adoptant une vision commune du développement durable</w:t>
      </w:r>
      <w:r w:rsidR="00ED7B29" w:rsidRPr="00A27F8A">
        <w:t>.</w:t>
      </w:r>
    </w:p>
    <w:p w:rsidR="003E344F" w:rsidRPr="00A27F8A" w:rsidRDefault="00340C0B" w:rsidP="008E0CA4">
      <w:pPr>
        <w:pStyle w:val="Normalnumber"/>
        <w:tabs>
          <w:tab w:val="clear" w:pos="1247"/>
          <w:tab w:val="clear" w:pos="1814"/>
          <w:tab w:val="clear" w:pos="2381"/>
          <w:tab w:val="clear" w:pos="2948"/>
          <w:tab w:val="clear" w:pos="3515"/>
          <w:tab w:val="clear" w:pos="4082"/>
          <w:tab w:val="left" w:pos="624"/>
        </w:tabs>
        <w:ind w:left="1247" w:firstLine="0"/>
      </w:pPr>
      <w:r w:rsidRPr="00A27F8A">
        <w:t>Il est important de reconnaître qu’i</w:t>
      </w:r>
      <w:r w:rsidR="00496CDC">
        <w:t>l existe également des limites en ce qui concerne</w:t>
      </w:r>
      <w:r w:rsidRPr="00A27F8A">
        <w:t xml:space="preserve"> la coordination ainsi que des obstacles à la collaboration. L</w:t>
      </w:r>
      <w:r w:rsidR="00CC49D4" w:rsidRPr="00A27F8A">
        <w:t>a structure initiale du</w:t>
      </w:r>
      <w:r w:rsidRPr="00A27F8A">
        <w:t xml:space="preserve"> système des Nations Unies </w:t>
      </w:r>
      <w:r w:rsidR="00CC49D4" w:rsidRPr="00A27F8A">
        <w:t xml:space="preserve">se compose d’unités fonctionnelles </w:t>
      </w:r>
      <w:r w:rsidR="006F765C" w:rsidRPr="00A27F8A">
        <w:t>présentant</w:t>
      </w:r>
      <w:r w:rsidR="00CC49D4" w:rsidRPr="00A27F8A">
        <w:t xml:space="preserve"> un large degré de décentralisation et, dans certains cas, d’autonomie</w:t>
      </w:r>
      <w:r w:rsidR="003E344F" w:rsidRPr="00A27F8A">
        <w:t>.</w:t>
      </w:r>
      <w:r w:rsidR="00CC49D4" w:rsidRPr="00A27F8A">
        <w:t xml:space="preserve"> Si cette structure a permis de renforcer les réponses sectorielles ainsi que la spécialisation technique souvent nécessaire, elle a entraîné </w:t>
      </w:r>
      <w:r w:rsidR="00CE0D81" w:rsidRPr="00A27F8A">
        <w:t>des modalités disparates en matière d’établissement des rapports, de responsabilité et de financement</w:t>
      </w:r>
      <w:r w:rsidR="003E344F" w:rsidRPr="00A27F8A">
        <w:t>.</w:t>
      </w:r>
      <w:r w:rsidR="00CE0D81" w:rsidRPr="00A27F8A">
        <w:t xml:space="preserve"> Une action coordonnée dans ce paysage institutionnel complexe repose sur </w:t>
      </w:r>
      <w:r w:rsidR="00BA64C3" w:rsidRPr="00A27F8A">
        <w:t>le caractère commun du programme de développement durable, la complémentarité des mandats, une reconnaissance mutuelle de l’expertise et un effort à l’échelle du système visant à réduire les coûts de transaction pour les partenaires et les parties prenantes</w:t>
      </w:r>
      <w:r w:rsidR="003E344F" w:rsidRPr="00A27F8A">
        <w:t xml:space="preserve">. </w:t>
      </w:r>
    </w:p>
    <w:p w:rsidR="003E344F" w:rsidRPr="00A27F8A" w:rsidRDefault="0091754E"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Par conséquent, </w:t>
      </w:r>
      <w:r w:rsidR="006C1F92" w:rsidRPr="00A27F8A">
        <w:t>afin de garantir le respect du</w:t>
      </w:r>
      <w:r w:rsidR="003E344F" w:rsidRPr="00A27F8A">
        <w:t xml:space="preserve"> </w:t>
      </w:r>
      <w:r w:rsidRPr="00A27F8A">
        <w:t>principe « Unis dans l’action » dans les différents mandats et domaines d’expertise</w:t>
      </w:r>
      <w:r w:rsidR="006C1F92" w:rsidRPr="00A27F8A">
        <w:t>, il convient de réitérer</w:t>
      </w:r>
      <w:r w:rsidR="001663BA" w:rsidRPr="00A27F8A">
        <w:t xml:space="preserve"> </w:t>
      </w:r>
      <w:r w:rsidR="006C1F92" w:rsidRPr="00A27F8A">
        <w:t>le caractère central du</w:t>
      </w:r>
      <w:r w:rsidR="001663BA" w:rsidRPr="00A27F8A">
        <w:t xml:space="preserve"> </w:t>
      </w:r>
      <w:r w:rsidR="006C1F92" w:rsidRPr="00A27F8A">
        <w:rPr>
          <w:rFonts w:eastAsia="MS Mincho"/>
        </w:rPr>
        <w:t>Programme de développement durable à l’horizon 2030 pour le système dans son ensemble aux niveaux mondial, régional et national et d’établir un axe</w:t>
      </w:r>
      <w:r w:rsidR="00C6115A" w:rsidRPr="00A27F8A">
        <w:rPr>
          <w:rFonts w:eastAsia="MS Mincho"/>
        </w:rPr>
        <w:t xml:space="preserve"> d’organisation central, commun et thématique pour les différents organes directeurs et secrétariats</w:t>
      </w:r>
      <w:r w:rsidR="003E344F" w:rsidRPr="00A27F8A">
        <w:t>.</w:t>
      </w:r>
      <w:r w:rsidR="00C6115A" w:rsidRPr="00A27F8A">
        <w:t xml:space="preserve"> Chaque </w:t>
      </w:r>
      <w:r w:rsidR="00B75C37" w:rsidRPr="00A27F8A">
        <w:t>entité</w:t>
      </w:r>
      <w:r w:rsidR="00C6115A" w:rsidRPr="00A27F8A">
        <w:t xml:space="preserve"> des Nations Unies doit rester proche de son (ses) mandat(s) tout en cherchant à travailler horizontalement dans le système</w:t>
      </w:r>
      <w:r w:rsidR="003E344F" w:rsidRPr="00A27F8A">
        <w:t xml:space="preserve"> </w:t>
      </w:r>
      <w:r w:rsidR="00C6115A" w:rsidRPr="00A27F8A">
        <w:t>afin d’améliorer et de renforcer les résultats et l’impact</w:t>
      </w:r>
      <w:r w:rsidR="003E344F" w:rsidRPr="00A27F8A">
        <w:t xml:space="preserve">.  </w:t>
      </w:r>
    </w:p>
    <w:p w:rsidR="003E344F" w:rsidRPr="00A27F8A" w:rsidRDefault="00B75C37" w:rsidP="008E0CA4">
      <w:pPr>
        <w:pStyle w:val="Normalnumber"/>
        <w:tabs>
          <w:tab w:val="clear" w:pos="1247"/>
          <w:tab w:val="clear" w:pos="1814"/>
          <w:tab w:val="clear" w:pos="2381"/>
          <w:tab w:val="clear" w:pos="2948"/>
          <w:tab w:val="clear" w:pos="3515"/>
          <w:tab w:val="clear" w:pos="4082"/>
          <w:tab w:val="left" w:pos="624"/>
        </w:tabs>
        <w:ind w:left="1247" w:firstLine="0"/>
      </w:pPr>
      <w:r w:rsidRPr="00A27F8A">
        <w:t>Les données</w:t>
      </w:r>
      <w:r w:rsidR="0028611E" w:rsidRPr="00A27F8A">
        <w:t xml:space="preserve"> disponibles</w:t>
      </w:r>
      <w:r w:rsidRPr="00A27F8A">
        <w:t xml:space="preserve"> et</w:t>
      </w:r>
      <w:r w:rsidR="003E344F" w:rsidRPr="00A27F8A">
        <w:t xml:space="preserve"> </w:t>
      </w:r>
      <w:r w:rsidRPr="00A27F8A">
        <w:t xml:space="preserve">l’interopérabilité des systèmes d’information et de connaissance des Nations Unies pourraient permettre </w:t>
      </w:r>
      <w:r w:rsidR="0028611E" w:rsidRPr="00A27F8A">
        <w:t xml:space="preserve">de réaliser des analyses intégrées indispensables pour déterminer les causes profondes ou les facteurs de la non-durabilité et, de ce fait, </w:t>
      </w:r>
      <w:r w:rsidR="0061073D" w:rsidRPr="00A27F8A">
        <w:t>définir un cadre</w:t>
      </w:r>
      <w:r w:rsidR="0028611E" w:rsidRPr="00A27F8A">
        <w:t xml:space="preserve"> pour l’établissement </w:t>
      </w:r>
      <w:r w:rsidR="0061073D" w:rsidRPr="00A27F8A">
        <w:t>de partenariats et de stratégies multisectoriels</w:t>
      </w:r>
      <w:r w:rsidR="00BC72E3">
        <w:t xml:space="preserve"> et</w:t>
      </w:r>
      <w:r w:rsidR="0061073D" w:rsidRPr="00A27F8A">
        <w:t xml:space="preserve"> multipartites en vue de la mise en œuvre du</w:t>
      </w:r>
      <w:r w:rsidR="003E344F" w:rsidRPr="00A27F8A">
        <w:t xml:space="preserve"> </w:t>
      </w:r>
      <w:r w:rsidR="0061073D" w:rsidRPr="00A27F8A">
        <w:rPr>
          <w:rFonts w:eastAsia="MS Mincho"/>
        </w:rPr>
        <w:t>Programme de développement durable à l’horizon 2030</w:t>
      </w:r>
      <w:r w:rsidR="003E344F" w:rsidRPr="00A27F8A">
        <w:t>.</w:t>
      </w:r>
      <w:r w:rsidR="0061073D" w:rsidRPr="00A27F8A">
        <w:t xml:space="preserve"> Le système des Nations Unies pourrait </w:t>
      </w:r>
      <w:r w:rsidR="00F85928" w:rsidRPr="00A27F8A">
        <w:t>renforcer sa collaboration, notamment</w:t>
      </w:r>
      <w:r w:rsidR="0061073D" w:rsidRPr="00A27F8A">
        <w:t xml:space="preserve"> en mobilisant des mécanismes</w:t>
      </w:r>
      <w:r w:rsidR="00F85928" w:rsidRPr="00A27F8A">
        <w:t xml:space="preserve"> thématiques qui prévoient une action concertée visant certains facteurs ou certaines causes profondes et en</w:t>
      </w:r>
      <w:r w:rsidR="003E344F" w:rsidRPr="00A27F8A">
        <w:t xml:space="preserve"> </w:t>
      </w:r>
      <w:r w:rsidR="00FD6790" w:rsidRPr="00A27F8A">
        <w:t>associant chaque objectif de fond</w:t>
      </w:r>
      <w:r w:rsidR="003E344F" w:rsidRPr="00A27F8A">
        <w:t xml:space="preserve"> </w:t>
      </w:r>
      <w:r w:rsidR="00FD6790" w:rsidRPr="00A27F8A">
        <w:t>à une modalité d’exécution intégrée dans le cadre d’une programmation conjointe, avec des responsabilités</w:t>
      </w:r>
      <w:r w:rsidR="003E344F" w:rsidRPr="00A27F8A">
        <w:t xml:space="preserve"> </w:t>
      </w:r>
      <w:r w:rsidR="00FD6790" w:rsidRPr="00A27F8A">
        <w:t xml:space="preserve">clairement </w:t>
      </w:r>
      <w:r w:rsidR="00C6504D" w:rsidRPr="00A27F8A">
        <w:t>définies</w:t>
      </w:r>
      <w:r w:rsidR="003E344F" w:rsidRPr="00A27F8A">
        <w:t xml:space="preserve"> </w:t>
      </w:r>
      <w:r w:rsidR="00496CDC">
        <w:t xml:space="preserve">et une responsabilisation </w:t>
      </w:r>
      <w:r w:rsidR="00C6504D" w:rsidRPr="00A27F8A">
        <w:t xml:space="preserve">permettant de </w:t>
      </w:r>
      <w:r w:rsidR="00930C9F" w:rsidRPr="00A27F8A">
        <w:t>mesurer</w:t>
      </w:r>
      <w:r w:rsidR="00C6504D" w:rsidRPr="00A27F8A">
        <w:t xml:space="preserve"> les résultats</w:t>
      </w:r>
      <w:r w:rsidR="00930C9F" w:rsidRPr="00A27F8A">
        <w:t xml:space="preserve"> et l’impact</w:t>
      </w:r>
      <w:r w:rsidR="00C6504D" w:rsidRPr="00A27F8A">
        <w:t xml:space="preserve"> individuels et collectifs</w:t>
      </w:r>
      <w:r w:rsidR="003E344F" w:rsidRPr="00A27F8A">
        <w:t>.</w:t>
      </w:r>
    </w:p>
    <w:p w:rsidR="003E344F" w:rsidRPr="00A27F8A" w:rsidRDefault="00930C9F" w:rsidP="008E0CA4">
      <w:pPr>
        <w:pStyle w:val="Normalnumber"/>
        <w:tabs>
          <w:tab w:val="clear" w:pos="1247"/>
          <w:tab w:val="clear" w:pos="1814"/>
          <w:tab w:val="clear" w:pos="2381"/>
          <w:tab w:val="clear" w:pos="2948"/>
          <w:tab w:val="clear" w:pos="3515"/>
          <w:tab w:val="clear" w:pos="4082"/>
          <w:tab w:val="left" w:pos="624"/>
        </w:tabs>
        <w:ind w:left="1247" w:firstLine="0"/>
      </w:pPr>
      <w:r w:rsidRPr="00A27F8A">
        <w:t>Des efforts devraient être fournis pour réduire les coûts de transaction grâce à l’innovation et</w:t>
      </w:r>
      <w:r w:rsidR="00593E76" w:rsidRPr="00A27F8A">
        <w:t xml:space="preserve"> </w:t>
      </w:r>
      <w:r w:rsidRPr="00A27F8A">
        <w:t>à la transformation du modèle opérationnel du PNUE et de ses outils administratifs afin de permettre une collaboration avec les entités des Nations Unies et une reconnaissance mutuelle des</w:t>
      </w:r>
      <w:r w:rsidR="003E344F" w:rsidRPr="00A27F8A">
        <w:t xml:space="preserve"> </w:t>
      </w:r>
      <w:r w:rsidRPr="00A27F8A">
        <w:t>pratiques opérationnelles clés</w:t>
      </w:r>
      <w:r w:rsidR="003E344F" w:rsidRPr="00A27F8A">
        <w:t>,</w:t>
      </w:r>
      <w:r w:rsidRPr="00A27F8A">
        <w:t xml:space="preserve"> </w:t>
      </w:r>
      <w:r w:rsidR="0014337F" w:rsidRPr="00A27F8A">
        <w:t>notamment</w:t>
      </w:r>
      <w:r w:rsidRPr="00A27F8A">
        <w:t xml:space="preserve"> </w:t>
      </w:r>
      <w:r w:rsidR="0014337F" w:rsidRPr="00A27F8A">
        <w:t>l’établissement de budgets et de rapports communs concernant les résultats programmatiques</w:t>
      </w:r>
      <w:r w:rsidR="003E344F" w:rsidRPr="00A27F8A">
        <w:t>.</w:t>
      </w:r>
      <w:r w:rsidR="00FF133A">
        <w:t xml:space="preserve"> Les B</w:t>
      </w:r>
      <w:r w:rsidR="0014337F" w:rsidRPr="00A27F8A">
        <w:t xml:space="preserve">ureaux régionaux du PNUE jouent un rôle essentiel dans la mise en </w:t>
      </w:r>
      <w:r w:rsidR="00FF133A">
        <w:t xml:space="preserve">œuvre programmatique </w:t>
      </w:r>
      <w:r w:rsidR="00496CDC">
        <w:t>de l’initiative</w:t>
      </w:r>
      <w:r w:rsidR="0014337F" w:rsidRPr="00A27F8A">
        <w:t xml:space="preserve"> « Unis dans l’action » au niveau des pays et dans la coordination avec d’autres fonds, programmes et organismes aux niveaux national et régional</w:t>
      </w:r>
      <w:r w:rsidR="003E344F" w:rsidRPr="00A27F8A">
        <w:t xml:space="preserve">. </w:t>
      </w:r>
      <w:r w:rsidR="00520114" w:rsidRPr="00A27F8A">
        <w:t xml:space="preserve">Afin que les procédures opérationnelles permanentes </w:t>
      </w:r>
      <w:r w:rsidR="00BC72E3">
        <w:t xml:space="preserve">du </w:t>
      </w:r>
      <w:r w:rsidR="00520114" w:rsidRPr="00A27F8A">
        <w:t>système des Nations Unies pour le développement puissent être pleinement appliquées, les activités du PNUE au niveau national devront être incorporées dans les</w:t>
      </w:r>
      <w:r w:rsidR="003E344F" w:rsidRPr="00A27F8A">
        <w:t xml:space="preserve"> </w:t>
      </w:r>
      <w:r w:rsidR="00520114" w:rsidRPr="00A27F8A">
        <w:t>plans de travail annuels conjoints des équipes de pays des Nations Unies</w:t>
      </w:r>
      <w:r w:rsidR="003E344F" w:rsidRPr="00A27F8A">
        <w:t>.</w:t>
      </w:r>
    </w:p>
    <w:p w:rsidR="005665EF" w:rsidRPr="00A27F8A" w:rsidRDefault="00520114" w:rsidP="008E0CA4">
      <w:pPr>
        <w:pStyle w:val="Normalnumber"/>
        <w:tabs>
          <w:tab w:val="clear" w:pos="1247"/>
          <w:tab w:val="clear" w:pos="1814"/>
          <w:tab w:val="clear" w:pos="2381"/>
          <w:tab w:val="clear" w:pos="2948"/>
          <w:tab w:val="clear" w:pos="3515"/>
          <w:tab w:val="clear" w:pos="4082"/>
          <w:tab w:val="left" w:pos="624"/>
        </w:tabs>
        <w:ind w:left="1247" w:firstLine="0"/>
      </w:pPr>
      <w:r w:rsidRPr="00A27F8A">
        <w:lastRenderedPageBreak/>
        <w:t>La c</w:t>
      </w:r>
      <w:r w:rsidR="000D00BD" w:rsidRPr="00A27F8A">
        <w:t xml:space="preserve">ollaboration </w:t>
      </w:r>
      <w:r w:rsidRPr="00A27F8A">
        <w:t>et l’</w:t>
      </w:r>
      <w:r w:rsidR="00DB2B23" w:rsidRPr="00A27F8A">
        <w:t>action coordonnée requièrent une série de procédures administratives et d’instruments juridiques, qui sont également élaborés dans le cadre de mécanismes à l’échelle du système, notamment le Comité de haut niveau sur la gestion et le</w:t>
      </w:r>
      <w:r w:rsidR="00593E76" w:rsidRPr="00A27F8A">
        <w:t xml:space="preserve"> </w:t>
      </w:r>
      <w:r w:rsidR="005551A6">
        <w:t>Groupe des Nations </w:t>
      </w:r>
      <w:r w:rsidR="00DB2B23" w:rsidRPr="00A27F8A">
        <w:t>Unies pour le développement, afin de permettre a</w:t>
      </w:r>
      <w:r w:rsidR="000F63F0">
        <w:t>ux divisions techniques et aux B</w:t>
      </w:r>
      <w:r w:rsidR="00DB2B23" w:rsidRPr="00A27F8A">
        <w:t xml:space="preserve">ureaux régionaux du PNUE de traiter avec les équipes de pays des Nations Unies de la planification, de la mise en œuvre et de </w:t>
      </w:r>
      <w:r w:rsidR="000F63F0">
        <w:t>l’établissement de rapports conjoint</w:t>
      </w:r>
      <w:r w:rsidR="00D15AB5" w:rsidRPr="00A27F8A">
        <w:t>s, ainsi que de l’allocation de fonds par des gouvernements et des partenaires de financement bilatér</w:t>
      </w:r>
      <w:r w:rsidR="00351A8E">
        <w:t>aux</w:t>
      </w:r>
      <w:r w:rsidR="00D15AB5" w:rsidRPr="00A27F8A">
        <w:t xml:space="preserve"> dans les différentes régions</w:t>
      </w:r>
      <w:r w:rsidR="00593E76" w:rsidRPr="00A27F8A">
        <w:t>.</w:t>
      </w:r>
      <w:r w:rsidR="00D15AB5" w:rsidRPr="00A27F8A">
        <w:t xml:space="preserve"> La programmation du PNUE devra être souple et</w:t>
      </w:r>
      <w:r w:rsidR="00605B4C" w:rsidRPr="00A27F8A">
        <w:t xml:space="preserve"> adapt</w:t>
      </w:r>
      <w:r w:rsidR="00351A8E">
        <w:t>able</w:t>
      </w:r>
      <w:r w:rsidR="00605B4C" w:rsidRPr="00A27F8A">
        <w:t xml:space="preserve"> pour pouvoir répondre aux besoins nouveaux et urgents des différentes situations en matière de développement, notamment dans le cadre </w:t>
      </w:r>
      <w:r w:rsidR="009F47A9" w:rsidRPr="00A27F8A">
        <w:t xml:space="preserve">des </w:t>
      </w:r>
      <w:r w:rsidR="00605B4C" w:rsidRPr="00A27F8A">
        <w:t>intervention</w:t>
      </w:r>
      <w:r w:rsidR="009F47A9" w:rsidRPr="00A27F8A">
        <w:t>s</w:t>
      </w:r>
      <w:r w:rsidR="00605B4C" w:rsidRPr="00A27F8A">
        <w:t xml:space="preserve"> humanitaire</w:t>
      </w:r>
      <w:r w:rsidR="009F47A9" w:rsidRPr="00A27F8A">
        <w:t>s</w:t>
      </w:r>
      <w:r w:rsidR="00605B4C" w:rsidRPr="00A27F8A">
        <w:t xml:space="preserve"> et en cas d’urgence</w:t>
      </w:r>
      <w:r w:rsidR="003E344F" w:rsidRPr="00A27F8A">
        <w:t xml:space="preserve"> </w:t>
      </w:r>
      <w:r w:rsidR="009F47A9" w:rsidRPr="00A27F8A">
        <w:t>du</w:t>
      </w:r>
      <w:r w:rsidR="00605B4C" w:rsidRPr="00A27F8A">
        <w:t xml:space="preserve"> système des Nations Unies</w:t>
      </w:r>
      <w:r w:rsidR="003E344F" w:rsidRPr="00A27F8A">
        <w:t>.</w:t>
      </w:r>
    </w:p>
    <w:p w:rsidR="00615E75" w:rsidRPr="00A27F8A" w:rsidRDefault="009F47A9" w:rsidP="008E0CA4">
      <w:pPr>
        <w:pStyle w:val="Normalnumber"/>
        <w:tabs>
          <w:tab w:val="clear" w:pos="1247"/>
          <w:tab w:val="clear" w:pos="1814"/>
          <w:tab w:val="clear" w:pos="2381"/>
          <w:tab w:val="clear" w:pos="2948"/>
          <w:tab w:val="clear" w:pos="3515"/>
          <w:tab w:val="clear" w:pos="4082"/>
          <w:tab w:val="left" w:pos="624"/>
        </w:tabs>
        <w:ind w:left="1247" w:firstLine="0"/>
      </w:pPr>
      <w:r w:rsidRPr="00A27F8A">
        <w:t xml:space="preserve">Le PNUE continuera de promouvoir une culture de collaboration au sein du système des Nations Unies </w:t>
      </w:r>
      <w:r w:rsidR="00587A0F" w:rsidRPr="00A27F8A">
        <w:t>et d’entretenir un état d’esprit selon lequel le « PNUE fait partie intégrante du système des Nations Unies » afin de permettre aux membres du personnel de comprendre la manière dont leurs travaux</w:t>
      </w:r>
      <w:r w:rsidR="00524B60" w:rsidRPr="00A27F8A">
        <w:t xml:space="preserve"> « s’amarrent »</w:t>
      </w:r>
      <w:r w:rsidR="00587A0F" w:rsidRPr="00A27F8A">
        <w:t xml:space="preserve"> </w:t>
      </w:r>
      <w:r w:rsidR="00524B60" w:rsidRPr="00A27F8A">
        <w:t>et s’intègrent à ceux du système des Nations Unies dans son ensemble</w:t>
      </w:r>
      <w:r w:rsidR="003E344F" w:rsidRPr="00A27F8A">
        <w:t xml:space="preserve">. </w:t>
      </w:r>
      <w:r w:rsidR="00524B60" w:rsidRPr="00A27F8A">
        <w:t xml:space="preserve">Il conviendra de mettre systématiquement en place des mesures d’incitation ainsi que des indicateurs de performance aux fins d’une collaboration au sein et </w:t>
      </w:r>
      <w:r w:rsidR="000F63F0">
        <w:t>en dehors</w:t>
      </w:r>
      <w:r w:rsidR="00524B60" w:rsidRPr="00A27F8A">
        <w:t xml:space="preserve"> du système des Nations Unies</w:t>
      </w:r>
      <w:r w:rsidR="003E344F" w:rsidRPr="00A27F8A">
        <w:t>.</w:t>
      </w:r>
      <w:r w:rsidR="00F27C70" w:rsidRPr="00A27F8A">
        <w:t xml:space="preserve"> La mise en œuvre du </w:t>
      </w:r>
      <w:r w:rsidR="00F27C70" w:rsidRPr="00A27F8A">
        <w:rPr>
          <w:rFonts w:eastAsia="MS Mincho"/>
        </w:rPr>
        <w:t>Programme de développement durable à l’horizon 2030 nécessite une compréhension plus profonde des mandats resp</w:t>
      </w:r>
      <w:r w:rsidR="000F63F0">
        <w:rPr>
          <w:rFonts w:eastAsia="MS Mincho"/>
        </w:rPr>
        <w:t>ectifs des organismes</w:t>
      </w:r>
      <w:r w:rsidR="00F27C70" w:rsidRPr="00A27F8A">
        <w:rPr>
          <w:rFonts w:eastAsia="MS Mincho"/>
        </w:rPr>
        <w:t xml:space="preserve"> des Nations Unies, entraînant une collaboration plus efficace</w:t>
      </w:r>
      <w:r w:rsidR="003E344F" w:rsidRPr="00A27F8A">
        <w:t xml:space="preserve"> </w:t>
      </w:r>
      <w:r w:rsidR="00F27C70" w:rsidRPr="00A27F8A">
        <w:t>basée sur une reconnaissance mutuelle de leur expertise et leurs modèles opérationnels respectifs</w:t>
      </w:r>
      <w:r w:rsidR="003E344F" w:rsidRPr="00A27F8A">
        <w:t>.</w:t>
      </w:r>
      <w:r w:rsidR="00F27C70" w:rsidRPr="00A27F8A">
        <w:t xml:space="preserve"> Les membres du personnel devraient être encouragés à établir des partenariats multipartites et à travailler</w:t>
      </w:r>
      <w:r w:rsidR="0018090A" w:rsidRPr="00A27F8A">
        <w:t xml:space="preserve"> dans différents secteurs, en participant à des réseaux professionnels</w:t>
      </w:r>
      <w:r w:rsidR="00F27C70" w:rsidRPr="00A27F8A">
        <w:t xml:space="preserve"> </w:t>
      </w:r>
      <w:r w:rsidR="0018090A" w:rsidRPr="00A27F8A">
        <w:t>interorganisations, en vue d’apporter des réponses</w:t>
      </w:r>
      <w:r w:rsidR="003E344F" w:rsidRPr="00A27F8A">
        <w:t xml:space="preserve"> </w:t>
      </w:r>
      <w:r w:rsidR="0018090A" w:rsidRPr="00A27F8A">
        <w:t>interdisciplinaires intégrées aux défis du développement durable</w:t>
      </w:r>
      <w:r w:rsidR="003E344F" w:rsidRPr="00A27F8A">
        <w:t>.</w:t>
      </w:r>
    </w:p>
    <w:tbl>
      <w:tblPr>
        <w:tblW w:w="0" w:type="auto"/>
        <w:tblLook w:val="04A0" w:firstRow="1" w:lastRow="0" w:firstColumn="1" w:lastColumn="0" w:noHBand="0" w:noVBand="1"/>
      </w:tblPr>
      <w:tblGrid>
        <w:gridCol w:w="1942"/>
        <w:gridCol w:w="1942"/>
        <w:gridCol w:w="1942"/>
        <w:gridCol w:w="1943"/>
        <w:gridCol w:w="1943"/>
      </w:tblGrid>
      <w:tr w:rsidR="005B5291" w:rsidRPr="00A27F8A">
        <w:tc>
          <w:tcPr>
            <w:tcW w:w="1942" w:type="dxa"/>
            <w:shd w:val="clear" w:color="auto" w:fill="auto"/>
          </w:tcPr>
          <w:p w:rsidR="005B5291" w:rsidRPr="00A27F8A" w:rsidRDefault="005B5291" w:rsidP="008E0CA4">
            <w:pPr>
              <w:pStyle w:val="Normal-pool"/>
              <w:spacing w:before="520"/>
              <w:rPr>
                <w:rFonts w:eastAsia="MS Mincho"/>
                <w:kern w:val="2"/>
                <w:sz w:val="21"/>
                <w:szCs w:val="22"/>
                <w:lang w:val="fr-FR"/>
              </w:rPr>
            </w:pPr>
          </w:p>
        </w:tc>
        <w:tc>
          <w:tcPr>
            <w:tcW w:w="1942" w:type="dxa"/>
            <w:shd w:val="clear" w:color="auto" w:fill="auto"/>
          </w:tcPr>
          <w:p w:rsidR="005B5291" w:rsidRPr="00A27F8A" w:rsidRDefault="005B5291" w:rsidP="008E0CA4">
            <w:pPr>
              <w:pStyle w:val="Normal-pool"/>
              <w:spacing w:before="520"/>
              <w:rPr>
                <w:rFonts w:eastAsia="MS Mincho"/>
                <w:kern w:val="2"/>
                <w:sz w:val="21"/>
                <w:szCs w:val="22"/>
                <w:lang w:val="fr-FR"/>
              </w:rPr>
            </w:pPr>
          </w:p>
        </w:tc>
        <w:tc>
          <w:tcPr>
            <w:tcW w:w="1942" w:type="dxa"/>
            <w:tcBorders>
              <w:bottom w:val="single" w:sz="4" w:space="0" w:color="auto"/>
            </w:tcBorders>
            <w:shd w:val="clear" w:color="auto" w:fill="auto"/>
          </w:tcPr>
          <w:p w:rsidR="005B5291" w:rsidRPr="00A27F8A" w:rsidRDefault="005B5291" w:rsidP="008E0CA4">
            <w:pPr>
              <w:pStyle w:val="Normal-pool"/>
              <w:spacing w:before="520"/>
              <w:rPr>
                <w:rFonts w:eastAsia="MS Mincho"/>
                <w:kern w:val="2"/>
                <w:sz w:val="21"/>
                <w:szCs w:val="22"/>
                <w:lang w:val="fr-FR"/>
              </w:rPr>
            </w:pPr>
          </w:p>
        </w:tc>
        <w:tc>
          <w:tcPr>
            <w:tcW w:w="1943" w:type="dxa"/>
            <w:shd w:val="clear" w:color="auto" w:fill="auto"/>
          </w:tcPr>
          <w:p w:rsidR="005B5291" w:rsidRPr="00A27F8A" w:rsidRDefault="005B5291" w:rsidP="008E0CA4">
            <w:pPr>
              <w:pStyle w:val="Normal-pool"/>
              <w:spacing w:before="520"/>
              <w:rPr>
                <w:rFonts w:eastAsia="MS Mincho"/>
                <w:kern w:val="2"/>
                <w:sz w:val="21"/>
                <w:szCs w:val="22"/>
                <w:lang w:val="fr-FR"/>
              </w:rPr>
            </w:pPr>
          </w:p>
        </w:tc>
        <w:tc>
          <w:tcPr>
            <w:tcW w:w="1943" w:type="dxa"/>
            <w:shd w:val="clear" w:color="auto" w:fill="auto"/>
          </w:tcPr>
          <w:p w:rsidR="005B5291" w:rsidRPr="00A27F8A" w:rsidRDefault="005B5291" w:rsidP="008E0CA4">
            <w:pPr>
              <w:pStyle w:val="Normal-pool"/>
              <w:spacing w:before="520"/>
              <w:rPr>
                <w:rFonts w:eastAsia="MS Mincho"/>
                <w:kern w:val="2"/>
                <w:sz w:val="21"/>
                <w:szCs w:val="22"/>
                <w:lang w:val="fr-FR"/>
              </w:rPr>
            </w:pPr>
          </w:p>
        </w:tc>
      </w:tr>
    </w:tbl>
    <w:p w:rsidR="009F0723" w:rsidRPr="00A27F8A" w:rsidRDefault="009F0723" w:rsidP="008E0CA4">
      <w:pPr>
        <w:pStyle w:val="Normal-pool"/>
        <w:rPr>
          <w:lang w:val="fr-FR"/>
        </w:rPr>
      </w:pPr>
    </w:p>
    <w:sectPr w:rsidR="009F0723" w:rsidRPr="00A27F8A" w:rsidSect="005B5291">
      <w:headerReference w:type="even" r:id="rId40"/>
      <w:headerReference w:type="default" r:id="rId41"/>
      <w:footerReference w:type="even" r:id="rId42"/>
      <w:footerReference w:type="default" r:id="rId43"/>
      <w:headerReference w:type="first" r:id="rId44"/>
      <w:footerReference w:type="first" r:id="rId45"/>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8F1" w:rsidRDefault="00D848F1">
      <w:r>
        <w:separator/>
      </w:r>
    </w:p>
  </w:endnote>
  <w:endnote w:type="continuationSeparator" w:id="0">
    <w:p w:rsidR="00D848F1" w:rsidRDefault="00D84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entury">
    <w:panose1 w:val="0204060405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23" w:rsidRDefault="00DB2B23">
    <w:pPr>
      <w:pStyle w:val="Footer"/>
    </w:pPr>
    <w:r>
      <w:rPr>
        <w:rStyle w:val="PageNumber"/>
      </w:rPr>
      <w:fldChar w:fldCharType="begin"/>
    </w:r>
    <w:r>
      <w:rPr>
        <w:rStyle w:val="PageNumber"/>
      </w:rPr>
      <w:instrText xml:space="preserve"> PAGE </w:instrText>
    </w:r>
    <w:r>
      <w:rPr>
        <w:rStyle w:val="PageNumber"/>
      </w:rPr>
      <w:fldChar w:fldCharType="separate"/>
    </w:r>
    <w:r w:rsidR="004B5CA2">
      <w:rPr>
        <w:rStyle w:val="PageNumber"/>
        <w:noProof/>
      </w:rPr>
      <w:t>12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23" w:rsidRDefault="00DB2B2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B5CA2">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23" w:rsidRPr="0027244C" w:rsidRDefault="00DB2B23" w:rsidP="00167391">
    <w:pPr>
      <w:pStyle w:val="Footer"/>
      <w:tabs>
        <w:tab w:val="clear" w:pos="1247"/>
        <w:tab w:val="clear" w:pos="1814"/>
        <w:tab w:val="clear" w:pos="2381"/>
        <w:tab w:val="clear" w:pos="2948"/>
        <w:tab w:val="clear" w:pos="3515"/>
        <w:tab w:val="clear" w:pos="4320"/>
        <w:tab w:val="clear" w:pos="8640"/>
        <w:tab w:val="left" w:pos="624"/>
      </w:tabs>
      <w:rPr>
        <w:sz w:val="20"/>
      </w:rPr>
    </w:pPr>
    <w:r w:rsidRPr="0027244C">
      <w:rPr>
        <w:sz w:val="20"/>
      </w:rPr>
      <w:t>K1</w:t>
    </w:r>
    <w:r w:rsidR="003F5FDA">
      <w:rPr>
        <w:sz w:val="20"/>
      </w:rPr>
      <w:t>605036</w:t>
    </w:r>
    <w:r w:rsidR="0048792B">
      <w:rPr>
        <w:sz w:val="20"/>
      </w:rPr>
      <w:tab/>
    </w:r>
    <w:r w:rsidR="003F5FDA">
      <w:rPr>
        <w:sz w:val="20"/>
      </w:rPr>
      <w:t>050516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8F1" w:rsidRPr="00991737" w:rsidRDefault="00D848F1" w:rsidP="0027244C">
      <w:pPr>
        <w:spacing w:before="60"/>
        <w:ind w:left="624"/>
        <w:rPr>
          <w:sz w:val="18"/>
          <w:szCs w:val="18"/>
        </w:rPr>
      </w:pPr>
      <w:r w:rsidRPr="00991737">
        <w:rPr>
          <w:sz w:val="18"/>
          <w:szCs w:val="18"/>
        </w:rPr>
        <w:separator/>
      </w:r>
    </w:p>
  </w:footnote>
  <w:footnote w:type="continuationSeparator" w:id="0">
    <w:p w:rsidR="00D848F1" w:rsidRDefault="00D848F1">
      <w:r>
        <w:continuationSeparator/>
      </w:r>
    </w:p>
  </w:footnote>
  <w:footnote w:id="1">
    <w:p w:rsidR="0048792B" w:rsidRPr="0048792B" w:rsidRDefault="0048792B">
      <w:pPr>
        <w:pStyle w:val="FootnoteText"/>
        <w:rPr>
          <w:lang w:val="fr-FR"/>
        </w:rPr>
      </w:pPr>
      <w:r>
        <w:rPr>
          <w:rStyle w:val="FootnoteReference"/>
        </w:rPr>
        <w:t>*</w:t>
      </w:r>
      <w:r>
        <w:t xml:space="preserve">  Nouveau tirage pour raisons technique</w:t>
      </w:r>
      <w:r w:rsidR="003F5FDA">
        <w:t>s</w:t>
      </w:r>
      <w:r>
        <w:t xml:space="preserve"> le 3 mai 2016.</w:t>
      </w:r>
    </w:p>
  </w:footnote>
  <w:footnote w:id="2">
    <w:p w:rsidR="0048792B" w:rsidRPr="0048792B" w:rsidRDefault="0048792B">
      <w:pPr>
        <w:pStyle w:val="FootnoteText"/>
        <w:rPr>
          <w:lang w:val="fr-FR"/>
        </w:rPr>
      </w:pPr>
      <w:r>
        <w:rPr>
          <w:rStyle w:val="FootnoteReference"/>
        </w:rPr>
        <w:t>**</w:t>
      </w:r>
      <w:r>
        <w:t xml:space="preserve"> </w:t>
      </w:r>
      <w:r w:rsidRPr="00DF727C">
        <w:rPr>
          <w:szCs w:val="18"/>
          <w:lang w:val="fr-FR"/>
        </w:rPr>
        <w:t>UNEP/EA.2/1.</w:t>
      </w:r>
    </w:p>
  </w:footnote>
  <w:footnote w:id="3">
    <w:p w:rsidR="00DB2B23" w:rsidRPr="00DF727C" w:rsidRDefault="00DB2B23" w:rsidP="00495B46">
      <w:pPr>
        <w:pStyle w:val="FootnoteText"/>
        <w:rPr>
          <w:szCs w:val="18"/>
          <w:lang w:val="fr-FR"/>
        </w:rPr>
      </w:pPr>
      <w:r w:rsidRPr="00DF727C">
        <w:rPr>
          <w:rStyle w:val="FootnoteReference"/>
          <w:sz w:val="18"/>
          <w:lang w:val="fr-FR"/>
        </w:rPr>
        <w:footnoteRef/>
      </w:r>
      <w:r w:rsidRPr="00DF727C">
        <w:rPr>
          <w:szCs w:val="18"/>
          <w:lang w:val="fr-FR"/>
        </w:rPr>
        <w:t xml:space="preserve"> </w:t>
      </w:r>
      <w:r>
        <w:rPr>
          <w:szCs w:val="18"/>
          <w:lang w:val="fr-FR"/>
        </w:rPr>
        <w:t>Résolution </w:t>
      </w:r>
      <w:r w:rsidRPr="00DF727C">
        <w:rPr>
          <w:szCs w:val="18"/>
          <w:lang w:val="fr-FR"/>
        </w:rPr>
        <w:t>66/288</w:t>
      </w:r>
      <w:r>
        <w:rPr>
          <w:szCs w:val="18"/>
          <w:lang w:val="fr-FR"/>
        </w:rPr>
        <w:t xml:space="preserve"> de l’Assemblée générale des Nations Unies</w:t>
      </w:r>
      <w:r w:rsidRPr="00DF727C">
        <w:rPr>
          <w:szCs w:val="18"/>
          <w:lang w:val="fr-FR"/>
        </w:rPr>
        <w:t xml:space="preserve">, </w:t>
      </w:r>
      <w:r>
        <w:rPr>
          <w:szCs w:val="18"/>
          <w:lang w:val="fr-FR"/>
        </w:rPr>
        <w:t>« </w:t>
      </w:r>
      <w:r w:rsidRPr="00DF727C">
        <w:rPr>
          <w:szCs w:val="18"/>
          <w:lang w:val="fr-FR"/>
        </w:rPr>
        <w:t>L'avenir que nous voulons</w:t>
      </w:r>
      <w:r>
        <w:rPr>
          <w:szCs w:val="18"/>
          <w:lang w:val="fr-FR"/>
        </w:rPr>
        <w:t> »</w:t>
      </w:r>
      <w:r w:rsidRPr="00DF727C">
        <w:rPr>
          <w:szCs w:val="18"/>
          <w:lang w:val="fr-FR"/>
        </w:rPr>
        <w:t>.</w:t>
      </w:r>
    </w:p>
  </w:footnote>
  <w:footnote w:id="4">
    <w:p w:rsidR="00F2206B" w:rsidRPr="00DF727C" w:rsidRDefault="00F2206B" w:rsidP="00F2206B">
      <w:pPr>
        <w:pStyle w:val="FootnoteText"/>
        <w:tabs>
          <w:tab w:val="clear" w:pos="1247"/>
          <w:tab w:val="left" w:pos="540"/>
        </w:tabs>
        <w:rPr>
          <w:szCs w:val="18"/>
          <w:lang w:val="fr-FR"/>
        </w:rPr>
      </w:pPr>
      <w:r w:rsidRPr="00DF727C">
        <w:rPr>
          <w:rStyle w:val="FootnoteReference"/>
          <w:sz w:val="18"/>
          <w:lang w:val="fr-FR"/>
        </w:rPr>
        <w:footnoteRef/>
      </w:r>
      <w:r w:rsidRPr="00DF727C">
        <w:rPr>
          <w:szCs w:val="18"/>
          <w:lang w:val="fr-FR"/>
        </w:rPr>
        <w:t xml:space="preserve"> </w:t>
      </w:r>
      <w:r>
        <w:rPr>
          <w:szCs w:val="18"/>
          <w:lang w:val="fr-FR"/>
        </w:rPr>
        <w:t>Résolution </w:t>
      </w:r>
      <w:r w:rsidRPr="00DF727C">
        <w:rPr>
          <w:szCs w:val="18"/>
          <w:lang w:val="fr-FR"/>
        </w:rPr>
        <w:t>70/1</w:t>
      </w:r>
      <w:r>
        <w:rPr>
          <w:szCs w:val="18"/>
          <w:lang w:val="fr-FR"/>
        </w:rPr>
        <w:t xml:space="preserve"> de l’Assemblée générale des Nations Unies, « Transformer notre monde </w:t>
      </w:r>
      <w:r w:rsidRPr="00954BFB">
        <w:rPr>
          <w:szCs w:val="18"/>
          <w:lang w:val="fr-FR"/>
        </w:rPr>
        <w:t>: le Programme de développement durable à l’horizon 2030</w:t>
      </w:r>
      <w:r>
        <w:rPr>
          <w:szCs w:val="18"/>
          <w:lang w:val="fr-FR"/>
        </w:rPr>
        <w:t> »</w:t>
      </w:r>
      <w:r w:rsidRPr="00DF727C">
        <w:rPr>
          <w:szCs w:val="18"/>
          <w:lang w:val="fr-FR"/>
        </w:rPr>
        <w:t>.</w:t>
      </w:r>
    </w:p>
  </w:footnote>
  <w:footnote w:id="5">
    <w:p w:rsidR="00DB2B23" w:rsidRPr="00DF727C" w:rsidRDefault="00DB2B23" w:rsidP="00A93F24">
      <w:pPr>
        <w:pStyle w:val="FootnoteText"/>
        <w:tabs>
          <w:tab w:val="clear" w:pos="1247"/>
          <w:tab w:val="left" w:pos="540"/>
        </w:tabs>
        <w:rPr>
          <w:szCs w:val="18"/>
          <w:lang w:val="fr-FR"/>
        </w:rPr>
      </w:pPr>
      <w:r w:rsidRPr="00DF727C">
        <w:rPr>
          <w:rStyle w:val="FootnoteReference"/>
          <w:sz w:val="18"/>
          <w:lang w:val="fr-FR"/>
        </w:rPr>
        <w:footnoteRef/>
      </w:r>
      <w:r w:rsidRPr="00DF727C">
        <w:rPr>
          <w:szCs w:val="18"/>
          <w:lang w:val="fr-FR"/>
        </w:rPr>
        <w:t xml:space="preserve"> </w:t>
      </w:r>
      <w:r>
        <w:rPr>
          <w:szCs w:val="18"/>
          <w:lang w:val="fr-FR"/>
        </w:rPr>
        <w:t>R</w:t>
      </w:r>
      <w:r w:rsidRPr="0080722F">
        <w:rPr>
          <w:szCs w:val="18"/>
          <w:lang w:val="fr-FR"/>
        </w:rPr>
        <w:t>é</w:t>
      </w:r>
      <w:r>
        <w:rPr>
          <w:szCs w:val="18"/>
          <w:lang w:val="fr-FR"/>
        </w:rPr>
        <w:t>solution 2997 (XXVII) de l’</w:t>
      </w:r>
      <w:r w:rsidRPr="0080722F">
        <w:rPr>
          <w:szCs w:val="18"/>
          <w:lang w:val="fr-FR"/>
        </w:rPr>
        <w:t>A</w:t>
      </w:r>
      <w:r>
        <w:rPr>
          <w:szCs w:val="18"/>
          <w:lang w:val="fr-FR"/>
        </w:rPr>
        <w:t xml:space="preserve">ssemblée générale </w:t>
      </w:r>
      <w:r w:rsidR="003016FF">
        <w:rPr>
          <w:szCs w:val="18"/>
          <w:lang w:val="fr-FR"/>
        </w:rPr>
        <w:t xml:space="preserve">des Nations unies </w:t>
      </w:r>
      <w:r>
        <w:rPr>
          <w:szCs w:val="18"/>
          <w:lang w:val="fr-FR"/>
        </w:rPr>
        <w:t>en date du 15 décembre </w:t>
      </w:r>
      <w:r w:rsidRPr="0080722F">
        <w:rPr>
          <w:szCs w:val="18"/>
          <w:lang w:val="fr-FR"/>
        </w:rPr>
        <w:t xml:space="preserve">1972 relative aux </w:t>
      </w:r>
      <w:r>
        <w:rPr>
          <w:szCs w:val="18"/>
          <w:lang w:val="fr-FR"/>
        </w:rPr>
        <w:t>d</w:t>
      </w:r>
      <w:r w:rsidRPr="0080722F">
        <w:rPr>
          <w:szCs w:val="18"/>
          <w:lang w:val="fr-FR"/>
        </w:rPr>
        <w:t>ispositions institutionnelles et financières concernant la coopération inte</w:t>
      </w:r>
      <w:r>
        <w:rPr>
          <w:szCs w:val="18"/>
          <w:lang w:val="fr-FR"/>
        </w:rPr>
        <w:t>rnationale dans le domaine de l’</w:t>
      </w:r>
      <w:r w:rsidRPr="0080722F">
        <w:rPr>
          <w:szCs w:val="18"/>
          <w:lang w:val="fr-FR"/>
        </w:rPr>
        <w:t>environnement</w:t>
      </w:r>
      <w:r w:rsidRPr="00DF727C">
        <w:rPr>
          <w:szCs w:val="18"/>
          <w:lang w:val="fr-FR"/>
        </w:rPr>
        <w:t>.</w:t>
      </w:r>
    </w:p>
  </w:footnote>
  <w:footnote w:id="6">
    <w:p w:rsidR="004E0EF9" w:rsidRPr="004E0EF9" w:rsidRDefault="004E0EF9">
      <w:pPr>
        <w:pStyle w:val="FootnoteText"/>
        <w:rPr>
          <w:lang w:val="fr-FR"/>
        </w:rPr>
      </w:pPr>
      <w:r>
        <w:rPr>
          <w:rStyle w:val="FootnoteReference"/>
        </w:rPr>
        <w:footnoteRef/>
      </w:r>
      <w:r>
        <w:t xml:space="preserve"> </w:t>
      </w:r>
      <w:r>
        <w:rPr>
          <w:szCs w:val="18"/>
          <w:lang w:val="fr-FR"/>
        </w:rPr>
        <w:t>Résolution </w:t>
      </w:r>
      <w:r w:rsidRPr="00DF727C">
        <w:rPr>
          <w:szCs w:val="18"/>
          <w:lang w:val="fr-FR"/>
        </w:rPr>
        <w:t>70/1</w:t>
      </w:r>
      <w:r>
        <w:rPr>
          <w:szCs w:val="18"/>
          <w:lang w:val="fr-FR"/>
        </w:rPr>
        <w:t xml:space="preserve"> de l’Assemblée générale des Nations Unies, « Transformer notre monde </w:t>
      </w:r>
      <w:r w:rsidRPr="00954BFB">
        <w:rPr>
          <w:szCs w:val="18"/>
          <w:lang w:val="fr-FR"/>
        </w:rPr>
        <w:t>: le Programme de développement durable à l’horizon 2030</w:t>
      </w:r>
      <w:r>
        <w:rPr>
          <w:szCs w:val="18"/>
          <w:lang w:val="fr-FR"/>
        </w:rPr>
        <w:t> »</w:t>
      </w:r>
      <w:r w:rsidRPr="00DF727C">
        <w:rPr>
          <w:szCs w:val="18"/>
          <w:lang w:val="fr-FR"/>
        </w:rPr>
        <w:t>.</w:t>
      </w:r>
    </w:p>
  </w:footnote>
  <w:footnote w:id="7">
    <w:p w:rsidR="004E0EF9" w:rsidRPr="004E0EF9" w:rsidRDefault="004E0EF9">
      <w:pPr>
        <w:pStyle w:val="FootnoteText"/>
        <w:rPr>
          <w:lang w:val="fr-FR"/>
        </w:rPr>
      </w:pPr>
      <w:r>
        <w:rPr>
          <w:rStyle w:val="FootnoteReference"/>
        </w:rPr>
        <w:footnoteRef/>
      </w:r>
      <w:r>
        <w:t xml:space="preserve"> </w:t>
      </w:r>
      <w:r>
        <w:rPr>
          <w:szCs w:val="18"/>
          <w:lang w:val="fr-FR"/>
        </w:rPr>
        <w:t>Résolution </w:t>
      </w:r>
      <w:r w:rsidRPr="00DF727C">
        <w:rPr>
          <w:szCs w:val="18"/>
          <w:lang w:val="fr-FR"/>
        </w:rPr>
        <w:t>70/1</w:t>
      </w:r>
      <w:r>
        <w:rPr>
          <w:szCs w:val="18"/>
          <w:lang w:val="fr-FR"/>
        </w:rPr>
        <w:t xml:space="preserve"> de l’Assemblée générale des Nations Unies, « Transformer notre monde </w:t>
      </w:r>
      <w:r w:rsidRPr="00954BFB">
        <w:rPr>
          <w:szCs w:val="18"/>
          <w:lang w:val="fr-FR"/>
        </w:rPr>
        <w:t>: le Programme de développement durable à l’horizon 2030</w:t>
      </w:r>
      <w:r>
        <w:rPr>
          <w:szCs w:val="18"/>
          <w:lang w:val="fr-FR"/>
        </w:rPr>
        <w:t> »</w:t>
      </w:r>
      <w:r w:rsidRPr="00DF727C">
        <w:rPr>
          <w:szCs w:val="18"/>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23" w:rsidRPr="00E274B1" w:rsidRDefault="00DB2B23" w:rsidP="00E274B1">
    <w:pPr>
      <w:pStyle w:val="Header"/>
      <w:rPr>
        <w:szCs w:val="18"/>
      </w:rPr>
    </w:pPr>
    <w:r w:rsidRPr="00E274B1">
      <w:rPr>
        <w:bCs/>
        <w:szCs w:val="18"/>
      </w:rPr>
      <w:t>UNEP</w:t>
    </w:r>
    <w:r>
      <w:rPr>
        <w:szCs w:val="18"/>
      </w:rPr>
      <w:t>/EA.2</w:t>
    </w:r>
    <w:r w:rsidRPr="00E274B1">
      <w:rPr>
        <w:szCs w:val="18"/>
      </w:rPr>
      <w:t>/</w:t>
    </w:r>
    <w:r>
      <w:rPr>
        <w:szCs w:val="18"/>
      </w:rP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23" w:rsidRPr="00E274B1" w:rsidRDefault="00DB2B23" w:rsidP="00E274B1">
    <w:pPr>
      <w:pStyle w:val="Header"/>
      <w:jc w:val="right"/>
      <w:rPr>
        <w:szCs w:val="18"/>
      </w:rPr>
    </w:pPr>
    <w:r w:rsidRPr="00E274B1">
      <w:rPr>
        <w:bCs/>
        <w:szCs w:val="18"/>
      </w:rPr>
      <w:t>UNEP</w:t>
    </w:r>
    <w:r w:rsidRPr="00E274B1">
      <w:rPr>
        <w:szCs w:val="18"/>
      </w:rPr>
      <w:t>/EA.</w:t>
    </w:r>
    <w:r>
      <w:rPr>
        <w:szCs w:val="18"/>
      </w:rPr>
      <w:t>2/10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23" w:rsidRDefault="00DB2B23" w:rsidP="000161D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388A7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F1AA3EC"/>
    <w:lvl w:ilvl="0">
      <w:start w:val="1"/>
      <w:numFmt w:val="decimal"/>
      <w:lvlText w:val="%1."/>
      <w:lvlJc w:val="left"/>
      <w:pPr>
        <w:tabs>
          <w:tab w:val="num" w:pos="1800"/>
        </w:tabs>
        <w:ind w:left="1800" w:hanging="360"/>
      </w:pPr>
    </w:lvl>
  </w:abstractNum>
  <w:abstractNum w:abstractNumId="2">
    <w:nsid w:val="FFFFFF7D"/>
    <w:multiLevelType w:val="singleLevel"/>
    <w:tmpl w:val="F642D644"/>
    <w:lvl w:ilvl="0">
      <w:start w:val="1"/>
      <w:numFmt w:val="decimal"/>
      <w:lvlText w:val="%1."/>
      <w:lvlJc w:val="left"/>
      <w:pPr>
        <w:tabs>
          <w:tab w:val="num" w:pos="1440"/>
        </w:tabs>
        <w:ind w:left="1440" w:hanging="360"/>
      </w:pPr>
    </w:lvl>
  </w:abstractNum>
  <w:abstractNum w:abstractNumId="3">
    <w:nsid w:val="FFFFFF7E"/>
    <w:multiLevelType w:val="singleLevel"/>
    <w:tmpl w:val="867235A6"/>
    <w:lvl w:ilvl="0">
      <w:start w:val="1"/>
      <w:numFmt w:val="decimal"/>
      <w:lvlText w:val="%1."/>
      <w:lvlJc w:val="left"/>
      <w:pPr>
        <w:tabs>
          <w:tab w:val="num" w:pos="1080"/>
        </w:tabs>
        <w:ind w:left="1080" w:hanging="360"/>
      </w:pPr>
    </w:lvl>
  </w:abstractNum>
  <w:abstractNum w:abstractNumId="4">
    <w:nsid w:val="FFFFFF7F"/>
    <w:multiLevelType w:val="singleLevel"/>
    <w:tmpl w:val="542216E4"/>
    <w:lvl w:ilvl="0">
      <w:start w:val="1"/>
      <w:numFmt w:val="decimal"/>
      <w:lvlText w:val="%1."/>
      <w:lvlJc w:val="left"/>
      <w:pPr>
        <w:tabs>
          <w:tab w:val="num" w:pos="720"/>
        </w:tabs>
        <w:ind w:left="720" w:hanging="360"/>
      </w:pPr>
    </w:lvl>
  </w:abstractNum>
  <w:abstractNum w:abstractNumId="5">
    <w:nsid w:val="FFFFFF80"/>
    <w:multiLevelType w:val="singleLevel"/>
    <w:tmpl w:val="B7C21E2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E969F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936CE3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03E74C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1BE96D2"/>
    <w:lvl w:ilvl="0">
      <w:start w:val="1"/>
      <w:numFmt w:val="decimal"/>
      <w:lvlText w:val="%1."/>
      <w:lvlJc w:val="left"/>
      <w:pPr>
        <w:tabs>
          <w:tab w:val="num" w:pos="360"/>
        </w:tabs>
        <w:ind w:left="360" w:hanging="360"/>
      </w:pPr>
    </w:lvl>
  </w:abstractNum>
  <w:abstractNum w:abstractNumId="10">
    <w:nsid w:val="FFFFFF89"/>
    <w:multiLevelType w:val="singleLevel"/>
    <w:tmpl w:val="D708E616"/>
    <w:lvl w:ilvl="0">
      <w:start w:val="1"/>
      <w:numFmt w:val="bullet"/>
      <w:lvlText w:val=""/>
      <w:lvlJc w:val="left"/>
      <w:pPr>
        <w:tabs>
          <w:tab w:val="num" w:pos="360"/>
        </w:tabs>
        <w:ind w:left="360" w:hanging="360"/>
      </w:pPr>
      <w:rPr>
        <w:rFonts w:ascii="Symbol" w:hAnsi="Symbol" w:hint="default"/>
      </w:rPr>
    </w:lvl>
  </w:abstractNum>
  <w:abstractNum w:abstractNumId="11">
    <w:nsid w:val="032E22B8"/>
    <w:multiLevelType w:val="hybridMultilevel"/>
    <w:tmpl w:val="D3121738"/>
    <w:lvl w:ilvl="0" w:tplc="2638BC48">
      <w:start w:val="1"/>
      <w:numFmt w:val="lowerRoman"/>
      <w:lvlText w:val="%1)"/>
      <w:lvlJc w:val="left"/>
      <w:pPr>
        <w:ind w:left="1080" w:hanging="72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99142E"/>
    <w:multiLevelType w:val="multilevel"/>
    <w:tmpl w:val="60EEDE2E"/>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5AD4588"/>
    <w:multiLevelType w:val="multilevel"/>
    <w:tmpl w:val="B2B20B30"/>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5">
    <w:nsid w:val="28B0291C"/>
    <w:multiLevelType w:val="hybridMultilevel"/>
    <w:tmpl w:val="44829E72"/>
    <w:lvl w:ilvl="0" w:tplc="E9CE3CD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6">
    <w:nsid w:val="32A777A9"/>
    <w:multiLevelType w:val="hybridMultilevel"/>
    <w:tmpl w:val="C79067C0"/>
    <w:lvl w:ilvl="0" w:tplc="E9CE3CD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8">
    <w:nsid w:val="3CA67513"/>
    <w:multiLevelType w:val="multilevel"/>
    <w:tmpl w:val="83C82270"/>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EB0307F"/>
    <w:multiLevelType w:val="hybridMultilevel"/>
    <w:tmpl w:val="C79067C0"/>
    <w:lvl w:ilvl="0" w:tplc="E9CE3CD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0">
    <w:nsid w:val="4CAA62B8"/>
    <w:multiLevelType w:val="hybridMultilevel"/>
    <w:tmpl w:val="D5FA938A"/>
    <w:lvl w:ilvl="0" w:tplc="388A5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947402"/>
    <w:multiLevelType w:val="multilevel"/>
    <w:tmpl w:val="44829E72"/>
    <w:lvl w:ilvl="0">
      <w:start w:val="1"/>
      <w:numFmt w:val="decimal"/>
      <w:lvlText w:val="%1."/>
      <w:lvlJc w:val="left"/>
      <w:pPr>
        <w:ind w:left="1035" w:hanging="360"/>
      </w:pPr>
      <w:rPr>
        <w:rFonts w:hint="default"/>
        <w:b w:val="0"/>
        <w:color w:val="auto"/>
      </w:rPr>
    </w:lvl>
    <w:lvl w:ilvl="1">
      <w:start w:val="1"/>
      <w:numFmt w:val="lowerLetter"/>
      <w:lvlText w:val="%2."/>
      <w:lvlJc w:val="left"/>
      <w:pPr>
        <w:ind w:left="1755" w:hanging="360"/>
      </w:pPr>
    </w:lvl>
    <w:lvl w:ilvl="2">
      <w:start w:val="1"/>
      <w:numFmt w:val="lowerRoman"/>
      <w:lvlText w:val="%3."/>
      <w:lvlJc w:val="right"/>
      <w:pPr>
        <w:ind w:left="2475" w:hanging="180"/>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22">
    <w:nsid w:val="52A66A9D"/>
    <w:multiLevelType w:val="multilevel"/>
    <w:tmpl w:val="24787CB4"/>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nsid w:val="608D5E32"/>
    <w:multiLevelType w:val="hybridMultilevel"/>
    <w:tmpl w:val="0A5238C6"/>
    <w:lvl w:ilvl="0" w:tplc="496873A6">
      <w:start w:val="2"/>
      <w:numFmt w:val="upperRoman"/>
      <w:lvlText w:val="%1."/>
      <w:lvlJc w:val="left"/>
      <w:pPr>
        <w:ind w:left="1395" w:hanging="720"/>
      </w:pPr>
      <w:rPr>
        <w:rFonts w:hint="default"/>
      </w:rPr>
    </w:lvl>
    <w:lvl w:ilvl="1" w:tplc="040C0019" w:tentative="1">
      <w:start w:val="1"/>
      <w:numFmt w:val="lowerLetter"/>
      <w:lvlText w:val="%2."/>
      <w:lvlJc w:val="left"/>
      <w:pPr>
        <w:ind w:left="1755" w:hanging="360"/>
      </w:pPr>
    </w:lvl>
    <w:lvl w:ilvl="2" w:tplc="040C001B" w:tentative="1">
      <w:start w:val="1"/>
      <w:numFmt w:val="lowerRoman"/>
      <w:lvlText w:val="%3."/>
      <w:lvlJc w:val="right"/>
      <w:pPr>
        <w:ind w:left="2475" w:hanging="180"/>
      </w:pPr>
    </w:lvl>
    <w:lvl w:ilvl="3" w:tplc="040C000F" w:tentative="1">
      <w:start w:val="1"/>
      <w:numFmt w:val="decimal"/>
      <w:lvlText w:val="%4."/>
      <w:lvlJc w:val="left"/>
      <w:pPr>
        <w:ind w:left="3195" w:hanging="360"/>
      </w:pPr>
    </w:lvl>
    <w:lvl w:ilvl="4" w:tplc="040C0019" w:tentative="1">
      <w:start w:val="1"/>
      <w:numFmt w:val="lowerLetter"/>
      <w:lvlText w:val="%5."/>
      <w:lvlJc w:val="left"/>
      <w:pPr>
        <w:ind w:left="3915" w:hanging="360"/>
      </w:pPr>
    </w:lvl>
    <w:lvl w:ilvl="5" w:tplc="040C001B" w:tentative="1">
      <w:start w:val="1"/>
      <w:numFmt w:val="lowerRoman"/>
      <w:lvlText w:val="%6."/>
      <w:lvlJc w:val="right"/>
      <w:pPr>
        <w:ind w:left="4635" w:hanging="180"/>
      </w:pPr>
    </w:lvl>
    <w:lvl w:ilvl="6" w:tplc="040C000F" w:tentative="1">
      <w:start w:val="1"/>
      <w:numFmt w:val="decimal"/>
      <w:lvlText w:val="%7."/>
      <w:lvlJc w:val="left"/>
      <w:pPr>
        <w:ind w:left="5355" w:hanging="360"/>
      </w:pPr>
    </w:lvl>
    <w:lvl w:ilvl="7" w:tplc="040C0019" w:tentative="1">
      <w:start w:val="1"/>
      <w:numFmt w:val="lowerLetter"/>
      <w:lvlText w:val="%8."/>
      <w:lvlJc w:val="left"/>
      <w:pPr>
        <w:ind w:left="6075" w:hanging="360"/>
      </w:pPr>
    </w:lvl>
    <w:lvl w:ilvl="8" w:tplc="040C001B" w:tentative="1">
      <w:start w:val="1"/>
      <w:numFmt w:val="lowerRoman"/>
      <w:lvlText w:val="%9."/>
      <w:lvlJc w:val="right"/>
      <w:pPr>
        <w:ind w:left="6795" w:hanging="180"/>
      </w:pPr>
    </w:lvl>
  </w:abstractNum>
  <w:abstractNum w:abstractNumId="24">
    <w:nsid w:val="61181650"/>
    <w:multiLevelType w:val="hybridMultilevel"/>
    <w:tmpl w:val="83140560"/>
    <w:lvl w:ilvl="0" w:tplc="163A2DEA">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2291BF8"/>
    <w:multiLevelType w:val="multilevel"/>
    <w:tmpl w:val="24787CB4"/>
    <w:numStyleLink w:val="Normallist"/>
  </w:abstractNum>
  <w:abstractNum w:abstractNumId="26">
    <w:nsid w:val="64E74E15"/>
    <w:multiLevelType w:val="hybridMultilevel"/>
    <w:tmpl w:val="190AFD18"/>
    <w:lvl w:ilvl="0" w:tplc="312E3E8E">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27">
    <w:nsid w:val="653163D0"/>
    <w:multiLevelType w:val="multilevel"/>
    <w:tmpl w:val="83140560"/>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5494EB6"/>
    <w:multiLevelType w:val="hybridMultilevel"/>
    <w:tmpl w:val="60EEDE2E"/>
    <w:lvl w:ilvl="0" w:tplc="E9CE3CDA">
      <w:start w:val="1"/>
      <w:numFmt w:val="decimal"/>
      <w:lvlText w:val="%1."/>
      <w:lvlJc w:val="left"/>
      <w:pPr>
        <w:ind w:left="1035"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B46FC5"/>
    <w:multiLevelType w:val="hybridMultilevel"/>
    <w:tmpl w:val="6FD6D70E"/>
    <w:lvl w:ilvl="0" w:tplc="585C15FE">
      <w:start w:val="1"/>
      <w:numFmt w:val="decimal"/>
      <w:lvlText w:val="%1."/>
      <w:lvlJc w:val="left"/>
      <w:pPr>
        <w:ind w:left="1035"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CDD7220"/>
    <w:multiLevelType w:val="multilevel"/>
    <w:tmpl w:val="6FD6D70E"/>
    <w:lvl w:ilvl="0">
      <w:start w:val="1"/>
      <w:numFmt w:val="decimal"/>
      <w:lvlText w:val="%1."/>
      <w:lvlJc w:val="left"/>
      <w:pPr>
        <w:ind w:left="1035" w:hanging="360"/>
      </w:pPr>
      <w:rPr>
        <w:rFonts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14"/>
  </w:num>
  <w:num w:numId="3">
    <w:abstractNumId w:val="17"/>
  </w:num>
  <w:num w:numId="4">
    <w:abstractNumId w:val="25"/>
    <w:lvlOverride w:ilvl="0">
      <w:lvl w:ilvl="0">
        <w:start w:val="1"/>
        <w:numFmt w:val="decimal"/>
        <w:pStyle w:val="Normalnumber"/>
        <w:lvlText w:val="%1."/>
        <w:lvlJc w:val="left"/>
        <w:pPr>
          <w:ind w:left="1607" w:hanging="360"/>
        </w:pPr>
        <w:rPr>
          <w:rFonts w:hint="default"/>
          <w:b w:val="0"/>
        </w:rPr>
      </w:lvl>
    </w:lvlOverride>
  </w:num>
  <w:num w:numId="5">
    <w:abstractNumId w:val="26"/>
  </w:num>
  <w:num w:numId="6">
    <w:abstractNumId w:val="16"/>
  </w:num>
  <w:num w:numId="7">
    <w:abstractNumId w:val="15"/>
  </w:num>
  <w:num w:numId="8">
    <w:abstractNumId w:val="24"/>
  </w:num>
  <w:num w:numId="9">
    <w:abstractNumId w:val="29"/>
  </w:num>
  <w:num w:numId="10">
    <w:abstractNumId w:val="28"/>
  </w:num>
  <w:num w:numId="11">
    <w:abstractNumId w:val="30"/>
  </w:num>
  <w:num w:numId="12">
    <w:abstractNumId w:val="21"/>
  </w:num>
  <w:num w:numId="13">
    <w:abstractNumId w:val="13"/>
  </w:num>
  <w:num w:numId="14">
    <w:abstractNumId w:val="18"/>
  </w:num>
  <w:num w:numId="15">
    <w:abstractNumId w:val="12"/>
  </w:num>
  <w:num w:numId="16">
    <w:abstractNumId w:val="27"/>
  </w:num>
  <w:num w:numId="17">
    <w:abstractNumId w:val="19"/>
  </w:num>
  <w:num w:numId="18">
    <w:abstractNumId w:val="11"/>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20"/>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25"/>
  </w:num>
  <w:num w:numId="40">
    <w:abstractNumId w:val="25"/>
  </w:num>
  <w:num w:numId="41">
    <w:abstractNumId w:val="25"/>
  </w:num>
  <w:num w:numId="42">
    <w:abstractNumId w:val="25"/>
  </w:num>
  <w:num w:numId="43">
    <w:abstractNumId w:val="25"/>
  </w:num>
  <w:num w:numId="44">
    <w:abstractNumId w:val="25"/>
  </w:num>
  <w:num w:numId="45">
    <w:abstractNumId w:val="25"/>
  </w:num>
  <w:num w:numId="46">
    <w:abstractNumId w:val="25"/>
  </w:num>
  <w:num w:numId="47">
    <w:abstractNumId w:val="25"/>
  </w:num>
  <w:num w:numId="48">
    <w:abstractNumId w:val="25"/>
    <w:lvlOverride w:ilvl="0">
      <w:lvl w:ilvl="0">
        <w:start w:val="1"/>
        <w:numFmt w:val="decimal"/>
        <w:pStyle w:val="Normalnumber"/>
        <w:lvlText w:val="%1."/>
        <w:lvlJc w:val="left"/>
        <w:pPr>
          <w:ind w:left="1607" w:hanging="360"/>
        </w:pPr>
        <w:rPr>
          <w:rFonts w:hint="default"/>
          <w:b w:val="0"/>
        </w:rPr>
      </w:lvl>
    </w:lvlOverride>
  </w:num>
  <w:num w:numId="49">
    <w:abstractNumId w:val="25"/>
    <w:lvlOverride w:ilvl="0">
      <w:lvl w:ilvl="0">
        <w:start w:val="1"/>
        <w:numFmt w:val="decimal"/>
        <w:pStyle w:val="Normalnumber"/>
        <w:lvlText w:val="%1."/>
        <w:lvlJc w:val="left"/>
        <w:pPr>
          <w:ind w:left="1607" w:hanging="360"/>
        </w:pPr>
        <w:rPr>
          <w:rFonts w:hint="default"/>
          <w:b w:val="0"/>
        </w:rPr>
      </w:lvl>
    </w:lvlOverride>
  </w:num>
  <w:num w:numId="50">
    <w:abstractNumId w:val="25"/>
    <w:lvlOverride w:ilvl="0">
      <w:lvl w:ilvl="0">
        <w:start w:val="1"/>
        <w:numFmt w:val="decimal"/>
        <w:pStyle w:val="Normalnumber"/>
        <w:lvlText w:val="%1."/>
        <w:lvlJc w:val="left"/>
        <w:pPr>
          <w:ind w:left="1607" w:hanging="360"/>
        </w:pPr>
        <w:rPr>
          <w:rFonts w:hint="default"/>
          <w:b w:val="0"/>
        </w:rPr>
      </w:lvl>
    </w:lvlOverride>
  </w:num>
  <w:num w:numId="51">
    <w:abstractNumId w:val="25"/>
    <w:lvlOverride w:ilvl="0">
      <w:lvl w:ilvl="0">
        <w:start w:val="1"/>
        <w:numFmt w:val="decimal"/>
        <w:pStyle w:val="Normalnumber"/>
        <w:lvlText w:val="%1."/>
        <w:lvlJc w:val="left"/>
        <w:pPr>
          <w:ind w:left="1607" w:hanging="360"/>
        </w:pPr>
        <w:rPr>
          <w:rFonts w:hint="default"/>
          <w:b w:val="0"/>
        </w:rPr>
      </w:lvl>
    </w:lvlOverride>
  </w:num>
  <w:num w:numId="52">
    <w:abstractNumId w:val="25"/>
    <w:lvlOverride w:ilvl="0">
      <w:lvl w:ilvl="0">
        <w:start w:val="1"/>
        <w:numFmt w:val="decimal"/>
        <w:pStyle w:val="Normalnumber"/>
        <w:lvlText w:val="%1."/>
        <w:lvlJc w:val="left"/>
        <w:pPr>
          <w:ind w:left="1607" w:hanging="360"/>
        </w:pPr>
        <w:rPr>
          <w:rFonts w:hint="default"/>
          <w:b w:val="0"/>
        </w:rPr>
      </w:lvl>
    </w:lvlOverride>
  </w:num>
  <w:num w:numId="53">
    <w:abstractNumId w:val="25"/>
    <w:lvlOverride w:ilvl="0">
      <w:lvl w:ilvl="0">
        <w:start w:val="1"/>
        <w:numFmt w:val="decimal"/>
        <w:pStyle w:val="Normalnumber"/>
        <w:lvlText w:val="%1."/>
        <w:lvlJc w:val="left"/>
        <w:pPr>
          <w:ind w:left="1607" w:hanging="360"/>
        </w:pPr>
        <w:rPr>
          <w:rFonts w:hint="default"/>
          <w:b w:val="0"/>
        </w:rPr>
      </w:lvl>
    </w:lvlOverride>
  </w:num>
  <w:num w:numId="54">
    <w:abstractNumId w:val="25"/>
    <w:lvlOverride w:ilvl="0">
      <w:lvl w:ilvl="0">
        <w:start w:val="1"/>
        <w:numFmt w:val="decimal"/>
        <w:pStyle w:val="Normalnumber"/>
        <w:lvlText w:val="%1."/>
        <w:lvlJc w:val="left"/>
        <w:pPr>
          <w:ind w:left="1607" w:hanging="360"/>
        </w:pPr>
        <w:rPr>
          <w:rFonts w:hint="default"/>
          <w:b w:val="0"/>
        </w:rPr>
      </w:lvl>
    </w:lvlOverride>
  </w:num>
  <w:num w:numId="55">
    <w:abstractNumId w:val="25"/>
    <w:lvlOverride w:ilvl="0">
      <w:lvl w:ilvl="0">
        <w:start w:val="1"/>
        <w:numFmt w:val="decimal"/>
        <w:pStyle w:val="Normalnumber"/>
        <w:lvlText w:val="%1."/>
        <w:lvlJc w:val="left"/>
        <w:pPr>
          <w:ind w:left="1607" w:hanging="360"/>
        </w:pPr>
        <w:rPr>
          <w:rFonts w:hint="default"/>
          <w:b w:val="0"/>
        </w:rPr>
      </w:lvl>
    </w:lvlOverride>
  </w:num>
  <w:num w:numId="56">
    <w:abstractNumId w:val="25"/>
    <w:lvlOverride w:ilvl="0">
      <w:lvl w:ilvl="0">
        <w:start w:val="1"/>
        <w:numFmt w:val="decimal"/>
        <w:pStyle w:val="Normalnumber"/>
        <w:lvlText w:val="%1."/>
        <w:lvlJc w:val="left"/>
        <w:pPr>
          <w:ind w:left="1607" w:hanging="360"/>
        </w:pPr>
        <w:rPr>
          <w:rFonts w:hint="default"/>
          <w:b w:val="0"/>
        </w:rPr>
      </w:lvl>
    </w:lvlOverride>
  </w:num>
  <w:num w:numId="57">
    <w:abstractNumId w:val="25"/>
    <w:lvlOverride w:ilvl="0">
      <w:lvl w:ilvl="0">
        <w:start w:val="1"/>
        <w:numFmt w:val="decimal"/>
        <w:pStyle w:val="Normalnumber"/>
        <w:lvlText w:val="%1."/>
        <w:lvlJc w:val="left"/>
        <w:pPr>
          <w:ind w:left="1607" w:hanging="360"/>
        </w:pPr>
        <w:rPr>
          <w:rFonts w:hint="default"/>
          <w:b w:val="0"/>
        </w:rPr>
      </w:lvl>
    </w:lvlOverride>
  </w:num>
  <w:num w:numId="58">
    <w:abstractNumId w:val="25"/>
    <w:lvlOverride w:ilvl="0">
      <w:lvl w:ilvl="0">
        <w:start w:val="1"/>
        <w:numFmt w:val="decimal"/>
        <w:pStyle w:val="Normalnumber"/>
        <w:lvlText w:val="%1."/>
        <w:lvlJc w:val="left"/>
        <w:pPr>
          <w:ind w:left="1607" w:hanging="360"/>
        </w:pPr>
        <w:rPr>
          <w:rFonts w:hint="default"/>
          <w:b w:val="0"/>
        </w:rPr>
      </w:lvl>
    </w:lvlOverride>
  </w:num>
  <w:num w:numId="59">
    <w:abstractNumId w:val="25"/>
    <w:lvlOverride w:ilvl="0">
      <w:lvl w:ilvl="0">
        <w:start w:val="1"/>
        <w:numFmt w:val="decimal"/>
        <w:pStyle w:val="Normalnumber"/>
        <w:lvlText w:val="%1."/>
        <w:lvlJc w:val="left"/>
        <w:pPr>
          <w:ind w:left="1607" w:hanging="360"/>
        </w:pPr>
        <w:rPr>
          <w:rFonts w:hint="default"/>
          <w:b w:val="0"/>
        </w:rPr>
      </w:lvl>
    </w:lvlOverride>
  </w:num>
  <w:num w:numId="60">
    <w:abstractNumId w:val="25"/>
    <w:lvlOverride w:ilvl="0">
      <w:lvl w:ilvl="0">
        <w:start w:val="1"/>
        <w:numFmt w:val="decimal"/>
        <w:pStyle w:val="Normalnumber"/>
        <w:lvlText w:val="%1."/>
        <w:lvlJc w:val="left"/>
        <w:pPr>
          <w:ind w:left="1607" w:hanging="360"/>
        </w:pPr>
        <w:rPr>
          <w:rFonts w:hint="default"/>
          <w:b w:val="0"/>
        </w:rPr>
      </w:lvl>
    </w:lvlOverride>
  </w:num>
  <w:num w:numId="61">
    <w:abstractNumId w:val="25"/>
    <w:lvlOverride w:ilvl="0">
      <w:lvl w:ilvl="0">
        <w:start w:val="1"/>
        <w:numFmt w:val="decimal"/>
        <w:pStyle w:val="Normalnumber"/>
        <w:lvlText w:val="%1."/>
        <w:lvlJc w:val="left"/>
        <w:pPr>
          <w:ind w:left="1607" w:hanging="360"/>
        </w:pPr>
        <w:rPr>
          <w:rFonts w:hint="default"/>
          <w:b w:val="0"/>
        </w:rPr>
      </w:lvl>
    </w:lvlOverride>
  </w:num>
  <w:num w:numId="62">
    <w:abstractNumId w:val="25"/>
    <w:lvlOverride w:ilvl="0">
      <w:lvl w:ilvl="0">
        <w:start w:val="1"/>
        <w:numFmt w:val="decimal"/>
        <w:pStyle w:val="Normalnumber"/>
        <w:lvlText w:val="%1."/>
        <w:lvlJc w:val="left"/>
        <w:pPr>
          <w:ind w:left="1607" w:hanging="360"/>
        </w:pPr>
        <w:rPr>
          <w:rFonts w:hint="default"/>
          <w:b w:val="0"/>
        </w:rPr>
      </w:lvl>
    </w:lvlOverride>
  </w:num>
  <w:num w:numId="63">
    <w:abstractNumId w:val="25"/>
    <w:lvlOverride w:ilvl="0">
      <w:lvl w:ilvl="0">
        <w:start w:val="1"/>
        <w:numFmt w:val="decimal"/>
        <w:pStyle w:val="Normalnumber"/>
        <w:lvlText w:val="%1."/>
        <w:lvlJc w:val="left"/>
        <w:pPr>
          <w:ind w:left="1607" w:hanging="360"/>
        </w:pPr>
        <w:rPr>
          <w:rFonts w:hint="default"/>
          <w:b w:val="0"/>
        </w:rPr>
      </w:lvl>
    </w:lvlOverride>
  </w:num>
  <w:num w:numId="64">
    <w:abstractNumId w:val="25"/>
    <w:lvlOverride w:ilvl="0">
      <w:lvl w:ilvl="0">
        <w:start w:val="1"/>
        <w:numFmt w:val="decimal"/>
        <w:pStyle w:val="Normalnumber"/>
        <w:lvlText w:val="%1."/>
        <w:lvlJc w:val="left"/>
        <w:pPr>
          <w:ind w:left="1607" w:hanging="360"/>
        </w:pPr>
        <w:rPr>
          <w:rFonts w:hint="default"/>
          <w:b w:val="0"/>
        </w:rPr>
      </w:lvl>
    </w:lvlOverride>
  </w:num>
  <w:num w:numId="65">
    <w:abstractNumId w:val="25"/>
    <w:lvlOverride w:ilvl="0">
      <w:lvl w:ilvl="0">
        <w:start w:val="1"/>
        <w:numFmt w:val="decimal"/>
        <w:pStyle w:val="Normalnumber"/>
        <w:lvlText w:val="%1."/>
        <w:lvlJc w:val="left"/>
        <w:pPr>
          <w:ind w:left="1607" w:hanging="360"/>
        </w:pPr>
        <w:rPr>
          <w:rFonts w:hint="default"/>
          <w:b w:val="0"/>
        </w:rPr>
      </w:lvl>
    </w:lvlOverride>
  </w:num>
  <w:num w:numId="66">
    <w:abstractNumId w:val="25"/>
    <w:lvlOverride w:ilvl="0">
      <w:lvl w:ilvl="0">
        <w:start w:val="1"/>
        <w:numFmt w:val="decimal"/>
        <w:pStyle w:val="Normalnumber"/>
        <w:lvlText w:val="%1."/>
        <w:lvlJc w:val="left"/>
        <w:pPr>
          <w:ind w:left="1607" w:hanging="360"/>
        </w:pPr>
        <w:rPr>
          <w:rFonts w:hint="default"/>
          <w:b w:val="0"/>
        </w:rPr>
      </w:lvl>
    </w:lvlOverride>
  </w:num>
  <w:num w:numId="67">
    <w:abstractNumId w:val="25"/>
    <w:lvlOverride w:ilvl="0">
      <w:lvl w:ilvl="0">
        <w:start w:val="1"/>
        <w:numFmt w:val="decimal"/>
        <w:pStyle w:val="Normalnumber"/>
        <w:lvlText w:val="%1."/>
        <w:lvlJc w:val="left"/>
        <w:pPr>
          <w:ind w:left="1607" w:hanging="360"/>
        </w:pPr>
        <w:rPr>
          <w:rFonts w:hint="default"/>
          <w:b w:val="0"/>
        </w:rPr>
      </w:lvl>
    </w:lvlOverride>
  </w:num>
  <w:num w:numId="68">
    <w:abstractNumId w:val="25"/>
    <w:lvlOverride w:ilvl="0">
      <w:lvl w:ilvl="0">
        <w:start w:val="1"/>
        <w:numFmt w:val="decimal"/>
        <w:pStyle w:val="Normalnumber"/>
        <w:lvlText w:val="%1."/>
        <w:lvlJc w:val="left"/>
        <w:pPr>
          <w:ind w:left="1607" w:hanging="360"/>
        </w:pPr>
        <w:rPr>
          <w:rFonts w:hint="default"/>
          <w:b w:val="0"/>
        </w:rPr>
      </w:lvl>
    </w:lvlOverride>
  </w:num>
  <w:num w:numId="69">
    <w:abstractNumId w:val="25"/>
    <w:lvlOverride w:ilvl="0">
      <w:lvl w:ilvl="0">
        <w:start w:val="1"/>
        <w:numFmt w:val="decimal"/>
        <w:pStyle w:val="Normalnumber"/>
        <w:lvlText w:val="%1."/>
        <w:lvlJc w:val="left"/>
        <w:pPr>
          <w:ind w:left="1607" w:hanging="360"/>
        </w:pPr>
        <w:rPr>
          <w:rFonts w:hint="default"/>
          <w:b w:val="0"/>
        </w:rPr>
      </w:lvl>
    </w:lvlOverride>
  </w:num>
  <w:num w:numId="70">
    <w:abstractNumId w:val="25"/>
    <w:lvlOverride w:ilvl="0">
      <w:lvl w:ilvl="0">
        <w:start w:val="1"/>
        <w:numFmt w:val="decimal"/>
        <w:pStyle w:val="Normalnumber"/>
        <w:lvlText w:val="%1."/>
        <w:lvlJc w:val="left"/>
        <w:pPr>
          <w:ind w:left="1607" w:hanging="360"/>
        </w:pPr>
        <w:rPr>
          <w:rFonts w:hint="default"/>
          <w:b w:val="0"/>
        </w:rPr>
      </w:lvl>
    </w:lvlOverride>
  </w:num>
  <w:num w:numId="71">
    <w:abstractNumId w:val="25"/>
    <w:lvlOverride w:ilvl="0">
      <w:lvl w:ilvl="0">
        <w:start w:val="1"/>
        <w:numFmt w:val="decimal"/>
        <w:pStyle w:val="Normalnumber"/>
        <w:lvlText w:val="%1."/>
        <w:lvlJc w:val="left"/>
        <w:pPr>
          <w:ind w:left="1607" w:hanging="360"/>
        </w:pPr>
        <w:rPr>
          <w:rFonts w:hint="default"/>
          <w:b w:val="0"/>
        </w:rPr>
      </w:lvl>
    </w:lvlOverride>
  </w:num>
  <w:num w:numId="72">
    <w:abstractNumId w:val="25"/>
    <w:lvlOverride w:ilvl="0">
      <w:lvl w:ilvl="0">
        <w:start w:val="1"/>
        <w:numFmt w:val="decimal"/>
        <w:pStyle w:val="Normalnumber"/>
        <w:lvlText w:val="%1."/>
        <w:lvlJc w:val="left"/>
        <w:pPr>
          <w:ind w:left="1607" w:hanging="360"/>
        </w:pPr>
        <w:rPr>
          <w:rFonts w:hint="default"/>
          <w:b w:val="0"/>
        </w:rPr>
      </w:lvl>
    </w:lvlOverride>
  </w:num>
  <w:num w:numId="73">
    <w:abstractNumId w:val="25"/>
    <w:lvlOverride w:ilvl="0">
      <w:lvl w:ilvl="0">
        <w:start w:val="1"/>
        <w:numFmt w:val="decimal"/>
        <w:pStyle w:val="Normalnumber"/>
        <w:lvlText w:val="%1."/>
        <w:lvlJc w:val="left"/>
        <w:pPr>
          <w:ind w:left="1607" w:hanging="360"/>
        </w:pPr>
        <w:rPr>
          <w:rFonts w:hint="default"/>
          <w:b w:val="0"/>
        </w:rPr>
      </w:lvl>
    </w:lvlOverride>
  </w:num>
  <w:num w:numId="74">
    <w:abstractNumId w:val="25"/>
    <w:lvlOverride w:ilvl="0">
      <w:lvl w:ilvl="0">
        <w:start w:val="1"/>
        <w:numFmt w:val="decimal"/>
        <w:pStyle w:val="Normalnumber"/>
        <w:lvlText w:val="%1."/>
        <w:lvlJc w:val="left"/>
        <w:pPr>
          <w:ind w:left="1607" w:hanging="360"/>
        </w:pPr>
        <w:rPr>
          <w:rFonts w:hint="default"/>
          <w:b w:val="0"/>
        </w:rPr>
      </w:lvl>
    </w:lvlOverride>
  </w:num>
  <w:num w:numId="75">
    <w:abstractNumId w:val="25"/>
    <w:lvlOverride w:ilvl="0">
      <w:lvl w:ilvl="0">
        <w:start w:val="1"/>
        <w:numFmt w:val="decimal"/>
        <w:pStyle w:val="Normalnumber"/>
        <w:lvlText w:val="%1."/>
        <w:lvlJc w:val="left"/>
        <w:pPr>
          <w:ind w:left="1607" w:hanging="360"/>
        </w:pPr>
        <w:rPr>
          <w:rFonts w:hint="default"/>
          <w:b w:val="0"/>
        </w:rPr>
      </w:lvl>
    </w:lvlOverride>
  </w:num>
  <w:num w:numId="76">
    <w:abstractNumId w:val="25"/>
    <w:lvlOverride w:ilvl="0">
      <w:lvl w:ilvl="0">
        <w:start w:val="1"/>
        <w:numFmt w:val="decimal"/>
        <w:pStyle w:val="Normalnumber"/>
        <w:lvlText w:val="%1."/>
        <w:lvlJc w:val="left"/>
        <w:pPr>
          <w:ind w:left="1607" w:hanging="360"/>
        </w:pPr>
        <w:rPr>
          <w:rFonts w:hint="default"/>
          <w:b w:val="0"/>
        </w:rPr>
      </w:lvl>
    </w:lvlOverride>
  </w:num>
  <w:num w:numId="77">
    <w:abstractNumId w:val="25"/>
    <w:lvlOverride w:ilvl="0">
      <w:lvl w:ilvl="0">
        <w:start w:val="1"/>
        <w:numFmt w:val="decimal"/>
        <w:pStyle w:val="Normalnumber"/>
        <w:lvlText w:val="%1."/>
        <w:lvlJc w:val="left"/>
        <w:pPr>
          <w:ind w:left="1607" w:hanging="360"/>
        </w:pPr>
        <w:rPr>
          <w:rFonts w:hint="default"/>
          <w:b w:val="0"/>
        </w:rPr>
      </w:lvl>
    </w:lvlOverride>
  </w:num>
  <w:num w:numId="78">
    <w:abstractNumId w:val="25"/>
    <w:lvlOverride w:ilvl="0">
      <w:lvl w:ilvl="0">
        <w:start w:val="1"/>
        <w:numFmt w:val="decimal"/>
        <w:pStyle w:val="Normalnumber"/>
        <w:lvlText w:val="%1."/>
        <w:lvlJc w:val="left"/>
        <w:pPr>
          <w:ind w:left="1607" w:hanging="360"/>
        </w:pPr>
        <w:rPr>
          <w:rFonts w:hint="default"/>
          <w:b w:val="0"/>
        </w:rPr>
      </w:lvl>
    </w:lvlOverride>
  </w:num>
  <w:num w:numId="79">
    <w:abstractNumId w:val="25"/>
    <w:lvlOverride w:ilvl="0">
      <w:lvl w:ilvl="0">
        <w:start w:val="1"/>
        <w:numFmt w:val="decimal"/>
        <w:pStyle w:val="Normalnumber"/>
        <w:lvlText w:val="%1."/>
        <w:lvlJc w:val="left"/>
        <w:pPr>
          <w:ind w:left="1607" w:hanging="360"/>
        </w:pPr>
        <w:rPr>
          <w:rFonts w:hint="default"/>
          <w:b w:val="0"/>
        </w:rPr>
      </w:lvl>
    </w:lvlOverride>
  </w:num>
  <w:num w:numId="80">
    <w:abstractNumId w:val="25"/>
    <w:lvlOverride w:ilvl="0">
      <w:lvl w:ilvl="0">
        <w:start w:val="1"/>
        <w:numFmt w:val="decimal"/>
        <w:pStyle w:val="Normalnumber"/>
        <w:lvlText w:val="%1."/>
        <w:lvlJc w:val="left"/>
        <w:pPr>
          <w:ind w:left="1607" w:hanging="360"/>
        </w:pPr>
        <w:rPr>
          <w:rFonts w:hint="default"/>
          <w:b w:val="0"/>
        </w:rPr>
      </w:lvl>
    </w:lvlOverride>
  </w:num>
  <w:num w:numId="81">
    <w:abstractNumId w:val="25"/>
    <w:lvlOverride w:ilvl="0">
      <w:lvl w:ilvl="0">
        <w:start w:val="1"/>
        <w:numFmt w:val="decimal"/>
        <w:pStyle w:val="Normalnumber"/>
        <w:lvlText w:val="%1."/>
        <w:lvlJc w:val="left"/>
        <w:pPr>
          <w:ind w:left="1607" w:hanging="360"/>
        </w:pPr>
        <w:rPr>
          <w:rFonts w:hint="default"/>
          <w:b w:val="0"/>
        </w:rPr>
      </w:lvl>
    </w:lvlOverride>
  </w:num>
  <w:num w:numId="82">
    <w:abstractNumId w:val="25"/>
    <w:lvlOverride w:ilvl="0">
      <w:lvl w:ilvl="0">
        <w:start w:val="1"/>
        <w:numFmt w:val="decimal"/>
        <w:pStyle w:val="Normalnumber"/>
        <w:lvlText w:val="%1."/>
        <w:lvlJc w:val="left"/>
        <w:pPr>
          <w:ind w:left="1607" w:hanging="360"/>
        </w:pPr>
        <w:rPr>
          <w:rFonts w:hint="default"/>
          <w:b w:val="0"/>
        </w:rPr>
      </w:lvl>
    </w:lvlOverride>
  </w:num>
  <w:num w:numId="83">
    <w:abstractNumId w:val="25"/>
    <w:lvlOverride w:ilvl="0">
      <w:lvl w:ilvl="0">
        <w:start w:val="1"/>
        <w:numFmt w:val="decimal"/>
        <w:pStyle w:val="Normalnumber"/>
        <w:lvlText w:val="%1."/>
        <w:lvlJc w:val="left"/>
        <w:pPr>
          <w:ind w:left="1607" w:hanging="360"/>
        </w:pPr>
        <w:rPr>
          <w:rFonts w:hint="default"/>
          <w:b w:val="0"/>
        </w:rPr>
      </w:lvl>
    </w:lvlOverride>
  </w:num>
  <w:num w:numId="84">
    <w:abstractNumId w:val="25"/>
    <w:lvlOverride w:ilvl="0">
      <w:lvl w:ilvl="0">
        <w:start w:val="1"/>
        <w:numFmt w:val="decimal"/>
        <w:pStyle w:val="Normalnumber"/>
        <w:lvlText w:val="%1."/>
        <w:lvlJc w:val="left"/>
        <w:pPr>
          <w:ind w:left="1607" w:hanging="360"/>
        </w:pPr>
        <w:rPr>
          <w:rFonts w:hint="default"/>
          <w:b w:val="0"/>
        </w:rPr>
      </w:lvl>
    </w:lvlOverride>
  </w:num>
  <w:num w:numId="85">
    <w:abstractNumId w:val="25"/>
    <w:lvlOverride w:ilvl="0">
      <w:lvl w:ilvl="0">
        <w:start w:val="1"/>
        <w:numFmt w:val="decimal"/>
        <w:pStyle w:val="Normalnumber"/>
        <w:lvlText w:val="%1."/>
        <w:lvlJc w:val="left"/>
        <w:pPr>
          <w:ind w:left="1607" w:hanging="360"/>
        </w:pPr>
        <w:rPr>
          <w:rFonts w:hint="default"/>
          <w:b w:val="0"/>
        </w:rPr>
      </w:lvl>
    </w:lvlOverride>
  </w:num>
  <w:num w:numId="86">
    <w:abstractNumId w:val="25"/>
    <w:lvlOverride w:ilvl="0">
      <w:lvl w:ilvl="0">
        <w:start w:val="1"/>
        <w:numFmt w:val="decimal"/>
        <w:pStyle w:val="Normalnumber"/>
        <w:lvlText w:val="%1."/>
        <w:lvlJc w:val="left"/>
        <w:pPr>
          <w:ind w:left="1607" w:hanging="360"/>
        </w:pPr>
        <w:rPr>
          <w:rFonts w:hint="default"/>
          <w:b w:val="0"/>
        </w:rPr>
      </w:lvl>
    </w:lvlOverride>
  </w:num>
  <w:num w:numId="87">
    <w:abstractNumId w:val="25"/>
    <w:lvlOverride w:ilvl="0">
      <w:lvl w:ilvl="0">
        <w:start w:val="1"/>
        <w:numFmt w:val="decimal"/>
        <w:pStyle w:val="Normalnumber"/>
        <w:lvlText w:val="%1."/>
        <w:lvlJc w:val="left"/>
        <w:pPr>
          <w:ind w:left="1607" w:hanging="360"/>
        </w:pPr>
        <w:rPr>
          <w:rFonts w:hint="default"/>
          <w:b w:val="0"/>
        </w:rPr>
      </w:lvl>
    </w:lvlOverride>
  </w:num>
  <w:num w:numId="88">
    <w:abstractNumId w:val="25"/>
    <w:lvlOverride w:ilvl="0">
      <w:lvl w:ilvl="0">
        <w:start w:val="1"/>
        <w:numFmt w:val="decimal"/>
        <w:pStyle w:val="Normalnumber"/>
        <w:lvlText w:val="%1."/>
        <w:lvlJc w:val="left"/>
        <w:pPr>
          <w:ind w:left="1607" w:hanging="360"/>
        </w:pPr>
        <w:rPr>
          <w:rFonts w:hint="default"/>
          <w:b w:val="0"/>
        </w:rPr>
      </w:lvl>
    </w:lvlOverride>
  </w:num>
  <w:num w:numId="89">
    <w:abstractNumId w:val="25"/>
    <w:lvlOverride w:ilvl="0">
      <w:lvl w:ilvl="0">
        <w:start w:val="1"/>
        <w:numFmt w:val="decimal"/>
        <w:pStyle w:val="Normalnumber"/>
        <w:lvlText w:val="%1."/>
        <w:lvlJc w:val="left"/>
        <w:pPr>
          <w:ind w:left="1607" w:hanging="360"/>
        </w:pPr>
        <w:rPr>
          <w:rFonts w:hint="default"/>
          <w:b w:val="0"/>
        </w:rPr>
      </w:lvl>
    </w:lvlOverride>
  </w:num>
  <w:num w:numId="90">
    <w:abstractNumId w:val="25"/>
    <w:lvlOverride w:ilvl="0">
      <w:lvl w:ilvl="0">
        <w:start w:val="1"/>
        <w:numFmt w:val="decimal"/>
        <w:pStyle w:val="Normalnumber"/>
        <w:lvlText w:val="%1."/>
        <w:lvlJc w:val="left"/>
        <w:pPr>
          <w:ind w:left="1607" w:hanging="360"/>
        </w:pPr>
        <w:rPr>
          <w:rFonts w:hint="default"/>
          <w:b w:val="0"/>
        </w:rPr>
      </w:lvl>
    </w:lvlOverride>
  </w:num>
  <w:num w:numId="91">
    <w:abstractNumId w:val="25"/>
    <w:lvlOverride w:ilvl="0">
      <w:lvl w:ilvl="0">
        <w:start w:val="1"/>
        <w:numFmt w:val="decimal"/>
        <w:pStyle w:val="Normalnumber"/>
        <w:lvlText w:val="%1."/>
        <w:lvlJc w:val="left"/>
        <w:pPr>
          <w:ind w:left="1607" w:hanging="360"/>
        </w:pPr>
        <w:rPr>
          <w:rFonts w:hint="default"/>
          <w:b w:val="0"/>
        </w:rPr>
      </w:lvl>
    </w:lvlOverride>
  </w:num>
  <w:num w:numId="92">
    <w:abstractNumId w:val="25"/>
    <w:lvlOverride w:ilvl="0">
      <w:lvl w:ilvl="0">
        <w:start w:val="1"/>
        <w:numFmt w:val="decimal"/>
        <w:pStyle w:val="Normalnumber"/>
        <w:lvlText w:val="%1."/>
        <w:lvlJc w:val="left"/>
        <w:pPr>
          <w:ind w:left="1607" w:hanging="360"/>
        </w:pPr>
        <w:rPr>
          <w:rFonts w:hint="default"/>
          <w:b w:val="0"/>
        </w:rPr>
      </w:lvl>
    </w:lvlOverride>
  </w:num>
  <w:num w:numId="93">
    <w:abstractNumId w:val="25"/>
    <w:lvlOverride w:ilvl="0">
      <w:lvl w:ilvl="0">
        <w:start w:val="1"/>
        <w:numFmt w:val="decimal"/>
        <w:pStyle w:val="Normalnumber"/>
        <w:lvlText w:val="%1."/>
        <w:lvlJc w:val="left"/>
        <w:pPr>
          <w:ind w:left="1607" w:hanging="360"/>
        </w:pPr>
        <w:rPr>
          <w:rFonts w:hint="default"/>
          <w:b w:val="0"/>
        </w:rPr>
      </w:lvl>
    </w:lvlOverride>
  </w:num>
  <w:num w:numId="94">
    <w:abstractNumId w:val="25"/>
    <w:lvlOverride w:ilvl="0">
      <w:lvl w:ilvl="0">
        <w:start w:val="1"/>
        <w:numFmt w:val="decimal"/>
        <w:pStyle w:val="Normalnumber"/>
        <w:lvlText w:val="%1."/>
        <w:lvlJc w:val="left"/>
        <w:pPr>
          <w:ind w:left="1607" w:hanging="360"/>
        </w:pPr>
        <w:rPr>
          <w:rFonts w:hint="default"/>
          <w:b w:val="0"/>
        </w:rPr>
      </w:lvl>
    </w:lvlOverride>
  </w:num>
  <w:num w:numId="95">
    <w:abstractNumId w:val="25"/>
    <w:lvlOverride w:ilvl="0">
      <w:lvl w:ilvl="0">
        <w:start w:val="1"/>
        <w:numFmt w:val="decimal"/>
        <w:pStyle w:val="Normalnumber"/>
        <w:lvlText w:val="%1."/>
        <w:lvlJc w:val="left"/>
        <w:pPr>
          <w:ind w:left="1607" w:hanging="360"/>
        </w:pPr>
        <w:rPr>
          <w:rFonts w:hint="default"/>
          <w:b w:val="0"/>
        </w:rPr>
      </w:lvl>
    </w:lvlOverride>
  </w:num>
  <w:num w:numId="96">
    <w:abstractNumId w:val="25"/>
    <w:lvlOverride w:ilvl="0">
      <w:lvl w:ilvl="0">
        <w:start w:val="1"/>
        <w:numFmt w:val="decimal"/>
        <w:pStyle w:val="Normalnumber"/>
        <w:lvlText w:val="%1."/>
        <w:lvlJc w:val="left"/>
        <w:pPr>
          <w:ind w:left="1607" w:hanging="360"/>
        </w:pPr>
        <w:rPr>
          <w:rFonts w:hint="default"/>
          <w:b w:val="0"/>
        </w:rPr>
      </w:lvl>
    </w:lvlOverride>
  </w:num>
  <w:num w:numId="97">
    <w:abstractNumId w:val="25"/>
    <w:lvlOverride w:ilvl="0">
      <w:lvl w:ilvl="0">
        <w:start w:val="1"/>
        <w:numFmt w:val="decimal"/>
        <w:pStyle w:val="Normalnumber"/>
        <w:lvlText w:val="%1."/>
        <w:lvlJc w:val="left"/>
        <w:pPr>
          <w:ind w:left="1607" w:hanging="360"/>
        </w:pPr>
        <w:rPr>
          <w:rFonts w:hint="default"/>
          <w:b w:val="0"/>
        </w:rPr>
      </w:lvl>
    </w:lvlOverride>
  </w:num>
  <w:num w:numId="98">
    <w:abstractNumId w:val="25"/>
    <w:lvlOverride w:ilvl="0">
      <w:lvl w:ilvl="0">
        <w:start w:val="1"/>
        <w:numFmt w:val="decimal"/>
        <w:pStyle w:val="Normalnumber"/>
        <w:lvlText w:val="%1."/>
        <w:lvlJc w:val="left"/>
        <w:pPr>
          <w:ind w:left="1607" w:hanging="360"/>
        </w:pPr>
        <w:rPr>
          <w:rFonts w:hint="default"/>
          <w:b w:val="0"/>
        </w:rPr>
      </w:lvl>
    </w:lvlOverride>
  </w:num>
  <w:num w:numId="99">
    <w:abstractNumId w:val="25"/>
    <w:lvlOverride w:ilvl="0">
      <w:lvl w:ilvl="0">
        <w:start w:val="1"/>
        <w:numFmt w:val="decimal"/>
        <w:pStyle w:val="Normalnumber"/>
        <w:lvlText w:val="%1."/>
        <w:lvlJc w:val="left"/>
        <w:pPr>
          <w:ind w:left="1607" w:hanging="360"/>
        </w:pPr>
        <w:rPr>
          <w:rFonts w:hint="default"/>
          <w:b w:val="0"/>
        </w:rPr>
      </w:lvl>
    </w:lvlOverride>
  </w:num>
  <w:num w:numId="100">
    <w:abstractNumId w:val="25"/>
    <w:lvlOverride w:ilvl="0">
      <w:lvl w:ilvl="0">
        <w:start w:val="1"/>
        <w:numFmt w:val="decimal"/>
        <w:pStyle w:val="Normalnumber"/>
        <w:lvlText w:val="%1."/>
        <w:lvlJc w:val="left"/>
        <w:pPr>
          <w:ind w:left="1607" w:hanging="360"/>
        </w:pPr>
        <w:rPr>
          <w:rFonts w:hint="default"/>
          <w:b w:val="0"/>
        </w:rPr>
      </w:lvl>
    </w:lvlOverride>
  </w:num>
  <w:num w:numId="101">
    <w:abstractNumId w:val="25"/>
    <w:lvlOverride w:ilvl="0">
      <w:lvl w:ilvl="0">
        <w:start w:val="1"/>
        <w:numFmt w:val="decimal"/>
        <w:pStyle w:val="Normalnumber"/>
        <w:lvlText w:val="%1."/>
        <w:lvlJc w:val="left"/>
        <w:pPr>
          <w:ind w:left="1607" w:hanging="360"/>
        </w:pPr>
        <w:rPr>
          <w:rFonts w:hint="default"/>
          <w:b w:val="0"/>
        </w:rPr>
      </w:lvl>
    </w:lvlOverride>
  </w:num>
  <w:num w:numId="102">
    <w:abstractNumId w:val="25"/>
    <w:lvlOverride w:ilvl="0">
      <w:lvl w:ilvl="0">
        <w:start w:val="1"/>
        <w:numFmt w:val="decimal"/>
        <w:pStyle w:val="Normalnumber"/>
        <w:lvlText w:val="%1."/>
        <w:lvlJc w:val="left"/>
        <w:pPr>
          <w:ind w:left="1607" w:hanging="360"/>
        </w:pPr>
        <w:rPr>
          <w:rFonts w:hint="default"/>
          <w:b w:val="0"/>
        </w:rPr>
      </w:lvl>
    </w:lvlOverride>
  </w:num>
  <w:num w:numId="103">
    <w:abstractNumId w:val="25"/>
    <w:lvlOverride w:ilvl="0">
      <w:lvl w:ilvl="0">
        <w:start w:val="1"/>
        <w:numFmt w:val="decimal"/>
        <w:pStyle w:val="Normalnumber"/>
        <w:lvlText w:val="%1."/>
        <w:lvlJc w:val="left"/>
        <w:pPr>
          <w:ind w:left="1607" w:hanging="360"/>
        </w:pPr>
        <w:rPr>
          <w:rFonts w:hint="default"/>
          <w:b w:val="0"/>
        </w:rPr>
      </w:lvl>
    </w:lvlOverride>
  </w:num>
  <w:num w:numId="104">
    <w:abstractNumId w:val="25"/>
    <w:lvlOverride w:ilvl="0">
      <w:lvl w:ilvl="0">
        <w:start w:val="1"/>
        <w:numFmt w:val="decimal"/>
        <w:pStyle w:val="Normalnumber"/>
        <w:lvlText w:val="%1."/>
        <w:lvlJc w:val="left"/>
        <w:pPr>
          <w:ind w:left="1607" w:hanging="360"/>
        </w:pPr>
        <w:rPr>
          <w:rFonts w:hint="default"/>
          <w:b w:val="0"/>
        </w:rPr>
      </w:lvl>
    </w:lvlOverride>
  </w:num>
  <w:num w:numId="105">
    <w:abstractNumId w:val="25"/>
    <w:lvlOverride w:ilvl="0">
      <w:lvl w:ilvl="0">
        <w:start w:val="1"/>
        <w:numFmt w:val="decimal"/>
        <w:pStyle w:val="Normalnumber"/>
        <w:lvlText w:val="%1."/>
        <w:lvlJc w:val="left"/>
        <w:pPr>
          <w:ind w:left="1607" w:hanging="360"/>
        </w:pPr>
        <w:rPr>
          <w:rFonts w:hint="default"/>
          <w:b w:val="0"/>
        </w:rPr>
      </w:lvl>
    </w:lvlOverride>
  </w:num>
  <w:num w:numId="106">
    <w:abstractNumId w:val="25"/>
    <w:lvlOverride w:ilvl="0">
      <w:lvl w:ilvl="0">
        <w:start w:val="1"/>
        <w:numFmt w:val="decimal"/>
        <w:pStyle w:val="Normalnumber"/>
        <w:lvlText w:val="%1."/>
        <w:lvlJc w:val="left"/>
        <w:pPr>
          <w:ind w:left="1607" w:hanging="360"/>
        </w:pPr>
        <w:rPr>
          <w:rFonts w:hint="default"/>
          <w:b w:val="0"/>
        </w:rPr>
      </w:lvl>
    </w:lvlOverride>
  </w:num>
  <w:num w:numId="107">
    <w:abstractNumId w:val="25"/>
    <w:lvlOverride w:ilvl="0">
      <w:lvl w:ilvl="0">
        <w:start w:val="1"/>
        <w:numFmt w:val="decimal"/>
        <w:pStyle w:val="Normalnumber"/>
        <w:lvlText w:val="%1."/>
        <w:lvlJc w:val="left"/>
        <w:pPr>
          <w:ind w:left="1607" w:hanging="360"/>
        </w:pPr>
        <w:rPr>
          <w:rFonts w:hint="default"/>
          <w:b w:val="0"/>
        </w:rPr>
      </w:lvl>
    </w:lvlOverride>
  </w:num>
  <w:num w:numId="108">
    <w:abstractNumId w:val="25"/>
    <w:lvlOverride w:ilvl="0">
      <w:lvl w:ilvl="0">
        <w:start w:val="1"/>
        <w:numFmt w:val="decimal"/>
        <w:pStyle w:val="Normalnumber"/>
        <w:lvlText w:val="%1."/>
        <w:lvlJc w:val="left"/>
        <w:pPr>
          <w:ind w:left="1607" w:hanging="360"/>
        </w:pPr>
        <w:rPr>
          <w:rFonts w:hint="default"/>
          <w:b w:val="0"/>
        </w:rPr>
      </w:lvl>
    </w:lvlOverride>
  </w:num>
  <w:num w:numId="109">
    <w:abstractNumId w:val="25"/>
    <w:lvlOverride w:ilvl="0">
      <w:lvl w:ilvl="0">
        <w:start w:val="1"/>
        <w:numFmt w:val="decimal"/>
        <w:pStyle w:val="Normalnumber"/>
        <w:lvlText w:val="%1."/>
        <w:lvlJc w:val="left"/>
        <w:pPr>
          <w:ind w:left="1607" w:hanging="360"/>
        </w:pPr>
        <w:rPr>
          <w:rFonts w:hint="default"/>
          <w:b w:val="0"/>
        </w:rPr>
      </w:lvl>
    </w:lvlOverride>
  </w:num>
  <w:num w:numId="110">
    <w:abstractNumId w:val="25"/>
    <w:lvlOverride w:ilvl="0">
      <w:lvl w:ilvl="0">
        <w:start w:val="1"/>
        <w:numFmt w:val="decimal"/>
        <w:pStyle w:val="Normalnumber"/>
        <w:lvlText w:val="%1."/>
        <w:lvlJc w:val="left"/>
        <w:pPr>
          <w:ind w:left="1607" w:hanging="360"/>
        </w:pPr>
        <w:rPr>
          <w:rFonts w:hint="default"/>
          <w:b w:val="0"/>
        </w:rPr>
      </w:lvl>
    </w:lvlOverride>
  </w:num>
  <w:num w:numId="111">
    <w:abstractNumId w:val="25"/>
    <w:lvlOverride w:ilvl="0">
      <w:lvl w:ilvl="0">
        <w:start w:val="1"/>
        <w:numFmt w:val="decimal"/>
        <w:pStyle w:val="Normalnumber"/>
        <w:lvlText w:val="%1."/>
        <w:lvlJc w:val="left"/>
        <w:pPr>
          <w:ind w:left="1607" w:hanging="360"/>
        </w:pPr>
        <w:rPr>
          <w:rFonts w:hint="default"/>
          <w:b w:val="0"/>
        </w:rPr>
      </w:lvl>
    </w:lvlOverride>
  </w:num>
  <w:num w:numId="112">
    <w:abstractNumId w:val="25"/>
    <w:lvlOverride w:ilvl="0">
      <w:lvl w:ilvl="0">
        <w:start w:val="1"/>
        <w:numFmt w:val="decimal"/>
        <w:pStyle w:val="Normalnumber"/>
        <w:lvlText w:val="%1."/>
        <w:lvlJc w:val="left"/>
        <w:pPr>
          <w:ind w:left="1607" w:hanging="360"/>
        </w:pPr>
        <w:rPr>
          <w:rFonts w:hint="default"/>
          <w:b w:val="0"/>
        </w:rPr>
      </w:lvl>
    </w:lvlOverride>
  </w:num>
  <w:num w:numId="113">
    <w:abstractNumId w:val="25"/>
    <w:lvlOverride w:ilvl="0">
      <w:lvl w:ilvl="0">
        <w:start w:val="1"/>
        <w:numFmt w:val="decimal"/>
        <w:pStyle w:val="Normalnumber"/>
        <w:lvlText w:val="%1."/>
        <w:lvlJc w:val="left"/>
        <w:pPr>
          <w:ind w:left="1607" w:hanging="360"/>
        </w:pPr>
        <w:rPr>
          <w:rFonts w:hint="default"/>
          <w:b w:val="0"/>
        </w:rPr>
      </w:lvl>
    </w:lvlOverride>
  </w:num>
  <w:num w:numId="114">
    <w:abstractNumId w:val="25"/>
    <w:lvlOverride w:ilvl="0">
      <w:lvl w:ilvl="0">
        <w:start w:val="1"/>
        <w:numFmt w:val="decimal"/>
        <w:pStyle w:val="Normalnumber"/>
        <w:lvlText w:val="%1."/>
        <w:lvlJc w:val="left"/>
        <w:pPr>
          <w:ind w:left="1607" w:hanging="360"/>
        </w:pPr>
        <w:rPr>
          <w:rFonts w:hint="default"/>
          <w:b w:val="0"/>
        </w:rPr>
      </w:lvl>
    </w:lvlOverride>
  </w:num>
  <w:num w:numId="115">
    <w:abstractNumId w:val="25"/>
    <w:lvlOverride w:ilvl="0">
      <w:lvl w:ilvl="0">
        <w:start w:val="1"/>
        <w:numFmt w:val="decimal"/>
        <w:pStyle w:val="Normalnumber"/>
        <w:lvlText w:val="%1."/>
        <w:lvlJc w:val="left"/>
        <w:pPr>
          <w:ind w:left="1607" w:hanging="360"/>
        </w:pPr>
        <w:rPr>
          <w:rFonts w:hint="default"/>
          <w:b w:val="0"/>
        </w:rPr>
      </w:lvl>
    </w:lvlOverride>
  </w:num>
  <w:num w:numId="116">
    <w:abstractNumId w:val="25"/>
    <w:lvlOverride w:ilvl="0">
      <w:lvl w:ilvl="0">
        <w:start w:val="1"/>
        <w:numFmt w:val="decimal"/>
        <w:pStyle w:val="Normalnumber"/>
        <w:lvlText w:val="%1."/>
        <w:lvlJc w:val="left"/>
        <w:pPr>
          <w:ind w:left="1607" w:hanging="360"/>
        </w:pPr>
        <w:rPr>
          <w:rFonts w:hint="default"/>
          <w:b w:val="0"/>
        </w:rPr>
      </w:lvl>
    </w:lvlOverride>
  </w:num>
  <w:num w:numId="117">
    <w:abstractNumId w:val="25"/>
    <w:lvlOverride w:ilvl="0">
      <w:lvl w:ilvl="0">
        <w:start w:val="1"/>
        <w:numFmt w:val="decimal"/>
        <w:pStyle w:val="Normalnumber"/>
        <w:lvlText w:val="%1."/>
        <w:lvlJc w:val="left"/>
        <w:pPr>
          <w:ind w:left="1607" w:hanging="360"/>
        </w:pPr>
        <w:rPr>
          <w:rFonts w:hint="default"/>
          <w:b w:val="0"/>
        </w:rPr>
      </w:lvl>
    </w:lvlOverride>
  </w:num>
  <w:num w:numId="118">
    <w:abstractNumId w:val="25"/>
    <w:lvlOverride w:ilvl="0">
      <w:lvl w:ilvl="0">
        <w:start w:val="1"/>
        <w:numFmt w:val="decimal"/>
        <w:pStyle w:val="Normalnumber"/>
        <w:lvlText w:val="%1."/>
        <w:lvlJc w:val="left"/>
        <w:pPr>
          <w:ind w:left="1607" w:hanging="360"/>
        </w:pPr>
        <w:rPr>
          <w:rFonts w:hint="default"/>
          <w:b w:val="0"/>
        </w:rPr>
      </w:lvl>
    </w:lvlOverride>
  </w:num>
  <w:num w:numId="119">
    <w:abstractNumId w:val="25"/>
    <w:lvlOverride w:ilvl="0">
      <w:lvl w:ilvl="0">
        <w:start w:val="1"/>
        <w:numFmt w:val="decimal"/>
        <w:pStyle w:val="Normalnumber"/>
        <w:lvlText w:val="%1."/>
        <w:lvlJc w:val="left"/>
        <w:pPr>
          <w:ind w:left="1607" w:hanging="360"/>
        </w:pPr>
        <w:rPr>
          <w:rFonts w:hint="default"/>
          <w:b w:val="0"/>
        </w:rPr>
      </w:lvl>
    </w:lvlOverride>
  </w:num>
  <w:num w:numId="120">
    <w:abstractNumId w:val="25"/>
    <w:lvlOverride w:ilvl="0">
      <w:lvl w:ilvl="0">
        <w:start w:val="1"/>
        <w:numFmt w:val="decimal"/>
        <w:pStyle w:val="Normalnumber"/>
        <w:lvlText w:val="%1."/>
        <w:lvlJc w:val="left"/>
        <w:pPr>
          <w:ind w:left="1607" w:hanging="360"/>
        </w:pPr>
        <w:rPr>
          <w:rFonts w:hint="default"/>
          <w:b w:val="0"/>
        </w:rPr>
      </w:lvl>
    </w:lvlOverride>
  </w:num>
  <w:num w:numId="121">
    <w:abstractNumId w:val="25"/>
    <w:lvlOverride w:ilvl="0">
      <w:lvl w:ilvl="0">
        <w:start w:val="1"/>
        <w:numFmt w:val="decimal"/>
        <w:pStyle w:val="Normalnumber"/>
        <w:lvlText w:val="%1."/>
        <w:lvlJc w:val="left"/>
        <w:pPr>
          <w:ind w:left="1607" w:hanging="360"/>
        </w:pPr>
        <w:rPr>
          <w:rFonts w:hint="default"/>
          <w:b w:val="0"/>
        </w:rPr>
      </w:lvl>
    </w:lvlOverride>
  </w:num>
  <w:num w:numId="122">
    <w:abstractNumId w:val="25"/>
    <w:lvlOverride w:ilvl="0">
      <w:lvl w:ilvl="0">
        <w:start w:val="1"/>
        <w:numFmt w:val="decimal"/>
        <w:pStyle w:val="Normalnumber"/>
        <w:lvlText w:val="%1."/>
        <w:lvlJc w:val="left"/>
        <w:pPr>
          <w:ind w:left="1607" w:hanging="360"/>
        </w:pPr>
        <w:rPr>
          <w:rFonts w:hint="default"/>
          <w:b w:val="0"/>
        </w:rPr>
      </w:lvl>
    </w:lvlOverride>
  </w:num>
  <w:num w:numId="123">
    <w:abstractNumId w:val="25"/>
    <w:lvlOverride w:ilvl="0">
      <w:lvl w:ilvl="0">
        <w:start w:val="1"/>
        <w:numFmt w:val="decimal"/>
        <w:pStyle w:val="Normalnumber"/>
        <w:lvlText w:val="%1."/>
        <w:lvlJc w:val="left"/>
        <w:pPr>
          <w:ind w:left="1607" w:hanging="360"/>
        </w:pPr>
        <w:rPr>
          <w:rFonts w:hint="default"/>
          <w:b w:val="0"/>
        </w:rPr>
      </w:lvl>
    </w:lvlOverride>
  </w:num>
  <w:num w:numId="124">
    <w:abstractNumId w:val="25"/>
    <w:lvlOverride w:ilvl="0">
      <w:lvl w:ilvl="0">
        <w:start w:val="1"/>
        <w:numFmt w:val="decimal"/>
        <w:pStyle w:val="Normalnumber"/>
        <w:lvlText w:val="%1."/>
        <w:lvlJc w:val="left"/>
        <w:pPr>
          <w:ind w:left="1607" w:hanging="360"/>
        </w:pPr>
        <w:rPr>
          <w:rFonts w:hint="default"/>
          <w:b w:val="0"/>
        </w:rPr>
      </w:lvl>
    </w:lvlOverride>
  </w:num>
  <w:num w:numId="125">
    <w:abstractNumId w:val="25"/>
    <w:lvlOverride w:ilvl="0">
      <w:lvl w:ilvl="0">
        <w:start w:val="1"/>
        <w:numFmt w:val="decimal"/>
        <w:pStyle w:val="Normalnumber"/>
        <w:lvlText w:val="%1."/>
        <w:lvlJc w:val="left"/>
        <w:pPr>
          <w:ind w:left="1607" w:hanging="360"/>
        </w:pPr>
        <w:rPr>
          <w:rFonts w:hint="default"/>
          <w:b w:val="0"/>
        </w:rPr>
      </w:lvl>
    </w:lvlOverride>
  </w:num>
  <w:num w:numId="126">
    <w:abstractNumId w:val="25"/>
    <w:lvlOverride w:ilvl="0">
      <w:lvl w:ilvl="0">
        <w:start w:val="1"/>
        <w:numFmt w:val="decimal"/>
        <w:pStyle w:val="Normalnumber"/>
        <w:lvlText w:val="%1."/>
        <w:lvlJc w:val="left"/>
        <w:pPr>
          <w:ind w:left="1607" w:hanging="360"/>
        </w:pPr>
        <w:rPr>
          <w:rFonts w:hint="default"/>
          <w:b w:val="0"/>
        </w:rPr>
      </w:lvl>
    </w:lvlOverride>
  </w:num>
  <w:num w:numId="127">
    <w:abstractNumId w:val="25"/>
    <w:lvlOverride w:ilvl="0">
      <w:lvl w:ilvl="0">
        <w:start w:val="1"/>
        <w:numFmt w:val="decimal"/>
        <w:pStyle w:val="Normalnumber"/>
        <w:lvlText w:val="%1."/>
        <w:lvlJc w:val="left"/>
        <w:pPr>
          <w:ind w:left="1607" w:hanging="360"/>
        </w:pPr>
        <w:rPr>
          <w:rFonts w:hint="default"/>
          <w:b w:val="0"/>
        </w:rPr>
      </w:lvl>
    </w:lvlOverride>
  </w:num>
  <w:num w:numId="128">
    <w:abstractNumId w:val="25"/>
    <w:lvlOverride w:ilvl="0">
      <w:lvl w:ilvl="0">
        <w:start w:val="1"/>
        <w:numFmt w:val="decimal"/>
        <w:pStyle w:val="Normalnumber"/>
        <w:lvlText w:val="%1."/>
        <w:lvlJc w:val="left"/>
        <w:pPr>
          <w:ind w:left="1607" w:hanging="360"/>
        </w:pPr>
        <w:rPr>
          <w:rFonts w:hint="default"/>
          <w:b w:val="0"/>
        </w:rPr>
      </w:lvl>
    </w:lvlOverride>
  </w:num>
  <w:num w:numId="129">
    <w:abstractNumId w:val="25"/>
    <w:lvlOverride w:ilvl="0">
      <w:lvl w:ilvl="0">
        <w:start w:val="1"/>
        <w:numFmt w:val="decimal"/>
        <w:pStyle w:val="Normalnumber"/>
        <w:lvlText w:val="%1."/>
        <w:lvlJc w:val="left"/>
        <w:pPr>
          <w:ind w:left="1607" w:hanging="360"/>
        </w:pPr>
        <w:rPr>
          <w:rFonts w:hint="default"/>
          <w:b w:val="0"/>
        </w:rPr>
      </w:lvl>
    </w:lvlOverride>
  </w:num>
  <w:num w:numId="130">
    <w:abstractNumId w:val="25"/>
    <w:lvlOverride w:ilvl="0">
      <w:lvl w:ilvl="0">
        <w:start w:val="1"/>
        <w:numFmt w:val="decimal"/>
        <w:pStyle w:val="Normalnumber"/>
        <w:lvlText w:val="%1."/>
        <w:lvlJc w:val="left"/>
        <w:pPr>
          <w:ind w:left="1607" w:hanging="360"/>
        </w:pPr>
        <w:rPr>
          <w:rFonts w:hint="default"/>
          <w:b w:val="0"/>
        </w:rPr>
      </w:lvl>
    </w:lvlOverride>
  </w:num>
  <w:num w:numId="131">
    <w:abstractNumId w:val="0"/>
  </w:num>
  <w:num w:numId="132">
    <w:abstractNumId w:val="25"/>
    <w:lvlOverride w:ilvl="0">
      <w:lvl w:ilvl="0">
        <w:start w:val="1"/>
        <w:numFmt w:val="decimal"/>
        <w:pStyle w:val="Normalnumber"/>
        <w:lvlText w:val="%1."/>
        <w:lvlJc w:val="left"/>
        <w:pPr>
          <w:ind w:left="1607" w:hanging="360"/>
        </w:pPr>
        <w:rPr>
          <w:rFonts w:hint="default"/>
          <w:b w:val="0"/>
        </w:rPr>
      </w:lvl>
    </w:lvlOverride>
  </w:num>
  <w:num w:numId="133">
    <w:abstractNumId w:val="25"/>
    <w:lvlOverride w:ilvl="0">
      <w:lvl w:ilvl="0">
        <w:start w:val="1"/>
        <w:numFmt w:val="decimal"/>
        <w:pStyle w:val="Normalnumber"/>
        <w:lvlText w:val="%1."/>
        <w:lvlJc w:val="left"/>
        <w:pPr>
          <w:ind w:left="1607" w:hanging="360"/>
        </w:pPr>
        <w:rPr>
          <w:rFonts w:hint="default"/>
          <w:b w:val="0"/>
        </w:rPr>
      </w:lvl>
    </w:lvlOverride>
  </w:num>
  <w:num w:numId="134">
    <w:abstractNumId w:val="25"/>
    <w:lvlOverride w:ilvl="0">
      <w:lvl w:ilvl="0">
        <w:start w:val="1"/>
        <w:numFmt w:val="decimal"/>
        <w:pStyle w:val="Normalnumber"/>
        <w:lvlText w:val="%1."/>
        <w:lvlJc w:val="left"/>
        <w:pPr>
          <w:ind w:left="1607" w:hanging="360"/>
        </w:pPr>
        <w:rPr>
          <w:rFonts w:hint="default"/>
          <w:b w:val="0"/>
        </w:rPr>
      </w:lvl>
    </w:lvlOverride>
  </w:num>
  <w:num w:numId="135">
    <w:abstractNumId w:val="25"/>
    <w:lvlOverride w:ilvl="0">
      <w:lvl w:ilvl="0">
        <w:start w:val="1"/>
        <w:numFmt w:val="decimal"/>
        <w:pStyle w:val="Normalnumber"/>
        <w:lvlText w:val="%1."/>
        <w:lvlJc w:val="left"/>
        <w:pPr>
          <w:ind w:left="1607" w:hanging="360"/>
        </w:pPr>
        <w:rPr>
          <w:rFonts w:hint="default"/>
          <w:b w:val="0"/>
        </w:rPr>
      </w:lvl>
    </w:lvlOverride>
  </w:num>
  <w:num w:numId="136">
    <w:abstractNumId w:val="25"/>
    <w:lvlOverride w:ilvl="0">
      <w:lvl w:ilvl="0">
        <w:start w:val="1"/>
        <w:numFmt w:val="decimal"/>
        <w:pStyle w:val="Normalnumber"/>
        <w:lvlText w:val="%1."/>
        <w:lvlJc w:val="left"/>
        <w:pPr>
          <w:ind w:left="1607" w:hanging="360"/>
        </w:pPr>
        <w:rPr>
          <w:rFonts w:hint="default"/>
          <w:b w:val="0"/>
        </w:rPr>
      </w:lvl>
    </w:lvlOverride>
  </w:num>
  <w:num w:numId="137">
    <w:abstractNumId w:val="23"/>
  </w:num>
  <w:num w:numId="138">
    <w:abstractNumId w:val="25"/>
    <w:lvlOverride w:ilvl="0">
      <w:lvl w:ilvl="0">
        <w:start w:val="1"/>
        <w:numFmt w:val="decimal"/>
        <w:pStyle w:val="Normalnumber"/>
        <w:lvlText w:val="%1."/>
        <w:lvlJc w:val="left"/>
        <w:pPr>
          <w:ind w:left="1607" w:hanging="360"/>
        </w:pPr>
        <w:rPr>
          <w:rFonts w:hint="default"/>
          <w:b w:val="0"/>
        </w:rPr>
      </w:lvl>
    </w:lvlOverride>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activeWritingStyle w:appName="MSWord" w:lang="fr-FR" w:vendorID="64" w:dllVersion="131078" w:nlCheck="1" w:checkStyle="1"/>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en-PH" w:vendorID="64" w:dllVersion="131078" w:nlCheck="1" w:checkStyle="1"/>
  <w:activeWritingStyle w:appName="MSWord" w:lang="fr-CA" w:vendorID="64" w:dllVersion="131078" w:nlCheck="1" w:checkStyle="1"/>
  <w:activeWritingStyle w:appName="MSWord" w:lang="en-TT" w:vendorID="64" w:dllVersion="131078" w:nlCheck="1" w:checkStyle="1"/>
  <w:attachedTemplate r:id="rId1"/>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EB2"/>
    <w:rsid w:val="000056FF"/>
    <w:rsid w:val="00006AFD"/>
    <w:rsid w:val="00013698"/>
    <w:rsid w:val="000149E6"/>
    <w:rsid w:val="00014D38"/>
    <w:rsid w:val="000161DE"/>
    <w:rsid w:val="0002032E"/>
    <w:rsid w:val="00022534"/>
    <w:rsid w:val="000225A2"/>
    <w:rsid w:val="000247B0"/>
    <w:rsid w:val="00026997"/>
    <w:rsid w:val="000321A3"/>
    <w:rsid w:val="00033E0B"/>
    <w:rsid w:val="00035EDE"/>
    <w:rsid w:val="00043DE6"/>
    <w:rsid w:val="00044FC9"/>
    <w:rsid w:val="00045E93"/>
    <w:rsid w:val="00045F78"/>
    <w:rsid w:val="000463FE"/>
    <w:rsid w:val="000509B4"/>
    <w:rsid w:val="000522FC"/>
    <w:rsid w:val="00052DE2"/>
    <w:rsid w:val="00052EAA"/>
    <w:rsid w:val="00054ECD"/>
    <w:rsid w:val="0005566D"/>
    <w:rsid w:val="0006035B"/>
    <w:rsid w:val="00060F63"/>
    <w:rsid w:val="000618FA"/>
    <w:rsid w:val="00064551"/>
    <w:rsid w:val="00066C60"/>
    <w:rsid w:val="00071169"/>
    <w:rsid w:val="000715DC"/>
    <w:rsid w:val="00071886"/>
    <w:rsid w:val="000742BC"/>
    <w:rsid w:val="0008208D"/>
    <w:rsid w:val="00082A0C"/>
    <w:rsid w:val="00083504"/>
    <w:rsid w:val="00086D15"/>
    <w:rsid w:val="00090666"/>
    <w:rsid w:val="0009112C"/>
    <w:rsid w:val="0009373B"/>
    <w:rsid w:val="00093E73"/>
    <w:rsid w:val="0009640C"/>
    <w:rsid w:val="00096A1C"/>
    <w:rsid w:val="000A05D0"/>
    <w:rsid w:val="000A1319"/>
    <w:rsid w:val="000A25CE"/>
    <w:rsid w:val="000A3712"/>
    <w:rsid w:val="000A789F"/>
    <w:rsid w:val="000B105B"/>
    <w:rsid w:val="000B1095"/>
    <w:rsid w:val="000B22A2"/>
    <w:rsid w:val="000C0160"/>
    <w:rsid w:val="000C0BEF"/>
    <w:rsid w:val="000C1237"/>
    <w:rsid w:val="000C2A52"/>
    <w:rsid w:val="000C4ED3"/>
    <w:rsid w:val="000C54F9"/>
    <w:rsid w:val="000D00BD"/>
    <w:rsid w:val="000D0391"/>
    <w:rsid w:val="000D33C0"/>
    <w:rsid w:val="000D3EEA"/>
    <w:rsid w:val="000D6941"/>
    <w:rsid w:val="000E047D"/>
    <w:rsid w:val="000E4578"/>
    <w:rsid w:val="000E50ED"/>
    <w:rsid w:val="000F35F6"/>
    <w:rsid w:val="000F375E"/>
    <w:rsid w:val="000F5D08"/>
    <w:rsid w:val="000F63F0"/>
    <w:rsid w:val="00103481"/>
    <w:rsid w:val="00103958"/>
    <w:rsid w:val="00105428"/>
    <w:rsid w:val="001137A9"/>
    <w:rsid w:val="001202E3"/>
    <w:rsid w:val="0012035C"/>
    <w:rsid w:val="001213EF"/>
    <w:rsid w:val="00123699"/>
    <w:rsid w:val="0013059D"/>
    <w:rsid w:val="001354C8"/>
    <w:rsid w:val="0014100A"/>
    <w:rsid w:val="00141A55"/>
    <w:rsid w:val="001424A0"/>
    <w:rsid w:val="0014337F"/>
    <w:rsid w:val="001446A3"/>
    <w:rsid w:val="001454BD"/>
    <w:rsid w:val="00147408"/>
    <w:rsid w:val="00152AAD"/>
    <w:rsid w:val="00153176"/>
    <w:rsid w:val="00154E98"/>
    <w:rsid w:val="00155395"/>
    <w:rsid w:val="00160D74"/>
    <w:rsid w:val="00161CED"/>
    <w:rsid w:val="00164817"/>
    <w:rsid w:val="001663BA"/>
    <w:rsid w:val="00167391"/>
    <w:rsid w:val="00167D02"/>
    <w:rsid w:val="0017350C"/>
    <w:rsid w:val="00173E03"/>
    <w:rsid w:val="0017445C"/>
    <w:rsid w:val="00174B20"/>
    <w:rsid w:val="00175402"/>
    <w:rsid w:val="0018090A"/>
    <w:rsid w:val="00181EC8"/>
    <w:rsid w:val="0018380B"/>
    <w:rsid w:val="00184349"/>
    <w:rsid w:val="00190242"/>
    <w:rsid w:val="00191067"/>
    <w:rsid w:val="00192758"/>
    <w:rsid w:val="00195F33"/>
    <w:rsid w:val="00196AFC"/>
    <w:rsid w:val="001A021F"/>
    <w:rsid w:val="001A4AE7"/>
    <w:rsid w:val="001A5897"/>
    <w:rsid w:val="001A591C"/>
    <w:rsid w:val="001A79D0"/>
    <w:rsid w:val="001A7DFC"/>
    <w:rsid w:val="001B04D4"/>
    <w:rsid w:val="001B1617"/>
    <w:rsid w:val="001B504B"/>
    <w:rsid w:val="001B5C67"/>
    <w:rsid w:val="001B6DB8"/>
    <w:rsid w:val="001C0B3A"/>
    <w:rsid w:val="001C69EF"/>
    <w:rsid w:val="001D0615"/>
    <w:rsid w:val="001D3874"/>
    <w:rsid w:val="001D3BC7"/>
    <w:rsid w:val="001D7E75"/>
    <w:rsid w:val="001E56D2"/>
    <w:rsid w:val="001E7BCA"/>
    <w:rsid w:val="001E7D56"/>
    <w:rsid w:val="001F1CE1"/>
    <w:rsid w:val="001F75DE"/>
    <w:rsid w:val="001F7614"/>
    <w:rsid w:val="00200D58"/>
    <w:rsid w:val="002013BE"/>
    <w:rsid w:val="002022B5"/>
    <w:rsid w:val="00203DBB"/>
    <w:rsid w:val="002050E2"/>
    <w:rsid w:val="002063A4"/>
    <w:rsid w:val="002101FE"/>
    <w:rsid w:val="00210F73"/>
    <w:rsid w:val="0021145B"/>
    <w:rsid w:val="00212C59"/>
    <w:rsid w:val="00217750"/>
    <w:rsid w:val="00221AC8"/>
    <w:rsid w:val="002231DA"/>
    <w:rsid w:val="00223704"/>
    <w:rsid w:val="0022744A"/>
    <w:rsid w:val="00227FB1"/>
    <w:rsid w:val="002309AD"/>
    <w:rsid w:val="002315A9"/>
    <w:rsid w:val="002324BB"/>
    <w:rsid w:val="00235FB4"/>
    <w:rsid w:val="00236578"/>
    <w:rsid w:val="00237861"/>
    <w:rsid w:val="00243D36"/>
    <w:rsid w:val="0024765C"/>
    <w:rsid w:val="00247707"/>
    <w:rsid w:val="00250E75"/>
    <w:rsid w:val="002518EE"/>
    <w:rsid w:val="002523DB"/>
    <w:rsid w:val="00252CD9"/>
    <w:rsid w:val="0026018E"/>
    <w:rsid w:val="00261929"/>
    <w:rsid w:val="00262095"/>
    <w:rsid w:val="00267208"/>
    <w:rsid w:val="00271968"/>
    <w:rsid w:val="0027244C"/>
    <w:rsid w:val="0028129D"/>
    <w:rsid w:val="00281564"/>
    <w:rsid w:val="00281C91"/>
    <w:rsid w:val="00281E06"/>
    <w:rsid w:val="00282E65"/>
    <w:rsid w:val="0028611E"/>
    <w:rsid w:val="00286740"/>
    <w:rsid w:val="002870DF"/>
    <w:rsid w:val="002911C7"/>
    <w:rsid w:val="002929D8"/>
    <w:rsid w:val="002954AB"/>
    <w:rsid w:val="002A0759"/>
    <w:rsid w:val="002A237D"/>
    <w:rsid w:val="002A2479"/>
    <w:rsid w:val="002A4C53"/>
    <w:rsid w:val="002A599B"/>
    <w:rsid w:val="002B0672"/>
    <w:rsid w:val="002B165C"/>
    <w:rsid w:val="002B21AA"/>
    <w:rsid w:val="002B247F"/>
    <w:rsid w:val="002B41A4"/>
    <w:rsid w:val="002C145D"/>
    <w:rsid w:val="002C15AB"/>
    <w:rsid w:val="002C23B2"/>
    <w:rsid w:val="002C2C3E"/>
    <w:rsid w:val="002C4C33"/>
    <w:rsid w:val="002C4FA6"/>
    <w:rsid w:val="002C533E"/>
    <w:rsid w:val="002C57DC"/>
    <w:rsid w:val="002C64E0"/>
    <w:rsid w:val="002C77F0"/>
    <w:rsid w:val="002D027F"/>
    <w:rsid w:val="002D3D49"/>
    <w:rsid w:val="002D6345"/>
    <w:rsid w:val="002D7039"/>
    <w:rsid w:val="002D7A85"/>
    <w:rsid w:val="002D7B60"/>
    <w:rsid w:val="002E258C"/>
    <w:rsid w:val="002E690A"/>
    <w:rsid w:val="002E75F3"/>
    <w:rsid w:val="002E7874"/>
    <w:rsid w:val="002F1D08"/>
    <w:rsid w:val="002F1F25"/>
    <w:rsid w:val="002F273E"/>
    <w:rsid w:val="002F4761"/>
    <w:rsid w:val="002F4BDF"/>
    <w:rsid w:val="002F5287"/>
    <w:rsid w:val="002F5C79"/>
    <w:rsid w:val="00300760"/>
    <w:rsid w:val="003016FF"/>
    <w:rsid w:val="003019E2"/>
    <w:rsid w:val="003068F4"/>
    <w:rsid w:val="00306EC3"/>
    <w:rsid w:val="0031413F"/>
    <w:rsid w:val="003148BB"/>
    <w:rsid w:val="00317976"/>
    <w:rsid w:val="003263B2"/>
    <w:rsid w:val="00326C26"/>
    <w:rsid w:val="0033095A"/>
    <w:rsid w:val="003312CF"/>
    <w:rsid w:val="003347CA"/>
    <w:rsid w:val="00337A5B"/>
    <w:rsid w:val="00340C0B"/>
    <w:rsid w:val="00343D71"/>
    <w:rsid w:val="00346A24"/>
    <w:rsid w:val="00351A8E"/>
    <w:rsid w:val="00354E7C"/>
    <w:rsid w:val="00355830"/>
    <w:rsid w:val="00355EA9"/>
    <w:rsid w:val="003578DE"/>
    <w:rsid w:val="003604BC"/>
    <w:rsid w:val="003629E6"/>
    <w:rsid w:val="00362EAA"/>
    <w:rsid w:val="00363539"/>
    <w:rsid w:val="00366F7D"/>
    <w:rsid w:val="00374415"/>
    <w:rsid w:val="00376C59"/>
    <w:rsid w:val="00380D29"/>
    <w:rsid w:val="00381BBD"/>
    <w:rsid w:val="00382E03"/>
    <w:rsid w:val="00393FBE"/>
    <w:rsid w:val="0039552B"/>
    <w:rsid w:val="00396257"/>
    <w:rsid w:val="00397EB8"/>
    <w:rsid w:val="003A1D32"/>
    <w:rsid w:val="003A21C3"/>
    <w:rsid w:val="003A4C70"/>
    <w:rsid w:val="003A4FD0"/>
    <w:rsid w:val="003A69D1"/>
    <w:rsid w:val="003A6DA8"/>
    <w:rsid w:val="003A7705"/>
    <w:rsid w:val="003A77F1"/>
    <w:rsid w:val="003B0E78"/>
    <w:rsid w:val="003B1545"/>
    <w:rsid w:val="003B2B68"/>
    <w:rsid w:val="003B40CF"/>
    <w:rsid w:val="003B41D1"/>
    <w:rsid w:val="003C0028"/>
    <w:rsid w:val="003C0066"/>
    <w:rsid w:val="003C409D"/>
    <w:rsid w:val="003C5BA6"/>
    <w:rsid w:val="003D30F1"/>
    <w:rsid w:val="003D6B30"/>
    <w:rsid w:val="003E256C"/>
    <w:rsid w:val="003E344F"/>
    <w:rsid w:val="003E45D1"/>
    <w:rsid w:val="003E5738"/>
    <w:rsid w:val="003F08EC"/>
    <w:rsid w:val="003F0E85"/>
    <w:rsid w:val="003F272A"/>
    <w:rsid w:val="003F5FDA"/>
    <w:rsid w:val="0040003A"/>
    <w:rsid w:val="00400B70"/>
    <w:rsid w:val="00401518"/>
    <w:rsid w:val="00405562"/>
    <w:rsid w:val="00407A32"/>
    <w:rsid w:val="00407F4B"/>
    <w:rsid w:val="00410C55"/>
    <w:rsid w:val="004113D9"/>
    <w:rsid w:val="004136D6"/>
    <w:rsid w:val="00416056"/>
    <w:rsid w:val="00416854"/>
    <w:rsid w:val="00416AC0"/>
    <w:rsid w:val="00417725"/>
    <w:rsid w:val="0042041B"/>
    <w:rsid w:val="00420900"/>
    <w:rsid w:val="00421D39"/>
    <w:rsid w:val="00424FB2"/>
    <w:rsid w:val="00430EFC"/>
    <w:rsid w:val="00434584"/>
    <w:rsid w:val="00435932"/>
    <w:rsid w:val="0043656E"/>
    <w:rsid w:val="00437F26"/>
    <w:rsid w:val="00440190"/>
    <w:rsid w:val="00441295"/>
    <w:rsid w:val="004416B4"/>
    <w:rsid w:val="004419F7"/>
    <w:rsid w:val="00444097"/>
    <w:rsid w:val="00445487"/>
    <w:rsid w:val="00446B09"/>
    <w:rsid w:val="0045061E"/>
    <w:rsid w:val="00454769"/>
    <w:rsid w:val="00456876"/>
    <w:rsid w:val="004572E0"/>
    <w:rsid w:val="004647C7"/>
    <w:rsid w:val="00466991"/>
    <w:rsid w:val="00466E20"/>
    <w:rsid w:val="0046703B"/>
    <w:rsid w:val="00467F67"/>
    <w:rsid w:val="0047064C"/>
    <w:rsid w:val="0047089B"/>
    <w:rsid w:val="00474292"/>
    <w:rsid w:val="00474F2B"/>
    <w:rsid w:val="004761B9"/>
    <w:rsid w:val="00483012"/>
    <w:rsid w:val="0048792B"/>
    <w:rsid w:val="00487C2F"/>
    <w:rsid w:val="0049473B"/>
    <w:rsid w:val="00495B46"/>
    <w:rsid w:val="00495C09"/>
    <w:rsid w:val="004964AD"/>
    <w:rsid w:val="00496CDC"/>
    <w:rsid w:val="00497C58"/>
    <w:rsid w:val="004A0838"/>
    <w:rsid w:val="004A2E24"/>
    <w:rsid w:val="004A42E1"/>
    <w:rsid w:val="004A573E"/>
    <w:rsid w:val="004B162C"/>
    <w:rsid w:val="004B3EE3"/>
    <w:rsid w:val="004B5CA2"/>
    <w:rsid w:val="004C3810"/>
    <w:rsid w:val="004C3DBE"/>
    <w:rsid w:val="004C4F80"/>
    <w:rsid w:val="004C5C96"/>
    <w:rsid w:val="004D06A4"/>
    <w:rsid w:val="004D3D04"/>
    <w:rsid w:val="004D66AE"/>
    <w:rsid w:val="004E0EF9"/>
    <w:rsid w:val="004E132D"/>
    <w:rsid w:val="004E2B37"/>
    <w:rsid w:val="004E3155"/>
    <w:rsid w:val="004E77E9"/>
    <w:rsid w:val="004E7B5E"/>
    <w:rsid w:val="004F02B4"/>
    <w:rsid w:val="004F19DD"/>
    <w:rsid w:val="004F1A81"/>
    <w:rsid w:val="0050034A"/>
    <w:rsid w:val="00502E7B"/>
    <w:rsid w:val="00504E60"/>
    <w:rsid w:val="005063F5"/>
    <w:rsid w:val="00507B4F"/>
    <w:rsid w:val="00511FDF"/>
    <w:rsid w:val="0051539E"/>
    <w:rsid w:val="00515B37"/>
    <w:rsid w:val="00520114"/>
    <w:rsid w:val="005218D9"/>
    <w:rsid w:val="005220CC"/>
    <w:rsid w:val="005242A9"/>
    <w:rsid w:val="00524B60"/>
    <w:rsid w:val="00527600"/>
    <w:rsid w:val="00534EA6"/>
    <w:rsid w:val="005352DC"/>
    <w:rsid w:val="00536186"/>
    <w:rsid w:val="00537C4D"/>
    <w:rsid w:val="00543E82"/>
    <w:rsid w:val="00544CBB"/>
    <w:rsid w:val="005463A0"/>
    <w:rsid w:val="00546FE8"/>
    <w:rsid w:val="005478DC"/>
    <w:rsid w:val="0055138E"/>
    <w:rsid w:val="005530A1"/>
    <w:rsid w:val="00553370"/>
    <w:rsid w:val="0055438A"/>
    <w:rsid w:val="005551A6"/>
    <w:rsid w:val="00556205"/>
    <w:rsid w:val="00556D0B"/>
    <w:rsid w:val="00561F50"/>
    <w:rsid w:val="00563641"/>
    <w:rsid w:val="00564367"/>
    <w:rsid w:val="005665EF"/>
    <w:rsid w:val="00566FCA"/>
    <w:rsid w:val="0057315F"/>
    <w:rsid w:val="005751D8"/>
    <w:rsid w:val="00576104"/>
    <w:rsid w:val="0057798B"/>
    <w:rsid w:val="005807F0"/>
    <w:rsid w:val="00581043"/>
    <w:rsid w:val="00581779"/>
    <w:rsid w:val="00582538"/>
    <w:rsid w:val="0058287F"/>
    <w:rsid w:val="00587A0F"/>
    <w:rsid w:val="00590129"/>
    <w:rsid w:val="0059169A"/>
    <w:rsid w:val="00591A6D"/>
    <w:rsid w:val="00593CC5"/>
    <w:rsid w:val="00593E76"/>
    <w:rsid w:val="00594678"/>
    <w:rsid w:val="0059599A"/>
    <w:rsid w:val="005A7F91"/>
    <w:rsid w:val="005B2B5B"/>
    <w:rsid w:val="005B5291"/>
    <w:rsid w:val="005B61C9"/>
    <w:rsid w:val="005B62C3"/>
    <w:rsid w:val="005C0843"/>
    <w:rsid w:val="005C0BF7"/>
    <w:rsid w:val="005C0C2B"/>
    <w:rsid w:val="005C0E09"/>
    <w:rsid w:val="005C2EB2"/>
    <w:rsid w:val="005C3E30"/>
    <w:rsid w:val="005C67C8"/>
    <w:rsid w:val="005D0249"/>
    <w:rsid w:val="005D1860"/>
    <w:rsid w:val="005D5ACA"/>
    <w:rsid w:val="005D6E8C"/>
    <w:rsid w:val="005E13F9"/>
    <w:rsid w:val="005E6134"/>
    <w:rsid w:val="005E6AAF"/>
    <w:rsid w:val="005F0C62"/>
    <w:rsid w:val="005F100C"/>
    <w:rsid w:val="005F32B0"/>
    <w:rsid w:val="005F5128"/>
    <w:rsid w:val="005F68DA"/>
    <w:rsid w:val="005F6F91"/>
    <w:rsid w:val="005F74C7"/>
    <w:rsid w:val="0060025D"/>
    <w:rsid w:val="0060094D"/>
    <w:rsid w:val="00602D84"/>
    <w:rsid w:val="00605449"/>
    <w:rsid w:val="00605B4C"/>
    <w:rsid w:val="00605BD4"/>
    <w:rsid w:val="00606241"/>
    <w:rsid w:val="0060773B"/>
    <w:rsid w:val="00607C53"/>
    <w:rsid w:val="0061073D"/>
    <w:rsid w:val="006114F6"/>
    <w:rsid w:val="006139AE"/>
    <w:rsid w:val="006157B5"/>
    <w:rsid w:val="00615912"/>
    <w:rsid w:val="00615D04"/>
    <w:rsid w:val="00615E75"/>
    <w:rsid w:val="00617C89"/>
    <w:rsid w:val="00626446"/>
    <w:rsid w:val="00626695"/>
    <w:rsid w:val="00626FC6"/>
    <w:rsid w:val="006300CA"/>
    <w:rsid w:val="006303B4"/>
    <w:rsid w:val="00633D3D"/>
    <w:rsid w:val="0063592C"/>
    <w:rsid w:val="00635AE1"/>
    <w:rsid w:val="00635C75"/>
    <w:rsid w:val="00637CC1"/>
    <w:rsid w:val="00641703"/>
    <w:rsid w:val="006431A6"/>
    <w:rsid w:val="006459F6"/>
    <w:rsid w:val="006501AD"/>
    <w:rsid w:val="006509C7"/>
    <w:rsid w:val="00651456"/>
    <w:rsid w:val="00651BFA"/>
    <w:rsid w:val="00654475"/>
    <w:rsid w:val="006632EB"/>
    <w:rsid w:val="00665A4B"/>
    <w:rsid w:val="00673FFD"/>
    <w:rsid w:val="00674DA7"/>
    <w:rsid w:val="00675D7A"/>
    <w:rsid w:val="006776FB"/>
    <w:rsid w:val="006779FF"/>
    <w:rsid w:val="00677D11"/>
    <w:rsid w:val="00681D2D"/>
    <w:rsid w:val="00682433"/>
    <w:rsid w:val="0068672E"/>
    <w:rsid w:val="00686CB4"/>
    <w:rsid w:val="00687290"/>
    <w:rsid w:val="00690A78"/>
    <w:rsid w:val="00690DBC"/>
    <w:rsid w:val="006913E1"/>
    <w:rsid w:val="00692E2A"/>
    <w:rsid w:val="00693E91"/>
    <w:rsid w:val="006955D6"/>
    <w:rsid w:val="00697D07"/>
    <w:rsid w:val="006A25CB"/>
    <w:rsid w:val="006A3812"/>
    <w:rsid w:val="006A6BED"/>
    <w:rsid w:val="006A76F2"/>
    <w:rsid w:val="006B0EB7"/>
    <w:rsid w:val="006B1E7D"/>
    <w:rsid w:val="006B408D"/>
    <w:rsid w:val="006B44EC"/>
    <w:rsid w:val="006B4A0F"/>
    <w:rsid w:val="006B5460"/>
    <w:rsid w:val="006B66F0"/>
    <w:rsid w:val="006C1F92"/>
    <w:rsid w:val="006C2400"/>
    <w:rsid w:val="006C3136"/>
    <w:rsid w:val="006D35CB"/>
    <w:rsid w:val="006D4454"/>
    <w:rsid w:val="006D5EA7"/>
    <w:rsid w:val="006D7458"/>
    <w:rsid w:val="006D7EFB"/>
    <w:rsid w:val="006E14D8"/>
    <w:rsid w:val="006E219B"/>
    <w:rsid w:val="006E24D9"/>
    <w:rsid w:val="006E6672"/>
    <w:rsid w:val="006E6722"/>
    <w:rsid w:val="006E75A9"/>
    <w:rsid w:val="006F4087"/>
    <w:rsid w:val="006F6AB4"/>
    <w:rsid w:val="006F765C"/>
    <w:rsid w:val="00701C0D"/>
    <w:rsid w:val="007027B9"/>
    <w:rsid w:val="007035AA"/>
    <w:rsid w:val="007042A4"/>
    <w:rsid w:val="00707241"/>
    <w:rsid w:val="007103CE"/>
    <w:rsid w:val="00714646"/>
    <w:rsid w:val="00715E88"/>
    <w:rsid w:val="007169A5"/>
    <w:rsid w:val="00716C6F"/>
    <w:rsid w:val="00721F10"/>
    <w:rsid w:val="007249D9"/>
    <w:rsid w:val="00725755"/>
    <w:rsid w:val="00726619"/>
    <w:rsid w:val="00730911"/>
    <w:rsid w:val="00731BCC"/>
    <w:rsid w:val="00734CAA"/>
    <w:rsid w:val="00736FE3"/>
    <w:rsid w:val="0074111C"/>
    <w:rsid w:val="007448B7"/>
    <w:rsid w:val="0074572A"/>
    <w:rsid w:val="0074737C"/>
    <w:rsid w:val="007514B2"/>
    <w:rsid w:val="00751501"/>
    <w:rsid w:val="00751C82"/>
    <w:rsid w:val="0075533C"/>
    <w:rsid w:val="00757581"/>
    <w:rsid w:val="00760510"/>
    <w:rsid w:val="007611A0"/>
    <w:rsid w:val="007637DB"/>
    <w:rsid w:val="007714B8"/>
    <w:rsid w:val="00771BEA"/>
    <w:rsid w:val="00774ACF"/>
    <w:rsid w:val="00774F89"/>
    <w:rsid w:val="0077522F"/>
    <w:rsid w:val="007757A9"/>
    <w:rsid w:val="00775C57"/>
    <w:rsid w:val="0077602D"/>
    <w:rsid w:val="0077618A"/>
    <w:rsid w:val="007776B4"/>
    <w:rsid w:val="00780C82"/>
    <w:rsid w:val="00784248"/>
    <w:rsid w:val="007847EB"/>
    <w:rsid w:val="00785A6C"/>
    <w:rsid w:val="0078721E"/>
    <w:rsid w:val="00791E8D"/>
    <w:rsid w:val="00793AF6"/>
    <w:rsid w:val="00793B6F"/>
    <w:rsid w:val="00793DE0"/>
    <w:rsid w:val="00795F33"/>
    <w:rsid w:val="00796D3F"/>
    <w:rsid w:val="007A1683"/>
    <w:rsid w:val="007A29E1"/>
    <w:rsid w:val="007A4A15"/>
    <w:rsid w:val="007A5126"/>
    <w:rsid w:val="007A5C12"/>
    <w:rsid w:val="007A69F6"/>
    <w:rsid w:val="007A735A"/>
    <w:rsid w:val="007A7CB0"/>
    <w:rsid w:val="007B2030"/>
    <w:rsid w:val="007B68A3"/>
    <w:rsid w:val="007B77D2"/>
    <w:rsid w:val="007C0E02"/>
    <w:rsid w:val="007C2541"/>
    <w:rsid w:val="007C577C"/>
    <w:rsid w:val="007D0E96"/>
    <w:rsid w:val="007D29AD"/>
    <w:rsid w:val="007D66A8"/>
    <w:rsid w:val="007D6AC6"/>
    <w:rsid w:val="007E003F"/>
    <w:rsid w:val="007E0158"/>
    <w:rsid w:val="007E3C0C"/>
    <w:rsid w:val="007E5A49"/>
    <w:rsid w:val="007E5ED7"/>
    <w:rsid w:val="007E5FE9"/>
    <w:rsid w:val="007E6650"/>
    <w:rsid w:val="007E6E3F"/>
    <w:rsid w:val="007F2DC2"/>
    <w:rsid w:val="007F4290"/>
    <w:rsid w:val="007F4CF6"/>
    <w:rsid w:val="008025BF"/>
    <w:rsid w:val="00803179"/>
    <w:rsid w:val="0080660A"/>
    <w:rsid w:val="0080722F"/>
    <w:rsid w:val="00815041"/>
    <w:rsid w:val="008164F2"/>
    <w:rsid w:val="0082068A"/>
    <w:rsid w:val="00821317"/>
    <w:rsid w:val="00821395"/>
    <w:rsid w:val="0082155E"/>
    <w:rsid w:val="00821975"/>
    <w:rsid w:val="008220EA"/>
    <w:rsid w:val="00825F7B"/>
    <w:rsid w:val="00826C28"/>
    <w:rsid w:val="00830E26"/>
    <w:rsid w:val="0083136F"/>
    <w:rsid w:val="00837C97"/>
    <w:rsid w:val="00842E0D"/>
    <w:rsid w:val="00843576"/>
    <w:rsid w:val="00843B64"/>
    <w:rsid w:val="008478FC"/>
    <w:rsid w:val="00853868"/>
    <w:rsid w:val="00854F78"/>
    <w:rsid w:val="00861B77"/>
    <w:rsid w:val="00867BFF"/>
    <w:rsid w:val="00870618"/>
    <w:rsid w:val="00875167"/>
    <w:rsid w:val="0087697F"/>
    <w:rsid w:val="0088069C"/>
    <w:rsid w:val="00881D84"/>
    <w:rsid w:val="0088480A"/>
    <w:rsid w:val="0088757A"/>
    <w:rsid w:val="008912D0"/>
    <w:rsid w:val="00893D2D"/>
    <w:rsid w:val="008957DD"/>
    <w:rsid w:val="0089599E"/>
    <w:rsid w:val="00896079"/>
    <w:rsid w:val="00897D98"/>
    <w:rsid w:val="008A03E8"/>
    <w:rsid w:val="008A19C5"/>
    <w:rsid w:val="008A1EFD"/>
    <w:rsid w:val="008A6DF2"/>
    <w:rsid w:val="008A7807"/>
    <w:rsid w:val="008A7BE6"/>
    <w:rsid w:val="008B03D0"/>
    <w:rsid w:val="008B1E84"/>
    <w:rsid w:val="008B36D9"/>
    <w:rsid w:val="008B49F2"/>
    <w:rsid w:val="008B4CC9"/>
    <w:rsid w:val="008B62D1"/>
    <w:rsid w:val="008B67E0"/>
    <w:rsid w:val="008C38DB"/>
    <w:rsid w:val="008C7756"/>
    <w:rsid w:val="008D127A"/>
    <w:rsid w:val="008D3405"/>
    <w:rsid w:val="008D39D1"/>
    <w:rsid w:val="008D7C99"/>
    <w:rsid w:val="008E0CA4"/>
    <w:rsid w:val="008E0D46"/>
    <w:rsid w:val="008E0FCB"/>
    <w:rsid w:val="008E303C"/>
    <w:rsid w:val="008E4CA8"/>
    <w:rsid w:val="008E559D"/>
    <w:rsid w:val="008E5B6C"/>
    <w:rsid w:val="008E71A2"/>
    <w:rsid w:val="008E7AD8"/>
    <w:rsid w:val="008F0EC0"/>
    <w:rsid w:val="008F29FF"/>
    <w:rsid w:val="008F6E4F"/>
    <w:rsid w:val="00901AEC"/>
    <w:rsid w:val="00901E28"/>
    <w:rsid w:val="00902408"/>
    <w:rsid w:val="0090341B"/>
    <w:rsid w:val="00904619"/>
    <w:rsid w:val="0091754E"/>
    <w:rsid w:val="00920F60"/>
    <w:rsid w:val="0092178C"/>
    <w:rsid w:val="0092597F"/>
    <w:rsid w:val="009264BF"/>
    <w:rsid w:val="00926F06"/>
    <w:rsid w:val="00930B88"/>
    <w:rsid w:val="00930C9F"/>
    <w:rsid w:val="00933524"/>
    <w:rsid w:val="00933A6C"/>
    <w:rsid w:val="009349CC"/>
    <w:rsid w:val="00937030"/>
    <w:rsid w:val="00940DCC"/>
    <w:rsid w:val="0094179A"/>
    <w:rsid w:val="009421AF"/>
    <w:rsid w:val="00943875"/>
    <w:rsid w:val="00944409"/>
    <w:rsid w:val="0094459E"/>
    <w:rsid w:val="00944DBC"/>
    <w:rsid w:val="00944F5C"/>
    <w:rsid w:val="00946C10"/>
    <w:rsid w:val="00950977"/>
    <w:rsid w:val="00951A7B"/>
    <w:rsid w:val="009529DB"/>
    <w:rsid w:val="0095385C"/>
    <w:rsid w:val="009545CC"/>
    <w:rsid w:val="00954BFB"/>
    <w:rsid w:val="009564A6"/>
    <w:rsid w:val="00957745"/>
    <w:rsid w:val="00957861"/>
    <w:rsid w:val="00963C01"/>
    <w:rsid w:val="00967621"/>
    <w:rsid w:val="00967E6A"/>
    <w:rsid w:val="00977C54"/>
    <w:rsid w:val="00982294"/>
    <w:rsid w:val="00982F39"/>
    <w:rsid w:val="009840F2"/>
    <w:rsid w:val="00985146"/>
    <w:rsid w:val="009853F4"/>
    <w:rsid w:val="00985FD1"/>
    <w:rsid w:val="00986BCF"/>
    <w:rsid w:val="00987F81"/>
    <w:rsid w:val="00991737"/>
    <w:rsid w:val="00992516"/>
    <w:rsid w:val="00992C68"/>
    <w:rsid w:val="009A24B3"/>
    <w:rsid w:val="009A4A85"/>
    <w:rsid w:val="009A4B5E"/>
    <w:rsid w:val="009A516E"/>
    <w:rsid w:val="009B1DC2"/>
    <w:rsid w:val="009B2DE9"/>
    <w:rsid w:val="009B4A0F"/>
    <w:rsid w:val="009B4AD3"/>
    <w:rsid w:val="009B5937"/>
    <w:rsid w:val="009C11D2"/>
    <w:rsid w:val="009C4E3A"/>
    <w:rsid w:val="009C532F"/>
    <w:rsid w:val="009C6C70"/>
    <w:rsid w:val="009D0103"/>
    <w:rsid w:val="009D0B63"/>
    <w:rsid w:val="009D2FA0"/>
    <w:rsid w:val="009D529E"/>
    <w:rsid w:val="009D6889"/>
    <w:rsid w:val="009E307E"/>
    <w:rsid w:val="009E3C7B"/>
    <w:rsid w:val="009E5885"/>
    <w:rsid w:val="009E62E9"/>
    <w:rsid w:val="009E7B7D"/>
    <w:rsid w:val="009F0723"/>
    <w:rsid w:val="009F1E8B"/>
    <w:rsid w:val="009F47A9"/>
    <w:rsid w:val="009F4A28"/>
    <w:rsid w:val="009F4D8B"/>
    <w:rsid w:val="00A06C21"/>
    <w:rsid w:val="00A07870"/>
    <w:rsid w:val="00A07F19"/>
    <w:rsid w:val="00A12DBB"/>
    <w:rsid w:val="00A1348D"/>
    <w:rsid w:val="00A15DAC"/>
    <w:rsid w:val="00A175EF"/>
    <w:rsid w:val="00A17CB6"/>
    <w:rsid w:val="00A21F1E"/>
    <w:rsid w:val="00A232EE"/>
    <w:rsid w:val="00A27F8A"/>
    <w:rsid w:val="00A30939"/>
    <w:rsid w:val="00A328F3"/>
    <w:rsid w:val="00A37E35"/>
    <w:rsid w:val="00A4175F"/>
    <w:rsid w:val="00A422AC"/>
    <w:rsid w:val="00A428E5"/>
    <w:rsid w:val="00A44411"/>
    <w:rsid w:val="00A44F7D"/>
    <w:rsid w:val="00A469B0"/>
    <w:rsid w:val="00A469FA"/>
    <w:rsid w:val="00A46F71"/>
    <w:rsid w:val="00A538EC"/>
    <w:rsid w:val="00A55B01"/>
    <w:rsid w:val="00A56B5B"/>
    <w:rsid w:val="00A57E90"/>
    <w:rsid w:val="00A603FF"/>
    <w:rsid w:val="00A630F9"/>
    <w:rsid w:val="00A657DD"/>
    <w:rsid w:val="00A666A6"/>
    <w:rsid w:val="00A675EF"/>
    <w:rsid w:val="00A675FD"/>
    <w:rsid w:val="00A706C7"/>
    <w:rsid w:val="00A71126"/>
    <w:rsid w:val="00A72437"/>
    <w:rsid w:val="00A72C86"/>
    <w:rsid w:val="00A763CF"/>
    <w:rsid w:val="00A77999"/>
    <w:rsid w:val="00A80611"/>
    <w:rsid w:val="00A84F78"/>
    <w:rsid w:val="00A93646"/>
    <w:rsid w:val="00A93F24"/>
    <w:rsid w:val="00A95469"/>
    <w:rsid w:val="00AA3A2E"/>
    <w:rsid w:val="00AA6658"/>
    <w:rsid w:val="00AA6D7B"/>
    <w:rsid w:val="00AB1449"/>
    <w:rsid w:val="00AB5340"/>
    <w:rsid w:val="00AB6E5A"/>
    <w:rsid w:val="00AC0A35"/>
    <w:rsid w:val="00AC0A89"/>
    <w:rsid w:val="00AC2D93"/>
    <w:rsid w:val="00AC3F9C"/>
    <w:rsid w:val="00AC45CD"/>
    <w:rsid w:val="00AC7C96"/>
    <w:rsid w:val="00AD1934"/>
    <w:rsid w:val="00AD2394"/>
    <w:rsid w:val="00AE237D"/>
    <w:rsid w:val="00AE3164"/>
    <w:rsid w:val="00AE502A"/>
    <w:rsid w:val="00AE5E60"/>
    <w:rsid w:val="00AF0130"/>
    <w:rsid w:val="00AF212C"/>
    <w:rsid w:val="00AF4260"/>
    <w:rsid w:val="00AF7C07"/>
    <w:rsid w:val="00B02769"/>
    <w:rsid w:val="00B02C53"/>
    <w:rsid w:val="00B03F48"/>
    <w:rsid w:val="00B05F14"/>
    <w:rsid w:val="00B0681D"/>
    <w:rsid w:val="00B07B1F"/>
    <w:rsid w:val="00B14DB5"/>
    <w:rsid w:val="00B15A0B"/>
    <w:rsid w:val="00B168A0"/>
    <w:rsid w:val="00B16C70"/>
    <w:rsid w:val="00B21913"/>
    <w:rsid w:val="00B22C93"/>
    <w:rsid w:val="00B22FEA"/>
    <w:rsid w:val="00B27589"/>
    <w:rsid w:val="00B31CEA"/>
    <w:rsid w:val="00B31DEF"/>
    <w:rsid w:val="00B35EEE"/>
    <w:rsid w:val="00B3653B"/>
    <w:rsid w:val="00B37488"/>
    <w:rsid w:val="00B405B7"/>
    <w:rsid w:val="00B40640"/>
    <w:rsid w:val="00B411C3"/>
    <w:rsid w:val="00B4136E"/>
    <w:rsid w:val="00B4246C"/>
    <w:rsid w:val="00B42BDA"/>
    <w:rsid w:val="00B44341"/>
    <w:rsid w:val="00B52222"/>
    <w:rsid w:val="00B53B0F"/>
    <w:rsid w:val="00B54FE7"/>
    <w:rsid w:val="00B57319"/>
    <w:rsid w:val="00B6014C"/>
    <w:rsid w:val="00B647A3"/>
    <w:rsid w:val="00B64AF3"/>
    <w:rsid w:val="00B66901"/>
    <w:rsid w:val="00B672D0"/>
    <w:rsid w:val="00B70BD6"/>
    <w:rsid w:val="00B71E6D"/>
    <w:rsid w:val="00B72070"/>
    <w:rsid w:val="00B72837"/>
    <w:rsid w:val="00B72DE3"/>
    <w:rsid w:val="00B75C37"/>
    <w:rsid w:val="00B76DB7"/>
    <w:rsid w:val="00B779E1"/>
    <w:rsid w:val="00B838F4"/>
    <w:rsid w:val="00B84AB2"/>
    <w:rsid w:val="00B852B6"/>
    <w:rsid w:val="00B86703"/>
    <w:rsid w:val="00B87C32"/>
    <w:rsid w:val="00B90B50"/>
    <w:rsid w:val="00B91EE1"/>
    <w:rsid w:val="00B925E2"/>
    <w:rsid w:val="00B95BCE"/>
    <w:rsid w:val="00BA0090"/>
    <w:rsid w:val="00BA1A67"/>
    <w:rsid w:val="00BA1F1F"/>
    <w:rsid w:val="00BA23BB"/>
    <w:rsid w:val="00BA35CB"/>
    <w:rsid w:val="00BA39EB"/>
    <w:rsid w:val="00BA60A2"/>
    <w:rsid w:val="00BA64C3"/>
    <w:rsid w:val="00BA7880"/>
    <w:rsid w:val="00BA7E0A"/>
    <w:rsid w:val="00BB2106"/>
    <w:rsid w:val="00BB27CC"/>
    <w:rsid w:val="00BB387D"/>
    <w:rsid w:val="00BB507E"/>
    <w:rsid w:val="00BC02FC"/>
    <w:rsid w:val="00BC12AA"/>
    <w:rsid w:val="00BC2237"/>
    <w:rsid w:val="00BC3D4B"/>
    <w:rsid w:val="00BC4A77"/>
    <w:rsid w:val="00BC72E3"/>
    <w:rsid w:val="00BD3341"/>
    <w:rsid w:val="00BD7A91"/>
    <w:rsid w:val="00BD7F10"/>
    <w:rsid w:val="00BE5B5F"/>
    <w:rsid w:val="00BE61F5"/>
    <w:rsid w:val="00BE6E65"/>
    <w:rsid w:val="00BF2EC8"/>
    <w:rsid w:val="00C000A0"/>
    <w:rsid w:val="00C00653"/>
    <w:rsid w:val="00C10CA9"/>
    <w:rsid w:val="00C11B29"/>
    <w:rsid w:val="00C12B54"/>
    <w:rsid w:val="00C13200"/>
    <w:rsid w:val="00C13476"/>
    <w:rsid w:val="00C13E8C"/>
    <w:rsid w:val="00C1572E"/>
    <w:rsid w:val="00C162B0"/>
    <w:rsid w:val="00C1703A"/>
    <w:rsid w:val="00C202DE"/>
    <w:rsid w:val="00C20FC0"/>
    <w:rsid w:val="00C2295F"/>
    <w:rsid w:val="00C26F55"/>
    <w:rsid w:val="00C30C63"/>
    <w:rsid w:val="00C318B3"/>
    <w:rsid w:val="00C31AE9"/>
    <w:rsid w:val="00C35ABF"/>
    <w:rsid w:val="00C3663E"/>
    <w:rsid w:val="00C36698"/>
    <w:rsid w:val="00C369B9"/>
    <w:rsid w:val="00C36B8B"/>
    <w:rsid w:val="00C415C1"/>
    <w:rsid w:val="00C422C0"/>
    <w:rsid w:val="00C47DBF"/>
    <w:rsid w:val="00C53F0C"/>
    <w:rsid w:val="00C542CF"/>
    <w:rsid w:val="00C552FF"/>
    <w:rsid w:val="00C558DA"/>
    <w:rsid w:val="00C55AF3"/>
    <w:rsid w:val="00C56DB0"/>
    <w:rsid w:val="00C57A13"/>
    <w:rsid w:val="00C6115A"/>
    <w:rsid w:val="00C63C84"/>
    <w:rsid w:val="00C64439"/>
    <w:rsid w:val="00C6504D"/>
    <w:rsid w:val="00C65F29"/>
    <w:rsid w:val="00C6710F"/>
    <w:rsid w:val="00C70C11"/>
    <w:rsid w:val="00C75467"/>
    <w:rsid w:val="00C75DFD"/>
    <w:rsid w:val="00C84759"/>
    <w:rsid w:val="00C853FF"/>
    <w:rsid w:val="00C91609"/>
    <w:rsid w:val="00C9256E"/>
    <w:rsid w:val="00C946DC"/>
    <w:rsid w:val="00C94E39"/>
    <w:rsid w:val="00CA2FF8"/>
    <w:rsid w:val="00CA3423"/>
    <w:rsid w:val="00CA6C7F"/>
    <w:rsid w:val="00CB144B"/>
    <w:rsid w:val="00CB2C73"/>
    <w:rsid w:val="00CB510E"/>
    <w:rsid w:val="00CB65C0"/>
    <w:rsid w:val="00CC0374"/>
    <w:rsid w:val="00CC10A6"/>
    <w:rsid w:val="00CC40EE"/>
    <w:rsid w:val="00CC49D4"/>
    <w:rsid w:val="00CC61A2"/>
    <w:rsid w:val="00CC728E"/>
    <w:rsid w:val="00CC7D74"/>
    <w:rsid w:val="00CC7F7E"/>
    <w:rsid w:val="00CD0A8F"/>
    <w:rsid w:val="00CD1974"/>
    <w:rsid w:val="00CD1FD9"/>
    <w:rsid w:val="00CD4161"/>
    <w:rsid w:val="00CD50D2"/>
    <w:rsid w:val="00CD5EB8"/>
    <w:rsid w:val="00CD6CB9"/>
    <w:rsid w:val="00CD7044"/>
    <w:rsid w:val="00CE08B9"/>
    <w:rsid w:val="00CE0D81"/>
    <w:rsid w:val="00CE3569"/>
    <w:rsid w:val="00CE4793"/>
    <w:rsid w:val="00CE524C"/>
    <w:rsid w:val="00CF141F"/>
    <w:rsid w:val="00CF1793"/>
    <w:rsid w:val="00CF345D"/>
    <w:rsid w:val="00CF4116"/>
    <w:rsid w:val="00CF4777"/>
    <w:rsid w:val="00CF4F3A"/>
    <w:rsid w:val="00CF679D"/>
    <w:rsid w:val="00CF6BE2"/>
    <w:rsid w:val="00CF7236"/>
    <w:rsid w:val="00D019FF"/>
    <w:rsid w:val="00D067BB"/>
    <w:rsid w:val="00D10AF7"/>
    <w:rsid w:val="00D12865"/>
    <w:rsid w:val="00D1352A"/>
    <w:rsid w:val="00D14DF7"/>
    <w:rsid w:val="00D15AB5"/>
    <w:rsid w:val="00D169AF"/>
    <w:rsid w:val="00D23E35"/>
    <w:rsid w:val="00D24871"/>
    <w:rsid w:val="00D25249"/>
    <w:rsid w:val="00D3333B"/>
    <w:rsid w:val="00D3497E"/>
    <w:rsid w:val="00D35D2A"/>
    <w:rsid w:val="00D3663E"/>
    <w:rsid w:val="00D44172"/>
    <w:rsid w:val="00D449F5"/>
    <w:rsid w:val="00D45309"/>
    <w:rsid w:val="00D47E88"/>
    <w:rsid w:val="00D54A7B"/>
    <w:rsid w:val="00D55994"/>
    <w:rsid w:val="00D6194A"/>
    <w:rsid w:val="00D61D73"/>
    <w:rsid w:val="00D61F6C"/>
    <w:rsid w:val="00D63B8C"/>
    <w:rsid w:val="00D6486E"/>
    <w:rsid w:val="00D70A13"/>
    <w:rsid w:val="00D716E1"/>
    <w:rsid w:val="00D72308"/>
    <w:rsid w:val="00D739CC"/>
    <w:rsid w:val="00D74B56"/>
    <w:rsid w:val="00D757AE"/>
    <w:rsid w:val="00D75E52"/>
    <w:rsid w:val="00D8093D"/>
    <w:rsid w:val="00D8108C"/>
    <w:rsid w:val="00D82906"/>
    <w:rsid w:val="00D829CF"/>
    <w:rsid w:val="00D842AE"/>
    <w:rsid w:val="00D848F1"/>
    <w:rsid w:val="00D8579D"/>
    <w:rsid w:val="00D85C25"/>
    <w:rsid w:val="00D9211C"/>
    <w:rsid w:val="00D92C4B"/>
    <w:rsid w:val="00D92DDB"/>
    <w:rsid w:val="00D92DE0"/>
    <w:rsid w:val="00D92FEF"/>
    <w:rsid w:val="00D938E0"/>
    <w:rsid w:val="00D93A0F"/>
    <w:rsid w:val="00D95925"/>
    <w:rsid w:val="00D96F4B"/>
    <w:rsid w:val="00DA0AA3"/>
    <w:rsid w:val="00DA1BCA"/>
    <w:rsid w:val="00DA79CE"/>
    <w:rsid w:val="00DB11D1"/>
    <w:rsid w:val="00DB2173"/>
    <w:rsid w:val="00DB2B23"/>
    <w:rsid w:val="00DB7D4F"/>
    <w:rsid w:val="00DC1DB9"/>
    <w:rsid w:val="00DC2E31"/>
    <w:rsid w:val="00DC46FF"/>
    <w:rsid w:val="00DC5254"/>
    <w:rsid w:val="00DC7775"/>
    <w:rsid w:val="00DD0FE6"/>
    <w:rsid w:val="00DD1A4F"/>
    <w:rsid w:val="00DD3107"/>
    <w:rsid w:val="00DD3C7F"/>
    <w:rsid w:val="00DD3F2D"/>
    <w:rsid w:val="00DD4DF4"/>
    <w:rsid w:val="00DD5FA6"/>
    <w:rsid w:val="00DD7353"/>
    <w:rsid w:val="00DD7C2C"/>
    <w:rsid w:val="00DE42DE"/>
    <w:rsid w:val="00DE46E4"/>
    <w:rsid w:val="00DE4F6D"/>
    <w:rsid w:val="00DF3343"/>
    <w:rsid w:val="00DF727C"/>
    <w:rsid w:val="00DF73A0"/>
    <w:rsid w:val="00E06279"/>
    <w:rsid w:val="00E06797"/>
    <w:rsid w:val="00E07928"/>
    <w:rsid w:val="00E1265B"/>
    <w:rsid w:val="00E12F83"/>
    <w:rsid w:val="00E13B48"/>
    <w:rsid w:val="00E1404F"/>
    <w:rsid w:val="00E14DE3"/>
    <w:rsid w:val="00E17C45"/>
    <w:rsid w:val="00E17D35"/>
    <w:rsid w:val="00E21C83"/>
    <w:rsid w:val="00E24243"/>
    <w:rsid w:val="00E24ADA"/>
    <w:rsid w:val="00E25B58"/>
    <w:rsid w:val="00E274B1"/>
    <w:rsid w:val="00E30B88"/>
    <w:rsid w:val="00E32EC0"/>
    <w:rsid w:val="00E32F59"/>
    <w:rsid w:val="00E346EC"/>
    <w:rsid w:val="00E360DE"/>
    <w:rsid w:val="00E37883"/>
    <w:rsid w:val="00E437CB"/>
    <w:rsid w:val="00E43C1D"/>
    <w:rsid w:val="00E44828"/>
    <w:rsid w:val="00E46D9A"/>
    <w:rsid w:val="00E515BC"/>
    <w:rsid w:val="00E550DE"/>
    <w:rsid w:val="00E551DF"/>
    <w:rsid w:val="00E564D7"/>
    <w:rsid w:val="00E565FF"/>
    <w:rsid w:val="00E62CC3"/>
    <w:rsid w:val="00E65388"/>
    <w:rsid w:val="00E66850"/>
    <w:rsid w:val="00E8136E"/>
    <w:rsid w:val="00E82EFB"/>
    <w:rsid w:val="00E85025"/>
    <w:rsid w:val="00E85B7D"/>
    <w:rsid w:val="00E8657B"/>
    <w:rsid w:val="00E867D8"/>
    <w:rsid w:val="00E9007E"/>
    <w:rsid w:val="00E9121B"/>
    <w:rsid w:val="00E91715"/>
    <w:rsid w:val="00E921B9"/>
    <w:rsid w:val="00E9272E"/>
    <w:rsid w:val="00E9700D"/>
    <w:rsid w:val="00E971FF"/>
    <w:rsid w:val="00EA0288"/>
    <w:rsid w:val="00EA0AE2"/>
    <w:rsid w:val="00EA188C"/>
    <w:rsid w:val="00EA35A4"/>
    <w:rsid w:val="00EA3652"/>
    <w:rsid w:val="00EA3812"/>
    <w:rsid w:val="00EA39E5"/>
    <w:rsid w:val="00EA5A8A"/>
    <w:rsid w:val="00EA670B"/>
    <w:rsid w:val="00EB0CA9"/>
    <w:rsid w:val="00EB0F4A"/>
    <w:rsid w:val="00EB56A4"/>
    <w:rsid w:val="00EB764D"/>
    <w:rsid w:val="00EC5A46"/>
    <w:rsid w:val="00EC63E2"/>
    <w:rsid w:val="00ED3A10"/>
    <w:rsid w:val="00ED7B29"/>
    <w:rsid w:val="00EE3D59"/>
    <w:rsid w:val="00EE455D"/>
    <w:rsid w:val="00EE5EB5"/>
    <w:rsid w:val="00EE7D99"/>
    <w:rsid w:val="00EF22B3"/>
    <w:rsid w:val="00EF2D54"/>
    <w:rsid w:val="00F003EF"/>
    <w:rsid w:val="00F03B69"/>
    <w:rsid w:val="00F06E45"/>
    <w:rsid w:val="00F07A50"/>
    <w:rsid w:val="00F10E6F"/>
    <w:rsid w:val="00F113DA"/>
    <w:rsid w:val="00F1205F"/>
    <w:rsid w:val="00F2206B"/>
    <w:rsid w:val="00F22962"/>
    <w:rsid w:val="00F239C8"/>
    <w:rsid w:val="00F2482F"/>
    <w:rsid w:val="00F27546"/>
    <w:rsid w:val="00F27C70"/>
    <w:rsid w:val="00F37DC8"/>
    <w:rsid w:val="00F42CAB"/>
    <w:rsid w:val="00F439B3"/>
    <w:rsid w:val="00F441F5"/>
    <w:rsid w:val="00F44821"/>
    <w:rsid w:val="00F47D28"/>
    <w:rsid w:val="00F47D6D"/>
    <w:rsid w:val="00F5243A"/>
    <w:rsid w:val="00F53E70"/>
    <w:rsid w:val="00F54840"/>
    <w:rsid w:val="00F54990"/>
    <w:rsid w:val="00F55D6F"/>
    <w:rsid w:val="00F57F5C"/>
    <w:rsid w:val="00F63598"/>
    <w:rsid w:val="00F64878"/>
    <w:rsid w:val="00F650C3"/>
    <w:rsid w:val="00F65560"/>
    <w:rsid w:val="00F65D85"/>
    <w:rsid w:val="00F66590"/>
    <w:rsid w:val="00F6686F"/>
    <w:rsid w:val="00F66D06"/>
    <w:rsid w:val="00F67182"/>
    <w:rsid w:val="00F70C03"/>
    <w:rsid w:val="00F802C3"/>
    <w:rsid w:val="00F8091E"/>
    <w:rsid w:val="00F829DC"/>
    <w:rsid w:val="00F833AB"/>
    <w:rsid w:val="00F84A83"/>
    <w:rsid w:val="00F85928"/>
    <w:rsid w:val="00F8603D"/>
    <w:rsid w:val="00F8615C"/>
    <w:rsid w:val="00F91CB3"/>
    <w:rsid w:val="00F969E5"/>
    <w:rsid w:val="00F97F2F"/>
    <w:rsid w:val="00FA2A04"/>
    <w:rsid w:val="00FA6AD2"/>
    <w:rsid w:val="00FA6BB0"/>
    <w:rsid w:val="00FA7809"/>
    <w:rsid w:val="00FB5781"/>
    <w:rsid w:val="00FC06B7"/>
    <w:rsid w:val="00FC2C01"/>
    <w:rsid w:val="00FC57F1"/>
    <w:rsid w:val="00FC70C6"/>
    <w:rsid w:val="00FC7169"/>
    <w:rsid w:val="00FD22BD"/>
    <w:rsid w:val="00FD5860"/>
    <w:rsid w:val="00FD6162"/>
    <w:rsid w:val="00FD6790"/>
    <w:rsid w:val="00FD7F48"/>
    <w:rsid w:val="00FE0F8F"/>
    <w:rsid w:val="00FE12C4"/>
    <w:rsid w:val="00FE352D"/>
    <w:rsid w:val="00FE40EB"/>
    <w:rsid w:val="00FE4371"/>
    <w:rsid w:val="00FE48BE"/>
    <w:rsid w:val="00FE4B8D"/>
    <w:rsid w:val="00FE4D02"/>
    <w:rsid w:val="00FE4D18"/>
    <w:rsid w:val="00FE58F0"/>
    <w:rsid w:val="00FE7D62"/>
    <w:rsid w:val="00FF133A"/>
    <w:rsid w:val="00FF2144"/>
    <w:rsid w:val="00FF3819"/>
    <w:rsid w:val="00FF5B79"/>
    <w:rsid w:val="00FF7920"/>
    <w:rsid w:val="00FF7DB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EC8"/>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lang w:val="en-US"/>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CA2FF8"/>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CA2FF8"/>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link w:val="FootnoteText"/>
    <w:uiPriority w:val="99"/>
    <w:semiHidden/>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99"/>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En-ttedetabledesmatires1">
    <w:name w:val="En-tête de table des matières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styleId="TableGrid">
    <w:name w:val="Table Grid"/>
    <w:basedOn w:val="TableNormal"/>
    <w:uiPriority w:val="39"/>
    <w:rsid w:val="00615E75"/>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CA2FF8"/>
    <w:rPr>
      <w:lang w:val="fr-FR"/>
    </w:rPr>
  </w:style>
  <w:style w:type="paragraph" w:customStyle="1" w:styleId="H1">
    <w:name w:val="_ H_1"/>
    <w:basedOn w:val="Normal"/>
    <w:next w:val="SingleTxt"/>
    <w:rsid w:val="00563641"/>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rPr>
  </w:style>
  <w:style w:type="paragraph" w:customStyle="1" w:styleId="SingleTxt">
    <w:name w:val="__Single Txt"/>
    <w:basedOn w:val="Normal"/>
    <w:rsid w:val="00563641"/>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rPr>
  </w:style>
  <w:style w:type="table" w:customStyle="1" w:styleId="AATable">
    <w:name w:val="AA_Table"/>
    <w:basedOn w:val="TableNormal"/>
    <w:semiHidden/>
    <w:rsid w:val="00CA2FF8"/>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BF2EC8"/>
    <w:rPr>
      <w:rFonts w:ascii="Times New Roman" w:hAnsi="Times New Roman"/>
      <w:b w:val="0"/>
      <w:color w:val="0000FF"/>
      <w:sz w:val="20"/>
      <w:szCs w:val="20"/>
      <w:u w:val="singl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styleId="FollowedHyperlink">
    <w:name w:val="FollowedHyperlink"/>
    <w:rsid w:val="00B84AB2"/>
    <w:rPr>
      <w:color w:val="800080"/>
      <w:u w:val="single"/>
    </w:rPr>
  </w:style>
  <w:style w:type="paragraph" w:customStyle="1" w:styleId="MediumList2-Accent21">
    <w:name w:val="Medium List 2 - Accent 21"/>
    <w:hidden/>
    <w:uiPriority w:val="71"/>
    <w:rsid w:val="006B5460"/>
    <w:rPr>
      <w:lang w:val="en-GB"/>
    </w:rPr>
  </w:style>
  <w:style w:type="character" w:styleId="CommentReference">
    <w:name w:val="annotation reference"/>
    <w:rsid w:val="00BB387D"/>
    <w:rPr>
      <w:sz w:val="16"/>
      <w:szCs w:val="16"/>
    </w:rPr>
  </w:style>
  <w:style w:type="paragraph" w:styleId="CommentText">
    <w:name w:val="annotation text"/>
    <w:basedOn w:val="Normal"/>
    <w:link w:val="CommentTextChar"/>
    <w:rsid w:val="00BB387D"/>
  </w:style>
  <w:style w:type="character" w:customStyle="1" w:styleId="CommentTextChar">
    <w:name w:val="Comment Text Char"/>
    <w:link w:val="CommentText"/>
    <w:rsid w:val="00BB387D"/>
    <w:rPr>
      <w:lang w:eastAsia="en-US"/>
    </w:rPr>
  </w:style>
  <w:style w:type="paragraph" w:styleId="CommentSubject">
    <w:name w:val="annotation subject"/>
    <w:basedOn w:val="CommentText"/>
    <w:next w:val="CommentText"/>
    <w:link w:val="CommentSubjectChar"/>
    <w:rsid w:val="00BB387D"/>
    <w:rPr>
      <w:b/>
      <w:bCs/>
    </w:rPr>
  </w:style>
  <w:style w:type="character" w:customStyle="1" w:styleId="CommentSubjectChar">
    <w:name w:val="Comment Subject Char"/>
    <w:link w:val="CommentSubject"/>
    <w:rsid w:val="00BB387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2EC8"/>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CA2FF8"/>
    <w:pPr>
      <w:keepNext/>
      <w:spacing w:before="240" w:after="120"/>
      <w:ind w:left="1247" w:hanging="680"/>
      <w:outlineLvl w:val="0"/>
    </w:pPr>
    <w:rPr>
      <w:b/>
      <w:sz w:val="28"/>
    </w:rPr>
  </w:style>
  <w:style w:type="paragraph" w:styleId="Heading2">
    <w:name w:val="heading 2"/>
    <w:basedOn w:val="Normal"/>
    <w:next w:val="Normalnumber"/>
    <w:link w:val="Heading2Char"/>
    <w:qFormat/>
    <w:rsid w:val="00CA2FF8"/>
    <w:pPr>
      <w:keepNext/>
      <w:spacing w:before="240" w:after="120"/>
      <w:ind w:left="1247" w:hanging="680"/>
      <w:outlineLvl w:val="1"/>
    </w:pPr>
    <w:rPr>
      <w:b/>
      <w:sz w:val="24"/>
      <w:szCs w:val="24"/>
    </w:rPr>
  </w:style>
  <w:style w:type="paragraph" w:styleId="Heading3">
    <w:name w:val="heading 3"/>
    <w:basedOn w:val="Normal"/>
    <w:next w:val="Normalnumber"/>
    <w:qFormat/>
    <w:rsid w:val="00CA2FF8"/>
    <w:pPr>
      <w:spacing w:after="120"/>
      <w:ind w:left="1247" w:hanging="680"/>
      <w:outlineLvl w:val="2"/>
    </w:pPr>
    <w:rPr>
      <w:b/>
    </w:rPr>
  </w:style>
  <w:style w:type="paragraph" w:styleId="Heading4">
    <w:name w:val="heading 4"/>
    <w:basedOn w:val="Heading3"/>
    <w:next w:val="Normalnumber"/>
    <w:qFormat/>
    <w:rsid w:val="00CA2FF8"/>
    <w:pPr>
      <w:keepNext/>
      <w:outlineLvl w:val="3"/>
    </w:pPr>
  </w:style>
  <w:style w:type="paragraph" w:styleId="Heading5">
    <w:name w:val="heading 5"/>
    <w:basedOn w:val="Normal"/>
    <w:next w:val="Normal"/>
    <w:qFormat/>
    <w:rsid w:val="00CA2FF8"/>
    <w:pPr>
      <w:keepNext/>
      <w:outlineLvl w:val="4"/>
    </w:pPr>
    <w:rPr>
      <w:rFonts w:ascii="Univers" w:hAnsi="Univers"/>
      <w:b/>
      <w:sz w:val="24"/>
    </w:rPr>
  </w:style>
  <w:style w:type="paragraph" w:styleId="Heading6">
    <w:name w:val="heading 6"/>
    <w:basedOn w:val="Normal"/>
    <w:next w:val="Normal"/>
    <w:qFormat/>
    <w:rsid w:val="00CA2FF8"/>
    <w:pPr>
      <w:keepNext/>
      <w:ind w:left="578"/>
      <w:outlineLvl w:val="5"/>
    </w:pPr>
    <w:rPr>
      <w:b/>
      <w:bCs/>
      <w:sz w:val="24"/>
    </w:rPr>
  </w:style>
  <w:style w:type="paragraph" w:styleId="Heading7">
    <w:name w:val="heading 7"/>
    <w:basedOn w:val="Normal"/>
    <w:next w:val="Normal"/>
    <w:qFormat/>
    <w:rsid w:val="00CA2FF8"/>
    <w:pPr>
      <w:keepNext/>
      <w:widowControl w:val="0"/>
      <w:jc w:val="center"/>
      <w:outlineLvl w:val="6"/>
    </w:pPr>
    <w:rPr>
      <w:snapToGrid w:val="0"/>
      <w:u w:val="single"/>
      <w:lang w:val="en-US"/>
    </w:rPr>
  </w:style>
  <w:style w:type="paragraph" w:styleId="Heading8">
    <w:name w:val="heading 8"/>
    <w:basedOn w:val="Normal"/>
    <w:next w:val="Normal"/>
    <w:qFormat/>
    <w:rsid w:val="00CA2FF8"/>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CA2FF8"/>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CA2FF8"/>
    <w:rPr>
      <w:rFonts w:ascii="Times New Roman" w:hAnsi="Times New Roman"/>
      <w:b/>
      <w:sz w:val="18"/>
    </w:rPr>
  </w:style>
  <w:style w:type="table" w:customStyle="1" w:styleId="Tabledocright">
    <w:name w:val="Table_doc_right"/>
    <w:basedOn w:val="TableNormal"/>
    <w:rsid w:val="00CA2FF8"/>
    <w:pPr>
      <w:spacing w:before="40" w:after="40"/>
    </w:pPr>
    <w:rPr>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CA2FF8"/>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CA2FF8"/>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CA2FF8"/>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CA2FF8"/>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CA2FF8"/>
    <w:rPr>
      <w:bCs w:val="0"/>
    </w:rPr>
  </w:style>
  <w:style w:type="paragraph" w:styleId="TableofFigures">
    <w:name w:val="table of figures"/>
    <w:basedOn w:val="Normal"/>
    <w:next w:val="Normal"/>
    <w:autoRedefine/>
    <w:semiHidden/>
    <w:rsid w:val="00CA2FF8"/>
    <w:pPr>
      <w:tabs>
        <w:tab w:val="clear" w:pos="1814"/>
        <w:tab w:val="clear" w:pos="2381"/>
        <w:tab w:val="clear" w:pos="2948"/>
        <w:tab w:val="clear" w:pos="3515"/>
      </w:tabs>
      <w:ind w:left="1814" w:hanging="567"/>
    </w:pPr>
  </w:style>
  <w:style w:type="paragraph" w:customStyle="1" w:styleId="CH1">
    <w:name w:val="CH1"/>
    <w:basedOn w:val="Normalpool"/>
    <w:next w:val="CH2"/>
    <w:rsid w:val="00CA2FF8"/>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rsid w:val="00CA2FF8"/>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CA2FF8"/>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CA2FF8"/>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CA2FF8"/>
    <w:rPr>
      <w:rFonts w:ascii="Arial" w:hAnsi="Arial"/>
      <w:sz w:val="16"/>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CA2FF8"/>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CA2FF8"/>
    <w:pPr>
      <w:tabs>
        <w:tab w:val="left" w:pos="4321"/>
        <w:tab w:val="right" w:pos="8641"/>
      </w:tabs>
      <w:spacing w:before="60" w:after="120"/>
    </w:pPr>
    <w:rPr>
      <w:b/>
      <w:sz w:val="18"/>
    </w:rPr>
  </w:style>
  <w:style w:type="paragraph" w:customStyle="1" w:styleId="Headerpool">
    <w:name w:val="Header_pool"/>
    <w:basedOn w:val="Normal"/>
    <w:next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CA2FF8"/>
    <w:pPr>
      <w:tabs>
        <w:tab w:val="left" w:pos="1247"/>
        <w:tab w:val="left" w:pos="1814"/>
        <w:tab w:val="left" w:pos="2381"/>
        <w:tab w:val="left" w:pos="2948"/>
        <w:tab w:val="left" w:pos="3515"/>
        <w:tab w:val="left" w:pos="4082"/>
      </w:tabs>
    </w:pPr>
    <w:rPr>
      <w:lang w:val="fr-CA"/>
    </w:rPr>
  </w:style>
  <w:style w:type="paragraph" w:customStyle="1" w:styleId="Footer-pool">
    <w:name w:val="Footer-pool"/>
    <w:basedOn w:val="Normal-pool"/>
    <w:next w:val="Normal-pool"/>
    <w:rsid w:val="00CA2FF8"/>
    <w:pPr>
      <w:tabs>
        <w:tab w:val="left" w:pos="4321"/>
        <w:tab w:val="right" w:pos="8641"/>
      </w:tabs>
      <w:spacing w:before="60" w:after="120"/>
    </w:pPr>
    <w:rPr>
      <w:b/>
      <w:sz w:val="18"/>
    </w:rPr>
  </w:style>
  <w:style w:type="paragraph" w:customStyle="1" w:styleId="Header-pool">
    <w:name w:val="Header-pool"/>
    <w:basedOn w:val="Normal-pool"/>
    <w:next w:val="Normal-pool"/>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CA2FF8"/>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CA2FF8"/>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CA2FF8"/>
    <w:pPr>
      <w:spacing w:before="20" w:after="40"/>
      <w:ind w:left="1247"/>
    </w:pPr>
    <w:rPr>
      <w:sz w:val="18"/>
    </w:rPr>
  </w:style>
  <w:style w:type="character" w:customStyle="1" w:styleId="Heading1Char">
    <w:name w:val="Heading 1 Char"/>
    <w:link w:val="Heading1"/>
    <w:locked/>
    <w:rsid w:val="00B02C53"/>
    <w:rPr>
      <w:b/>
      <w:sz w:val="28"/>
      <w:lang w:eastAsia="en-US"/>
    </w:rPr>
  </w:style>
  <w:style w:type="character" w:customStyle="1" w:styleId="FootnoteTextChar">
    <w:name w:val="Footnote Text Char"/>
    <w:link w:val="FootnoteText"/>
    <w:uiPriority w:val="99"/>
    <w:semiHidden/>
    <w:rsid w:val="009349CC"/>
    <w:rPr>
      <w:sz w:val="18"/>
      <w:lang w:val="fr-CA"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99"/>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En-ttedetabledesmatires1">
    <w:name w:val="En-tête de table des matières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rsid w:val="009349CC"/>
    <w:rPr>
      <w:b/>
      <w:sz w:val="24"/>
      <w:szCs w:val="24"/>
      <w:lang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table" w:styleId="TableGrid">
    <w:name w:val="Table Grid"/>
    <w:basedOn w:val="TableNormal"/>
    <w:uiPriority w:val="39"/>
    <w:rsid w:val="00615E75"/>
    <w:rPr>
      <w:rFonts w:ascii="Century" w:eastAsia="MS Mincho" w:hAnsi="Century"/>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CA2FF8"/>
    <w:rPr>
      <w:lang w:val="fr-FR"/>
    </w:rPr>
  </w:style>
  <w:style w:type="paragraph" w:customStyle="1" w:styleId="H1">
    <w:name w:val="_ H_1"/>
    <w:basedOn w:val="Normal"/>
    <w:next w:val="SingleTxt"/>
    <w:rsid w:val="00563641"/>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rPr>
  </w:style>
  <w:style w:type="paragraph" w:customStyle="1" w:styleId="SingleTxt">
    <w:name w:val="__Single Txt"/>
    <w:basedOn w:val="Normal"/>
    <w:rsid w:val="00563641"/>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rPr>
  </w:style>
  <w:style w:type="table" w:customStyle="1" w:styleId="AATable">
    <w:name w:val="AA_Table"/>
    <w:basedOn w:val="TableNormal"/>
    <w:semiHidden/>
    <w:rsid w:val="00CA2FF8"/>
    <w:rPr>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CA2FF8"/>
    <w:pPr>
      <w:keepNext/>
      <w:keepLines/>
      <w:suppressAutoHyphens/>
      <w:ind w:right="5103"/>
    </w:pPr>
    <w:rPr>
      <w:b/>
    </w:rPr>
  </w:style>
  <w:style w:type="paragraph" w:customStyle="1" w:styleId="AATitle2">
    <w:name w:val="AA_Title2"/>
    <w:basedOn w:val="AATitle"/>
    <w:rsid w:val="00CA2FF8"/>
    <w:pPr>
      <w:tabs>
        <w:tab w:val="clear" w:pos="4082"/>
      </w:tabs>
      <w:spacing w:before="120" w:after="120"/>
      <w:ind w:right="4536"/>
    </w:pPr>
  </w:style>
  <w:style w:type="paragraph" w:customStyle="1" w:styleId="BBTitle">
    <w:name w:val="BB_Title"/>
    <w:basedOn w:val="Normalpool"/>
    <w:rsid w:val="00CA2FF8"/>
    <w:pPr>
      <w:keepNext/>
      <w:keepLines/>
      <w:suppressAutoHyphens/>
      <w:spacing w:before="320" w:after="240"/>
      <w:ind w:left="1247" w:right="567"/>
    </w:pPr>
    <w:rPr>
      <w:b/>
      <w:sz w:val="28"/>
      <w:szCs w:val="28"/>
    </w:rPr>
  </w:style>
  <w:style w:type="paragraph" w:styleId="Footer">
    <w:name w:val="footer"/>
    <w:basedOn w:val="Normal"/>
    <w:semiHidden/>
    <w:rsid w:val="00CA2FF8"/>
    <w:pPr>
      <w:tabs>
        <w:tab w:val="center" w:pos="4320"/>
        <w:tab w:val="right" w:pos="8640"/>
      </w:tabs>
      <w:spacing w:before="60" w:after="120"/>
    </w:pPr>
    <w:rPr>
      <w:sz w:val="18"/>
    </w:rPr>
  </w:style>
  <w:style w:type="paragraph" w:styleId="Header">
    <w:name w:val="header"/>
    <w:basedOn w:val="Normal"/>
    <w:semiHidden/>
    <w:rsid w:val="00CA2FF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rsid w:val="00BF2EC8"/>
    <w:rPr>
      <w:rFonts w:ascii="Times New Roman" w:hAnsi="Times New Roman"/>
      <w:b w:val="0"/>
      <w:color w:val="0000FF"/>
      <w:sz w:val="20"/>
      <w:szCs w:val="20"/>
      <w:u w:val="single"/>
      <w:lang w:val="fr-FR"/>
    </w:rPr>
  </w:style>
  <w:style w:type="numbering" w:customStyle="1" w:styleId="Normallist">
    <w:name w:val="Normal_list"/>
    <w:basedOn w:val="NoList"/>
    <w:semiHidden/>
    <w:rsid w:val="00CA2FF8"/>
    <w:pPr>
      <w:numPr>
        <w:numId w:val="1"/>
      </w:numPr>
    </w:pPr>
  </w:style>
  <w:style w:type="paragraph" w:customStyle="1" w:styleId="NormalNonumber">
    <w:name w:val="Normal_No_number"/>
    <w:basedOn w:val="Normalpool"/>
    <w:rsid w:val="00CA2FF8"/>
    <w:pPr>
      <w:spacing w:after="120"/>
      <w:ind w:left="1247"/>
    </w:pPr>
  </w:style>
  <w:style w:type="paragraph" w:customStyle="1" w:styleId="Normalnumber">
    <w:name w:val="Normal_number"/>
    <w:basedOn w:val="Normalpool"/>
    <w:link w:val="NormalnumberChar"/>
    <w:rsid w:val="00CA2FF8"/>
    <w:pPr>
      <w:numPr>
        <w:numId w:val="4"/>
      </w:numPr>
      <w:spacing w:after="120"/>
    </w:pPr>
    <w:rPr>
      <w:lang w:val="fr-FR"/>
    </w:rPr>
  </w:style>
  <w:style w:type="paragraph" w:customStyle="1" w:styleId="Titletable">
    <w:name w:val="Title_table"/>
    <w:basedOn w:val="Normalpool"/>
    <w:rsid w:val="00CA2FF8"/>
    <w:pPr>
      <w:keepNext/>
      <w:keepLines/>
      <w:suppressAutoHyphens/>
      <w:spacing w:after="60"/>
      <w:ind w:left="1247"/>
    </w:pPr>
    <w:rPr>
      <w:b/>
      <w:bCs/>
    </w:rPr>
  </w:style>
  <w:style w:type="paragraph" w:styleId="TOC1">
    <w:name w:val="toc 1"/>
    <w:basedOn w:val="Normalpool"/>
    <w:next w:val="Normalpool"/>
    <w:rsid w:val="00CA2FF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CA2FF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CA2FF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CA2FF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CA2FF8"/>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CA2FF8"/>
    <w:rPr>
      <w:b/>
      <w:bCs/>
      <w:sz w:val="28"/>
      <w:szCs w:val="22"/>
    </w:rPr>
  </w:style>
  <w:style w:type="paragraph" w:customStyle="1" w:styleId="ZZAnxtitle">
    <w:name w:val="ZZ_Anx_title"/>
    <w:basedOn w:val="Normalpool"/>
    <w:rsid w:val="00CA2FF8"/>
    <w:pPr>
      <w:spacing w:before="360" w:after="120"/>
      <w:ind w:left="1247"/>
    </w:pPr>
    <w:rPr>
      <w:b/>
      <w:bCs/>
      <w:sz w:val="28"/>
      <w:szCs w:val="26"/>
    </w:rPr>
  </w:style>
  <w:style w:type="character" w:styleId="FollowedHyperlink">
    <w:name w:val="FollowedHyperlink"/>
    <w:rsid w:val="00B84AB2"/>
    <w:rPr>
      <w:color w:val="800080"/>
      <w:u w:val="single"/>
    </w:rPr>
  </w:style>
  <w:style w:type="paragraph" w:customStyle="1" w:styleId="MediumList2-Accent21">
    <w:name w:val="Medium List 2 - Accent 21"/>
    <w:hidden/>
    <w:uiPriority w:val="71"/>
    <w:rsid w:val="006B5460"/>
    <w:rPr>
      <w:lang w:val="en-GB"/>
    </w:rPr>
  </w:style>
  <w:style w:type="character" w:styleId="CommentReference">
    <w:name w:val="annotation reference"/>
    <w:rsid w:val="00BB387D"/>
    <w:rPr>
      <w:sz w:val="16"/>
      <w:szCs w:val="16"/>
    </w:rPr>
  </w:style>
  <w:style w:type="paragraph" w:styleId="CommentText">
    <w:name w:val="annotation text"/>
    <w:basedOn w:val="Normal"/>
    <w:link w:val="CommentTextChar"/>
    <w:rsid w:val="00BB387D"/>
  </w:style>
  <w:style w:type="character" w:customStyle="1" w:styleId="CommentTextChar">
    <w:name w:val="Comment Text Char"/>
    <w:link w:val="CommentText"/>
    <w:rsid w:val="00BB387D"/>
    <w:rPr>
      <w:lang w:eastAsia="en-US"/>
    </w:rPr>
  </w:style>
  <w:style w:type="paragraph" w:styleId="CommentSubject">
    <w:name w:val="annotation subject"/>
    <w:basedOn w:val="CommentText"/>
    <w:next w:val="CommentText"/>
    <w:link w:val="CommentSubjectChar"/>
    <w:rsid w:val="00BB387D"/>
    <w:rPr>
      <w:b/>
      <w:bCs/>
    </w:rPr>
  </w:style>
  <w:style w:type="character" w:customStyle="1" w:styleId="CommentSubjectChar">
    <w:name w:val="Comment Subject Char"/>
    <w:link w:val="CommentSubject"/>
    <w:rsid w:val="00BB387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077093598">
      <w:bodyDiv w:val="1"/>
      <w:marLeft w:val="0"/>
      <w:marRight w:val="0"/>
      <w:marTop w:val="0"/>
      <w:marBottom w:val="0"/>
      <w:divBdr>
        <w:top w:val="none" w:sz="0" w:space="0" w:color="auto"/>
        <w:left w:val="none" w:sz="0" w:space="0" w:color="auto"/>
        <w:bottom w:val="none" w:sz="0" w:space="0" w:color="auto"/>
        <w:right w:val="none" w:sz="0" w:space="0" w:color="auto"/>
      </w:divBdr>
      <w:divsChild>
        <w:div w:id="1352293067">
          <w:marLeft w:val="0"/>
          <w:marRight w:val="0"/>
          <w:marTop w:val="0"/>
          <w:marBottom w:val="0"/>
          <w:divBdr>
            <w:top w:val="none" w:sz="0" w:space="0" w:color="auto"/>
            <w:left w:val="none" w:sz="0" w:space="0" w:color="auto"/>
            <w:bottom w:val="none" w:sz="0" w:space="0" w:color="auto"/>
            <w:right w:val="none" w:sz="0" w:space="0" w:color="auto"/>
          </w:divBdr>
          <w:divsChild>
            <w:div w:id="1065302836">
              <w:marLeft w:val="0"/>
              <w:marRight w:val="0"/>
              <w:marTop w:val="0"/>
              <w:marBottom w:val="0"/>
              <w:divBdr>
                <w:top w:val="none" w:sz="0" w:space="0" w:color="auto"/>
                <w:left w:val="none" w:sz="0" w:space="0" w:color="auto"/>
                <w:bottom w:val="none" w:sz="0" w:space="0" w:color="auto"/>
                <w:right w:val="none" w:sz="0" w:space="0" w:color="auto"/>
              </w:divBdr>
              <w:divsChild>
                <w:div w:id="1955479922">
                  <w:marLeft w:val="0"/>
                  <w:marRight w:val="0"/>
                  <w:marTop w:val="0"/>
                  <w:marBottom w:val="0"/>
                  <w:divBdr>
                    <w:top w:val="none" w:sz="0" w:space="0" w:color="auto"/>
                    <w:left w:val="none" w:sz="0" w:space="0" w:color="auto"/>
                    <w:bottom w:val="none" w:sz="0" w:space="0" w:color="auto"/>
                    <w:right w:val="none" w:sz="0" w:space="0" w:color="auto"/>
                  </w:divBdr>
                  <w:divsChild>
                    <w:div w:id="1147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579754376">
      <w:bodyDiv w:val="1"/>
      <w:marLeft w:val="0"/>
      <w:marRight w:val="0"/>
      <w:marTop w:val="0"/>
      <w:marBottom w:val="0"/>
      <w:divBdr>
        <w:top w:val="none" w:sz="0" w:space="0" w:color="auto"/>
        <w:left w:val="none" w:sz="0" w:space="0" w:color="auto"/>
        <w:bottom w:val="none" w:sz="0" w:space="0" w:color="auto"/>
        <w:right w:val="none" w:sz="0" w:space="0" w:color="auto"/>
      </w:divBdr>
      <w:divsChild>
        <w:div w:id="468937598">
          <w:marLeft w:val="0"/>
          <w:marRight w:val="0"/>
          <w:marTop w:val="0"/>
          <w:marBottom w:val="0"/>
          <w:divBdr>
            <w:top w:val="none" w:sz="0" w:space="0" w:color="auto"/>
            <w:left w:val="none" w:sz="0" w:space="0" w:color="auto"/>
            <w:bottom w:val="none" w:sz="0" w:space="0" w:color="auto"/>
            <w:right w:val="none" w:sz="0" w:space="0" w:color="auto"/>
          </w:divBdr>
          <w:divsChild>
            <w:div w:id="1546721629">
              <w:marLeft w:val="0"/>
              <w:marRight w:val="0"/>
              <w:marTop w:val="0"/>
              <w:marBottom w:val="0"/>
              <w:divBdr>
                <w:top w:val="none" w:sz="0" w:space="0" w:color="auto"/>
                <w:left w:val="none" w:sz="0" w:space="0" w:color="auto"/>
                <w:bottom w:val="none" w:sz="0" w:space="0" w:color="auto"/>
                <w:right w:val="none" w:sz="0" w:space="0" w:color="auto"/>
              </w:divBdr>
              <w:divsChild>
                <w:div w:id="150289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mg.org/images/emgdocs/SOMMeetings/2015/EMGSOM21INF2FINAL_Joint_Statement_280815.pdf" TargetMode="External"/><Relationship Id="rId18" Type="http://schemas.openxmlformats.org/officeDocument/2006/relationships/hyperlink" Target="http://www.unemg.org/consultative-processes/environmental-management-peer-review" TargetMode="External"/><Relationship Id="rId26" Type="http://schemas.openxmlformats.org/officeDocument/2006/relationships/hyperlink" Target="https://sustainabledevelopment.un.org/index.php?page=view&amp;type=13&amp;nr=501&amp;menu=1634" TargetMode="External"/><Relationship Id="rId39" Type="http://schemas.openxmlformats.org/officeDocument/2006/relationships/hyperlink" Target="http://www.onu-haiti.org/un-in-haiti/" TargetMode="External"/><Relationship Id="rId3" Type="http://schemas.openxmlformats.org/officeDocument/2006/relationships/styles" Target="styles.xml"/><Relationship Id="rId21" Type="http://schemas.openxmlformats.org/officeDocument/2006/relationships/hyperlink" Target="http://www.unep.org/10yfp/About/tabid/106242/Default.aspx" TargetMode="External"/><Relationship Id="rId34" Type="http://schemas.openxmlformats.org/officeDocument/2006/relationships/hyperlink" Target="http://www.arabstates.undp.org/content/dam/rbas/doc/capacity%20building/UNDP-ADF-Priorities%20for%20the%20Post%202015%20Development%20Agenda-Amman-April2013....pdf"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unemg.org/issue-management-groups/sound-management-of-chemicals-and-waste" TargetMode="External"/><Relationship Id="rId17" Type="http://schemas.openxmlformats.org/officeDocument/2006/relationships/hyperlink" Target="http://www.unep.org/resourceefficiency/Society/SustainableUN/tabid/55551/Default.aspx" TargetMode="External"/><Relationship Id="rId25" Type="http://schemas.openxmlformats.org/officeDocument/2006/relationships/hyperlink" Target="https://sustainabledevelopment.un.org/hlpf" TargetMode="External"/><Relationship Id="rId33" Type="http://schemas.openxmlformats.org/officeDocument/2006/relationships/hyperlink" Target="http://www.escwa.un.org/main/scroll/printwhatsnew.asp?id=924&amp;referenceNUM=SDPD-HighLevel%20Manama-2015" TargetMode="External"/><Relationship Id="rId38" Type="http://schemas.openxmlformats.org/officeDocument/2006/relationships/hyperlink" Target="http://www.unep.org/disastersandconflicts/UNEPsActivities/Haiti/C%C3%B4teSudInitiative/tabid/55373/Default.aspx"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nemg.org/images/emgdocs/publications/sustainabilityfinalweb-.pdf" TargetMode="External"/><Relationship Id="rId20" Type="http://schemas.openxmlformats.org/officeDocument/2006/relationships/hyperlink" Target="http://unemg.org/images/emgdocs/Maximising/FINAL_report_on_EMG_effectviness_2015.pdf" TargetMode="External"/><Relationship Id="rId29" Type="http://schemas.openxmlformats.org/officeDocument/2006/relationships/hyperlink" Target="http://www.unep.org/rso/"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unstats.un.org/unsd/aboutus.htm" TargetMode="External"/><Relationship Id="rId32" Type="http://schemas.openxmlformats.org/officeDocument/2006/relationships/hyperlink" Target="http://www.unep.org/greeneconomy/PAGE" TargetMode="External"/><Relationship Id="rId37" Type="http://schemas.openxmlformats.org/officeDocument/2006/relationships/hyperlink" Target="http://www.unep.org/disastersandconflicts/CountryOperations/Haiti/AidCoordinationforSustainableDevelopment/CaribbeanBiologicalCorridor/tabid/106585/Default.aspx"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unemg.org/consultative-processes/environmental-and-social-sustainability" TargetMode="External"/><Relationship Id="rId23" Type="http://schemas.openxmlformats.org/officeDocument/2006/relationships/hyperlink" Target="https://sustainabledevelopment.un.org/topics/technology/facilitationmechanism" TargetMode="External"/><Relationship Id="rId28" Type="http://schemas.openxmlformats.org/officeDocument/2006/relationships/hyperlink" Target="http://www.un.org/en/development/desa/policy/untaskteam_undf/index.shtml" TargetMode="External"/><Relationship Id="rId36" Type="http://schemas.openxmlformats.org/officeDocument/2006/relationships/hyperlink" Target="http://www.unep.org/energy/Projects/Project/tabid/131381/language/en-US/Default.aspx?p=234fd695-99bf-4741-b107-1be266eedf70" TargetMode="External"/><Relationship Id="rId10" Type="http://schemas.openxmlformats.org/officeDocument/2006/relationships/oleObject" Target="embeddings/oleObject1.bin"/><Relationship Id="rId19" Type="http://schemas.openxmlformats.org/officeDocument/2006/relationships/hyperlink" Target="http://unemg.org/images/emgdocs/UN_sws/Final_ToR_ConsultativeProcess_SWFS.pdf" TargetMode="External"/><Relationship Id="rId31" Type="http://schemas.openxmlformats.org/officeDocument/2006/relationships/hyperlink" Target="http://www.unep.org/roe/UNPovertyandEnvironmentInitiative/tabid/54601/Default.aspx" TargetMode="External"/><Relationship Id="rId44"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mg.org/images/emgdocs/chemicals/Final_draft_table_060514.pdf" TargetMode="External"/><Relationship Id="rId22" Type="http://schemas.openxmlformats.org/officeDocument/2006/relationships/hyperlink" Target="https://sustainabledevelopment.un.org/content/documents/85652015.10.21_IATT%201st%20Meeting_Programme%20rev.pdf" TargetMode="External"/><Relationship Id="rId27" Type="http://schemas.openxmlformats.org/officeDocument/2006/relationships/hyperlink" Target="http://uneplive.unep.org/" TargetMode="External"/><Relationship Id="rId30" Type="http://schemas.openxmlformats.org/officeDocument/2006/relationships/hyperlink" Target="http://web.unep.org/inquiry" TargetMode="External"/><Relationship Id="rId35" Type="http://schemas.openxmlformats.org/officeDocument/2006/relationships/hyperlink" Target="http://www.pnuma.org/" TargetMode="External"/><Relationship Id="rId43"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gh\AppData\Local\Temp\notesBDEC43\UNEP-EA-2-MASTHEAD-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11EFF-3604-44EE-BD7C-6B46AAF62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UNEP-EA-2-MASTHEAD-1.dot</Template>
  <TotalTime>1</TotalTime>
  <Pages>12</Pages>
  <Words>8771</Words>
  <Characters>50001</Characters>
  <Application>Microsoft Office Word</Application>
  <DocSecurity>0</DocSecurity>
  <Lines>416</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58655</CharactersWithSpaces>
  <SharedDoc>false</SharedDoc>
  <HLinks>
    <vt:vector size="366" baseType="variant">
      <vt:variant>
        <vt:i4>983114</vt:i4>
      </vt:variant>
      <vt:variant>
        <vt:i4>249</vt:i4>
      </vt:variant>
      <vt:variant>
        <vt:i4>0</vt:i4>
      </vt:variant>
      <vt:variant>
        <vt:i4>5</vt:i4>
      </vt:variant>
      <vt:variant>
        <vt:lpwstr>http://www.onu-haiti.org/un-in-haiti/</vt:lpwstr>
      </vt:variant>
      <vt:variant>
        <vt:lpwstr/>
      </vt:variant>
      <vt:variant>
        <vt:i4>3407907</vt:i4>
      </vt:variant>
      <vt:variant>
        <vt:i4>246</vt:i4>
      </vt:variant>
      <vt:variant>
        <vt:i4>0</vt:i4>
      </vt:variant>
      <vt:variant>
        <vt:i4>5</vt:i4>
      </vt:variant>
      <vt:variant>
        <vt:lpwstr>http://www.unep.org/disastersandconflicts/UNEPsActivities/Haiti/C%C3%B4teSudInitiative/tabid/55373/Default.aspx</vt:lpwstr>
      </vt:variant>
      <vt:variant>
        <vt:lpwstr/>
      </vt:variant>
      <vt:variant>
        <vt:i4>5832797</vt:i4>
      </vt:variant>
      <vt:variant>
        <vt:i4>243</vt:i4>
      </vt:variant>
      <vt:variant>
        <vt:i4>0</vt:i4>
      </vt:variant>
      <vt:variant>
        <vt:i4>5</vt:i4>
      </vt:variant>
      <vt:variant>
        <vt:lpwstr>http://www.unep.org/disastersandconflicts/CountryOperations/Haiti/AidCoordinationforSustainableDevelopment/CaribbeanBiologicalCorridor/tabid/106585/Default.aspx</vt:lpwstr>
      </vt:variant>
      <vt:variant>
        <vt:lpwstr/>
      </vt:variant>
      <vt:variant>
        <vt:i4>3014776</vt:i4>
      </vt:variant>
      <vt:variant>
        <vt:i4>240</vt:i4>
      </vt:variant>
      <vt:variant>
        <vt:i4>0</vt:i4>
      </vt:variant>
      <vt:variant>
        <vt:i4>5</vt:i4>
      </vt:variant>
      <vt:variant>
        <vt:lpwstr>http://www.unep.org/energy/Projects/Project/tabid/131381/language/en-US/Default.aspx?p=234fd695-99bf-4741-b107-1be266eedf70</vt:lpwstr>
      </vt:variant>
      <vt:variant>
        <vt:lpwstr/>
      </vt:variant>
      <vt:variant>
        <vt:i4>4653071</vt:i4>
      </vt:variant>
      <vt:variant>
        <vt:i4>237</vt:i4>
      </vt:variant>
      <vt:variant>
        <vt:i4>0</vt:i4>
      </vt:variant>
      <vt:variant>
        <vt:i4>5</vt:i4>
      </vt:variant>
      <vt:variant>
        <vt:lpwstr>http://www.pnuma.org/</vt:lpwstr>
      </vt:variant>
      <vt:variant>
        <vt:lpwstr/>
      </vt:variant>
      <vt:variant>
        <vt:i4>2359411</vt:i4>
      </vt:variant>
      <vt:variant>
        <vt:i4>234</vt:i4>
      </vt:variant>
      <vt:variant>
        <vt:i4>0</vt:i4>
      </vt:variant>
      <vt:variant>
        <vt:i4>5</vt:i4>
      </vt:variant>
      <vt:variant>
        <vt:lpwstr>http://www.arabstates.undp.org/content/dam/rbas/doc/capacity%20building/UNDP-ADF-Priorities%20for%20the%20Post%202015%20Development%20Agenda-Amman-April2013....pdf</vt:lpwstr>
      </vt:variant>
      <vt:variant>
        <vt:lpwstr/>
      </vt:variant>
      <vt:variant>
        <vt:i4>3670067</vt:i4>
      </vt:variant>
      <vt:variant>
        <vt:i4>231</vt:i4>
      </vt:variant>
      <vt:variant>
        <vt:i4>0</vt:i4>
      </vt:variant>
      <vt:variant>
        <vt:i4>5</vt:i4>
      </vt:variant>
      <vt:variant>
        <vt:lpwstr>http://www.escwa.un.org/main/scroll/printwhatsnew.asp?id=924&amp;referenceNUM=SDPD-HighLevel%20Manama-2015</vt:lpwstr>
      </vt:variant>
      <vt:variant>
        <vt:lpwstr/>
      </vt:variant>
      <vt:variant>
        <vt:i4>5505028</vt:i4>
      </vt:variant>
      <vt:variant>
        <vt:i4>228</vt:i4>
      </vt:variant>
      <vt:variant>
        <vt:i4>0</vt:i4>
      </vt:variant>
      <vt:variant>
        <vt:i4>5</vt:i4>
      </vt:variant>
      <vt:variant>
        <vt:lpwstr>http://www.unep.org/greeneconomy/PAGE</vt:lpwstr>
      </vt:variant>
      <vt:variant>
        <vt:lpwstr/>
      </vt:variant>
      <vt:variant>
        <vt:i4>7536764</vt:i4>
      </vt:variant>
      <vt:variant>
        <vt:i4>225</vt:i4>
      </vt:variant>
      <vt:variant>
        <vt:i4>0</vt:i4>
      </vt:variant>
      <vt:variant>
        <vt:i4>5</vt:i4>
      </vt:variant>
      <vt:variant>
        <vt:lpwstr>http://www.unep.org/roe/UNPovertyandEnvironmentInitiative/tabid/54601/Default.aspx</vt:lpwstr>
      </vt:variant>
      <vt:variant>
        <vt:lpwstr/>
      </vt:variant>
      <vt:variant>
        <vt:i4>3407909</vt:i4>
      </vt:variant>
      <vt:variant>
        <vt:i4>222</vt:i4>
      </vt:variant>
      <vt:variant>
        <vt:i4>0</vt:i4>
      </vt:variant>
      <vt:variant>
        <vt:i4>5</vt:i4>
      </vt:variant>
      <vt:variant>
        <vt:lpwstr>http://web.unep.org/inquiry</vt:lpwstr>
      </vt:variant>
      <vt:variant>
        <vt:lpwstr/>
      </vt:variant>
      <vt:variant>
        <vt:i4>983118</vt:i4>
      </vt:variant>
      <vt:variant>
        <vt:i4>219</vt:i4>
      </vt:variant>
      <vt:variant>
        <vt:i4>0</vt:i4>
      </vt:variant>
      <vt:variant>
        <vt:i4>5</vt:i4>
      </vt:variant>
      <vt:variant>
        <vt:lpwstr>http://web.unep.org/regions/roap</vt:lpwstr>
      </vt:variant>
      <vt:variant>
        <vt:lpwstr/>
      </vt:variant>
      <vt:variant>
        <vt:i4>1310811</vt:i4>
      </vt:variant>
      <vt:variant>
        <vt:i4>216</vt:i4>
      </vt:variant>
      <vt:variant>
        <vt:i4>0</vt:i4>
      </vt:variant>
      <vt:variant>
        <vt:i4>5</vt:i4>
      </vt:variant>
      <vt:variant>
        <vt:lpwstr>http://www.unep.org/rso/</vt:lpwstr>
      </vt:variant>
      <vt:variant>
        <vt:lpwstr/>
      </vt:variant>
      <vt:variant>
        <vt:i4>3473433</vt:i4>
      </vt:variant>
      <vt:variant>
        <vt:i4>213</vt:i4>
      </vt:variant>
      <vt:variant>
        <vt:i4>0</vt:i4>
      </vt:variant>
      <vt:variant>
        <vt:i4>5</vt:i4>
      </vt:variant>
      <vt:variant>
        <vt:lpwstr>http://www.un.org/en/development/desa/policy/untaskteam_undf/index.shtml</vt:lpwstr>
      </vt:variant>
      <vt:variant>
        <vt:lpwstr/>
      </vt:variant>
      <vt:variant>
        <vt:i4>1638487</vt:i4>
      </vt:variant>
      <vt:variant>
        <vt:i4>210</vt:i4>
      </vt:variant>
      <vt:variant>
        <vt:i4>0</vt:i4>
      </vt:variant>
      <vt:variant>
        <vt:i4>5</vt:i4>
      </vt:variant>
      <vt:variant>
        <vt:lpwstr>http://uneplive.unep.org/</vt:lpwstr>
      </vt:variant>
      <vt:variant>
        <vt:lpwstr/>
      </vt:variant>
      <vt:variant>
        <vt:i4>7274608</vt:i4>
      </vt:variant>
      <vt:variant>
        <vt:i4>207</vt:i4>
      </vt:variant>
      <vt:variant>
        <vt:i4>0</vt:i4>
      </vt:variant>
      <vt:variant>
        <vt:i4>5</vt:i4>
      </vt:variant>
      <vt:variant>
        <vt:lpwstr>https://sustainabledevelopment.un.org/index.php?page=view&amp;type=13&amp;nr=501&amp;menu=1634</vt:lpwstr>
      </vt:variant>
      <vt:variant>
        <vt:lpwstr/>
      </vt:variant>
      <vt:variant>
        <vt:i4>6750324</vt:i4>
      </vt:variant>
      <vt:variant>
        <vt:i4>204</vt:i4>
      </vt:variant>
      <vt:variant>
        <vt:i4>0</vt:i4>
      </vt:variant>
      <vt:variant>
        <vt:i4>5</vt:i4>
      </vt:variant>
      <vt:variant>
        <vt:lpwstr>https://sustainabledevelopment.un.org/hlpf</vt:lpwstr>
      </vt:variant>
      <vt:variant>
        <vt:lpwstr/>
      </vt:variant>
      <vt:variant>
        <vt:i4>1441817</vt:i4>
      </vt:variant>
      <vt:variant>
        <vt:i4>201</vt:i4>
      </vt:variant>
      <vt:variant>
        <vt:i4>0</vt:i4>
      </vt:variant>
      <vt:variant>
        <vt:i4>5</vt:i4>
      </vt:variant>
      <vt:variant>
        <vt:lpwstr>https://sustainabledevelopment.un.org/globalsdreport/2015</vt:lpwstr>
      </vt:variant>
      <vt:variant>
        <vt:lpwstr/>
      </vt:variant>
      <vt:variant>
        <vt:i4>1572870</vt:i4>
      </vt:variant>
      <vt:variant>
        <vt:i4>198</vt:i4>
      </vt:variant>
      <vt:variant>
        <vt:i4>0</vt:i4>
      </vt:variant>
      <vt:variant>
        <vt:i4>5</vt:i4>
      </vt:variant>
      <vt:variant>
        <vt:lpwstr>http://unstats.un.org/sdgs/iaeg-sdgs/</vt:lpwstr>
      </vt:variant>
      <vt:variant>
        <vt:lpwstr/>
      </vt:variant>
      <vt:variant>
        <vt:i4>4128830</vt:i4>
      </vt:variant>
      <vt:variant>
        <vt:i4>195</vt:i4>
      </vt:variant>
      <vt:variant>
        <vt:i4>0</vt:i4>
      </vt:variant>
      <vt:variant>
        <vt:i4>5</vt:i4>
      </vt:variant>
      <vt:variant>
        <vt:lpwstr>http://unstats.un.org/unsd/aboutus.htm</vt:lpwstr>
      </vt:variant>
      <vt:variant>
        <vt:lpwstr/>
      </vt:variant>
      <vt:variant>
        <vt:i4>6422566</vt:i4>
      </vt:variant>
      <vt:variant>
        <vt:i4>192</vt:i4>
      </vt:variant>
      <vt:variant>
        <vt:i4>0</vt:i4>
      </vt:variant>
      <vt:variant>
        <vt:i4>5</vt:i4>
      </vt:variant>
      <vt:variant>
        <vt:lpwstr>https://www.ctc-n.org/</vt:lpwstr>
      </vt:variant>
      <vt:variant>
        <vt:lpwstr/>
      </vt:variant>
      <vt:variant>
        <vt:i4>5374032</vt:i4>
      </vt:variant>
      <vt:variant>
        <vt:i4>189</vt:i4>
      </vt:variant>
      <vt:variant>
        <vt:i4>0</vt:i4>
      </vt:variant>
      <vt:variant>
        <vt:i4>5</vt:i4>
      </vt:variant>
      <vt:variant>
        <vt:lpwstr>https://sustainabledevelopment.un.org/topics/technology/facilitationmechanism</vt:lpwstr>
      </vt:variant>
      <vt:variant>
        <vt:lpwstr/>
      </vt:variant>
      <vt:variant>
        <vt:i4>5570572</vt:i4>
      </vt:variant>
      <vt:variant>
        <vt:i4>186</vt:i4>
      </vt:variant>
      <vt:variant>
        <vt:i4>0</vt:i4>
      </vt:variant>
      <vt:variant>
        <vt:i4>5</vt:i4>
      </vt:variant>
      <vt:variant>
        <vt:lpwstr>https://sustainabledevelopment.un.org/content/documents/85652015.10.21_IATT%201st%20Meeting_Programme%20rev.pdf</vt:lpwstr>
      </vt:variant>
      <vt:variant>
        <vt:lpwstr/>
      </vt:variant>
      <vt:variant>
        <vt:i4>786527</vt:i4>
      </vt:variant>
      <vt:variant>
        <vt:i4>183</vt:i4>
      </vt:variant>
      <vt:variant>
        <vt:i4>0</vt:i4>
      </vt:variant>
      <vt:variant>
        <vt:i4>5</vt:i4>
      </vt:variant>
      <vt:variant>
        <vt:lpwstr>http://www.unep.org/10yfp/About/tabid/106242/Default.aspx</vt:lpwstr>
      </vt:variant>
      <vt:variant>
        <vt:lpwstr/>
      </vt:variant>
      <vt:variant>
        <vt:i4>2097212</vt:i4>
      </vt:variant>
      <vt:variant>
        <vt:i4>180</vt:i4>
      </vt:variant>
      <vt:variant>
        <vt:i4>0</vt:i4>
      </vt:variant>
      <vt:variant>
        <vt:i4>5</vt:i4>
      </vt:variant>
      <vt:variant>
        <vt:lpwstr>http://www.unep.org/10yfp/ActorsStructure/UNInteragencyCoordinationGroup/tabid/106260/Default.aspx</vt:lpwstr>
      </vt:variant>
      <vt:variant>
        <vt:lpwstr/>
      </vt:variant>
      <vt:variant>
        <vt:i4>6160395</vt:i4>
      </vt:variant>
      <vt:variant>
        <vt:i4>174</vt:i4>
      </vt:variant>
      <vt:variant>
        <vt:i4>0</vt:i4>
      </vt:variant>
      <vt:variant>
        <vt:i4>5</vt:i4>
      </vt:variant>
      <vt:variant>
        <vt:lpwstr>https://undg.org/home/guidance-policies/country-programming-principles/human-rights/</vt:lpwstr>
      </vt:variant>
      <vt:variant>
        <vt:lpwstr/>
      </vt:variant>
      <vt:variant>
        <vt:i4>7995450</vt:i4>
      </vt:variant>
      <vt:variant>
        <vt:i4>171</vt:i4>
      </vt:variant>
      <vt:variant>
        <vt:i4>0</vt:i4>
      </vt:variant>
      <vt:variant>
        <vt:i4>5</vt:i4>
      </vt:variant>
      <vt:variant>
        <vt:lpwstr>https://undg.org/home/guidance-policies/delivering-as-one/standard-operating-procedures-non-pilots/sop-tracker/</vt:lpwstr>
      </vt:variant>
      <vt:variant>
        <vt:lpwstr/>
      </vt:variant>
      <vt:variant>
        <vt:i4>1572870</vt:i4>
      </vt:variant>
      <vt:variant>
        <vt:i4>165</vt:i4>
      </vt:variant>
      <vt:variant>
        <vt:i4>0</vt:i4>
      </vt:variant>
      <vt:variant>
        <vt:i4>5</vt:i4>
      </vt:variant>
      <vt:variant>
        <vt:lpwstr>http://unstats.un.org/sdgs/iaeg-sdgs/</vt:lpwstr>
      </vt:variant>
      <vt:variant>
        <vt:lpwstr/>
      </vt:variant>
      <vt:variant>
        <vt:i4>6750312</vt:i4>
      </vt:variant>
      <vt:variant>
        <vt:i4>159</vt:i4>
      </vt:variant>
      <vt:variant>
        <vt:i4>0</vt:i4>
      </vt:variant>
      <vt:variant>
        <vt:i4>5</vt:i4>
      </vt:variant>
      <vt:variant>
        <vt:lpwstr>http://www.se4all.org/hio/clean-energy-mini-grids/</vt:lpwstr>
      </vt:variant>
      <vt:variant>
        <vt:lpwstr/>
      </vt:variant>
      <vt:variant>
        <vt:i4>6160455</vt:i4>
      </vt:variant>
      <vt:variant>
        <vt:i4>156</vt:i4>
      </vt:variant>
      <vt:variant>
        <vt:i4>0</vt:i4>
      </vt:variant>
      <vt:variant>
        <vt:i4>5</vt:i4>
      </vt:variant>
      <vt:variant>
        <vt:lpwstr>http://www.se4all.org/our-vision/our-objectives/universal-energy/</vt:lpwstr>
      </vt:variant>
      <vt:variant>
        <vt:lpwstr/>
      </vt:variant>
      <vt:variant>
        <vt:i4>8192052</vt:i4>
      </vt:variant>
      <vt:variant>
        <vt:i4>153</vt:i4>
      </vt:variant>
      <vt:variant>
        <vt:i4>0</vt:i4>
      </vt:variant>
      <vt:variant>
        <vt:i4>5</vt:i4>
      </vt:variant>
      <vt:variant>
        <vt:lpwstr>http://www.se4all.org/energyefficiencyplatform/</vt:lpwstr>
      </vt:variant>
      <vt:variant>
        <vt:lpwstr/>
      </vt:variant>
      <vt:variant>
        <vt:i4>7536688</vt:i4>
      </vt:variant>
      <vt:variant>
        <vt:i4>144</vt:i4>
      </vt:variant>
      <vt:variant>
        <vt:i4>0</vt:i4>
      </vt:variant>
      <vt:variant>
        <vt:i4>5</vt:i4>
      </vt:variant>
      <vt:variant>
        <vt:lpwstr>http://www.se4all.org/</vt:lpwstr>
      </vt:variant>
      <vt:variant>
        <vt:lpwstr/>
      </vt:variant>
      <vt:variant>
        <vt:i4>6094935</vt:i4>
      </vt:variant>
      <vt:variant>
        <vt:i4>111</vt:i4>
      </vt:variant>
      <vt:variant>
        <vt:i4>0</vt:i4>
      </vt:variant>
      <vt:variant>
        <vt:i4>5</vt:i4>
      </vt:variant>
      <vt:variant>
        <vt:lpwstr>https://www.unsceb.org/system/files/High-Level%20Committee%20on%20Programmes/Meeting%20Document/201510/HLCP30-CRP-3-Peaceful%20Societies.pdf</vt:lpwstr>
      </vt:variant>
      <vt:variant>
        <vt:lpwstr/>
      </vt:variant>
      <vt:variant>
        <vt:i4>3539001</vt:i4>
      </vt:variant>
      <vt:variant>
        <vt:i4>108</vt:i4>
      </vt:variant>
      <vt:variant>
        <vt:i4>0</vt:i4>
      </vt:variant>
      <vt:variant>
        <vt:i4>5</vt:i4>
      </vt:variant>
      <vt:variant>
        <vt:lpwstr>http://www.ohchr.org/EN/Issues/Environment/SREnvironment/Pages/SRenvironmentIndex.aspx</vt:lpwstr>
      </vt:variant>
      <vt:variant>
        <vt:lpwstr/>
      </vt:variant>
      <vt:variant>
        <vt:i4>1638431</vt:i4>
      </vt:variant>
      <vt:variant>
        <vt:i4>105</vt:i4>
      </vt:variant>
      <vt:variant>
        <vt:i4>0</vt:i4>
      </vt:variant>
      <vt:variant>
        <vt:i4>5</vt:i4>
      </vt:variant>
      <vt:variant>
        <vt:lpwstr>http://www.unep.org/environmentalgovernance/UNEPsWork/HumanRightsandtheEnvironment/tabid/130265/Default.aspx</vt:lpwstr>
      </vt:variant>
      <vt:variant>
        <vt:lpwstr/>
      </vt:variant>
      <vt:variant>
        <vt:i4>4128867</vt:i4>
      </vt:variant>
      <vt:variant>
        <vt:i4>102</vt:i4>
      </vt:variant>
      <vt:variant>
        <vt:i4>0</vt:i4>
      </vt:variant>
      <vt:variant>
        <vt:i4>5</vt:i4>
      </vt:variant>
      <vt:variant>
        <vt:lpwstr>http://www.unep.org/disastersandconflicts/Introduction/DisasterRiskReduction/PartnershipforEnvironmentandDisasterRiskRedu/tabid/104428/Default.aspx</vt:lpwstr>
      </vt:variant>
      <vt:variant>
        <vt:lpwstr/>
      </vt:variant>
      <vt:variant>
        <vt:i4>7995508</vt:i4>
      </vt:variant>
      <vt:variant>
        <vt:i4>99</vt:i4>
      </vt:variant>
      <vt:variant>
        <vt:i4>0</vt:i4>
      </vt:variant>
      <vt:variant>
        <vt:i4>5</vt:i4>
      </vt:variant>
      <vt:variant>
        <vt:lpwstr>http://www.un-redd.org/</vt:lpwstr>
      </vt:variant>
      <vt:variant>
        <vt:lpwstr/>
      </vt:variant>
      <vt:variant>
        <vt:i4>5111832</vt:i4>
      </vt:variant>
      <vt:variant>
        <vt:i4>96</vt:i4>
      </vt:variant>
      <vt:variant>
        <vt:i4>0</vt:i4>
      </vt:variant>
      <vt:variant>
        <vt:i4>5</vt:i4>
      </vt:variant>
      <vt:variant>
        <vt:lpwstr>http://www.gpa.unep.org/</vt:lpwstr>
      </vt:variant>
      <vt:variant>
        <vt:lpwstr/>
      </vt:variant>
      <vt:variant>
        <vt:i4>5177351</vt:i4>
      </vt:variant>
      <vt:variant>
        <vt:i4>93</vt:i4>
      </vt:variant>
      <vt:variant>
        <vt:i4>0</vt:i4>
      </vt:variant>
      <vt:variant>
        <vt:i4>5</vt:i4>
      </vt:variant>
      <vt:variant>
        <vt:lpwstr>http://www.unpei.org/</vt:lpwstr>
      </vt:variant>
      <vt:variant>
        <vt:lpwstr/>
      </vt:variant>
      <vt:variant>
        <vt:i4>6029336</vt:i4>
      </vt:variant>
      <vt:variant>
        <vt:i4>90</vt:i4>
      </vt:variant>
      <vt:variant>
        <vt:i4>0</vt:i4>
      </vt:variant>
      <vt:variant>
        <vt:i4>5</vt:i4>
      </vt:variant>
      <vt:variant>
        <vt:lpwstr>http://www.unep.org/gpa/gpml/gpml.asp</vt:lpwstr>
      </vt:variant>
      <vt:variant>
        <vt:lpwstr/>
      </vt:variant>
      <vt:variant>
        <vt:i4>5177422</vt:i4>
      </vt:variant>
      <vt:variant>
        <vt:i4>87</vt:i4>
      </vt:variant>
      <vt:variant>
        <vt:i4>0</vt:i4>
      </vt:variant>
      <vt:variant>
        <vt:i4>5</vt:i4>
      </vt:variant>
      <vt:variant>
        <vt:lpwstr>http://www.unep.org/gpa/gwi/</vt:lpwstr>
      </vt:variant>
      <vt:variant>
        <vt:lpwstr/>
      </vt:variant>
      <vt:variant>
        <vt:i4>4325466</vt:i4>
      </vt:variant>
      <vt:variant>
        <vt:i4>84</vt:i4>
      </vt:variant>
      <vt:variant>
        <vt:i4>0</vt:i4>
      </vt:variant>
      <vt:variant>
        <vt:i4>5</vt:i4>
      </vt:variant>
      <vt:variant>
        <vt:lpwstr>http://www.greengrowthknowledge.org/</vt:lpwstr>
      </vt:variant>
      <vt:variant>
        <vt:lpwstr/>
      </vt:variant>
      <vt:variant>
        <vt:i4>2883634</vt:i4>
      </vt:variant>
      <vt:variant>
        <vt:i4>81</vt:i4>
      </vt:variant>
      <vt:variant>
        <vt:i4>0</vt:i4>
      </vt:variant>
      <vt:variant>
        <vt:i4>5</vt:i4>
      </vt:variant>
      <vt:variant>
        <vt:lpwstr>http://www.ccacoalition.org/en</vt:lpwstr>
      </vt:variant>
      <vt:variant>
        <vt:lpwstr/>
      </vt:variant>
      <vt:variant>
        <vt:i4>6160433</vt:i4>
      </vt:variant>
      <vt:variant>
        <vt:i4>75</vt:i4>
      </vt:variant>
      <vt:variant>
        <vt:i4>0</vt:i4>
      </vt:variant>
      <vt:variant>
        <vt:i4>5</vt:i4>
      </vt:variant>
      <vt:variant>
        <vt:lpwstr>http://www.ilo.org/employment/areas/youth-employment/WCMS_357319/lang--en/index.htm</vt:lpwstr>
      </vt:variant>
      <vt:variant>
        <vt:lpwstr/>
      </vt:variant>
      <vt:variant>
        <vt:i4>2818167</vt:i4>
      </vt:variant>
      <vt:variant>
        <vt:i4>60</vt:i4>
      </vt:variant>
      <vt:variant>
        <vt:i4>0</vt:i4>
      </vt:variant>
      <vt:variant>
        <vt:i4>5</vt:i4>
      </vt:variant>
      <vt:variant>
        <vt:lpwstr>http://www.unemg.org/images/emgdocs/SOMMeetings/2015/FinaldraftReportonEMGEffectiveness.pdf</vt:lpwstr>
      </vt:variant>
      <vt:variant>
        <vt:lpwstr/>
      </vt:variant>
      <vt:variant>
        <vt:i4>6029374</vt:i4>
      </vt:variant>
      <vt:variant>
        <vt:i4>57</vt:i4>
      </vt:variant>
      <vt:variant>
        <vt:i4>0</vt:i4>
      </vt:variant>
      <vt:variant>
        <vt:i4>5</vt:i4>
      </vt:variant>
      <vt:variant>
        <vt:lpwstr>http://unemg.org/images/emgdocs/Maximising/FINAL_report_on_EMG_effectviness_2015.pdf</vt:lpwstr>
      </vt:variant>
      <vt:variant>
        <vt:lpwstr/>
      </vt:variant>
      <vt:variant>
        <vt:i4>458847</vt:i4>
      </vt:variant>
      <vt:variant>
        <vt:i4>54</vt:i4>
      </vt:variant>
      <vt:variant>
        <vt:i4>0</vt:i4>
      </vt:variant>
      <vt:variant>
        <vt:i4>5</vt:i4>
      </vt:variant>
      <vt:variant>
        <vt:lpwstr>http://unemg.org/images/emgdocs/UN_sws/Final_ToR_ConsultativeProcess_SWFS.pdf</vt:lpwstr>
      </vt:variant>
      <vt:variant>
        <vt:lpwstr/>
      </vt:variant>
      <vt:variant>
        <vt:i4>5177353</vt:i4>
      </vt:variant>
      <vt:variant>
        <vt:i4>51</vt:i4>
      </vt:variant>
      <vt:variant>
        <vt:i4>0</vt:i4>
      </vt:variant>
      <vt:variant>
        <vt:i4>5</vt:i4>
      </vt:variant>
      <vt:variant>
        <vt:lpwstr>http://www.unemg.org/consultative-processes/environmental-management-peer-review</vt:lpwstr>
      </vt:variant>
      <vt:variant>
        <vt:lpwstr/>
      </vt:variant>
      <vt:variant>
        <vt:i4>3735658</vt:i4>
      </vt:variant>
      <vt:variant>
        <vt:i4>48</vt:i4>
      </vt:variant>
      <vt:variant>
        <vt:i4>0</vt:i4>
      </vt:variant>
      <vt:variant>
        <vt:i4>5</vt:i4>
      </vt:variant>
      <vt:variant>
        <vt:lpwstr>http://www.greeningtheblue.org/</vt:lpwstr>
      </vt:variant>
      <vt:variant>
        <vt:lpwstr/>
      </vt:variant>
      <vt:variant>
        <vt:i4>3735658</vt:i4>
      </vt:variant>
      <vt:variant>
        <vt:i4>45</vt:i4>
      </vt:variant>
      <vt:variant>
        <vt:i4>0</vt:i4>
      </vt:variant>
      <vt:variant>
        <vt:i4>5</vt:i4>
      </vt:variant>
      <vt:variant>
        <vt:lpwstr>http://www.greeningtheblue.org/</vt:lpwstr>
      </vt:variant>
      <vt:variant>
        <vt:lpwstr/>
      </vt:variant>
      <vt:variant>
        <vt:i4>2031687</vt:i4>
      </vt:variant>
      <vt:variant>
        <vt:i4>42</vt:i4>
      </vt:variant>
      <vt:variant>
        <vt:i4>0</vt:i4>
      </vt:variant>
      <vt:variant>
        <vt:i4>5</vt:i4>
      </vt:variant>
      <vt:variant>
        <vt:lpwstr>http://www.unep.org/resourceefficiency/Society/SustainableUN/tabid/55551/Default.aspx</vt:lpwstr>
      </vt:variant>
      <vt:variant>
        <vt:lpwstr/>
      </vt:variant>
      <vt:variant>
        <vt:i4>15</vt:i4>
      </vt:variant>
      <vt:variant>
        <vt:i4>39</vt:i4>
      </vt:variant>
      <vt:variant>
        <vt:i4>0</vt:i4>
      </vt:variant>
      <vt:variant>
        <vt:i4>5</vt:i4>
      </vt:variant>
      <vt:variant>
        <vt:lpwstr>http://www.unemg.org/issue-management-groups/environmental-management</vt:lpwstr>
      </vt:variant>
      <vt:variant>
        <vt:lpwstr/>
      </vt:variant>
      <vt:variant>
        <vt:i4>15</vt:i4>
      </vt:variant>
      <vt:variant>
        <vt:i4>33</vt:i4>
      </vt:variant>
      <vt:variant>
        <vt:i4>0</vt:i4>
      </vt:variant>
      <vt:variant>
        <vt:i4>5</vt:i4>
      </vt:variant>
      <vt:variant>
        <vt:lpwstr>http://www.unemg.org/issue-management-groups/environmental-management</vt:lpwstr>
      </vt:variant>
      <vt:variant>
        <vt:lpwstr/>
      </vt:variant>
      <vt:variant>
        <vt:i4>917586</vt:i4>
      </vt:variant>
      <vt:variant>
        <vt:i4>27</vt:i4>
      </vt:variant>
      <vt:variant>
        <vt:i4>0</vt:i4>
      </vt:variant>
      <vt:variant>
        <vt:i4>5</vt:i4>
      </vt:variant>
      <vt:variant>
        <vt:lpwstr>http://www.unemg.org/images/emgdocs/publications/sustainabilityfinalweb-.pdf</vt:lpwstr>
      </vt:variant>
      <vt:variant>
        <vt:lpwstr/>
      </vt:variant>
      <vt:variant>
        <vt:i4>2359397</vt:i4>
      </vt:variant>
      <vt:variant>
        <vt:i4>24</vt:i4>
      </vt:variant>
      <vt:variant>
        <vt:i4>0</vt:i4>
      </vt:variant>
      <vt:variant>
        <vt:i4>5</vt:i4>
      </vt:variant>
      <vt:variant>
        <vt:lpwstr>http://www.unemg.org/consultative-processes/environmental-and-social-sustainability</vt:lpwstr>
      </vt:variant>
      <vt:variant>
        <vt:lpwstr/>
      </vt:variant>
      <vt:variant>
        <vt:i4>1638439</vt:i4>
      </vt:variant>
      <vt:variant>
        <vt:i4>21</vt:i4>
      </vt:variant>
      <vt:variant>
        <vt:i4>0</vt:i4>
      </vt:variant>
      <vt:variant>
        <vt:i4>5</vt:i4>
      </vt:variant>
      <vt:variant>
        <vt:lpwstr>http://www.unemg.org/images/emgdocs/chemicals/Final_draft_table_060514.pdf</vt:lpwstr>
      </vt:variant>
      <vt:variant>
        <vt:lpwstr/>
      </vt:variant>
      <vt:variant>
        <vt:i4>4980855</vt:i4>
      </vt:variant>
      <vt:variant>
        <vt:i4>18</vt:i4>
      </vt:variant>
      <vt:variant>
        <vt:i4>0</vt:i4>
      </vt:variant>
      <vt:variant>
        <vt:i4>5</vt:i4>
      </vt:variant>
      <vt:variant>
        <vt:lpwstr>http://www.unemg.org/images/emgdocs/SOMMeetings/2015/EMGSOM21INF2FINAL_Joint_Statement_280815.pdf</vt:lpwstr>
      </vt:variant>
      <vt:variant>
        <vt:lpwstr/>
      </vt:variant>
      <vt:variant>
        <vt:i4>2031634</vt:i4>
      </vt:variant>
      <vt:variant>
        <vt:i4>15</vt:i4>
      </vt:variant>
      <vt:variant>
        <vt:i4>0</vt:i4>
      </vt:variant>
      <vt:variant>
        <vt:i4>5</vt:i4>
      </vt:variant>
      <vt:variant>
        <vt:lpwstr>http://www.unemg.org/images/emgdocs/publications/Brochure_UNEP_SCM.pdf</vt:lpwstr>
      </vt:variant>
      <vt:variant>
        <vt:lpwstr/>
      </vt:variant>
      <vt:variant>
        <vt:i4>2687049</vt:i4>
      </vt:variant>
      <vt:variant>
        <vt:i4>12</vt:i4>
      </vt:variant>
      <vt:variant>
        <vt:i4>0</vt:i4>
      </vt:variant>
      <vt:variant>
        <vt:i4>5</vt:i4>
      </vt:variant>
      <vt:variant>
        <vt:lpwstr>http://www.unemg.org/images/emgdocs/SOMMeetings/2015/chemical_report.pdf</vt:lpwstr>
      </vt:variant>
      <vt:variant>
        <vt:lpwstr/>
      </vt:variant>
      <vt:variant>
        <vt:i4>7012414</vt:i4>
      </vt:variant>
      <vt:variant>
        <vt:i4>9</vt:i4>
      </vt:variant>
      <vt:variant>
        <vt:i4>0</vt:i4>
      </vt:variant>
      <vt:variant>
        <vt:i4>5</vt:i4>
      </vt:variant>
      <vt:variant>
        <vt:lpwstr>http://www.who.int/iomc/en/</vt:lpwstr>
      </vt:variant>
      <vt:variant>
        <vt:lpwstr/>
      </vt:variant>
      <vt:variant>
        <vt:i4>4325443</vt:i4>
      </vt:variant>
      <vt:variant>
        <vt:i4>6</vt:i4>
      </vt:variant>
      <vt:variant>
        <vt:i4>0</vt:i4>
      </vt:variant>
      <vt:variant>
        <vt:i4>5</vt:i4>
      </vt:variant>
      <vt:variant>
        <vt:lpwstr>http://www.unemg.org/issue-management-groups/sound-management-of-chemicals-and-waste</vt:lpwstr>
      </vt:variant>
      <vt:variant>
        <vt:lpwstr/>
      </vt:variant>
      <vt:variant>
        <vt:i4>5505039</vt:i4>
      </vt:variant>
      <vt:variant>
        <vt:i4>3</vt:i4>
      </vt:variant>
      <vt:variant>
        <vt:i4>0</vt:i4>
      </vt:variant>
      <vt:variant>
        <vt:i4>5</vt:i4>
      </vt:variant>
      <vt:variant>
        <vt:lpwstr>http://www.unemg.org/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Hyun Sung</dc:creator>
  <cp:lastModifiedBy>John Njuguna</cp:lastModifiedBy>
  <cp:revision>2</cp:revision>
  <cp:lastPrinted>2016-04-11T06:48:00Z</cp:lastPrinted>
  <dcterms:created xsi:type="dcterms:W3CDTF">2016-05-12T15:26:00Z</dcterms:created>
  <dcterms:modified xsi:type="dcterms:W3CDTF">2016-05-12T15:26:00Z</dcterms:modified>
</cp:coreProperties>
</file>