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AD1640" w14:textId="77777777" w:rsidR="00200D84" w:rsidRPr="003B1B94" w:rsidRDefault="00200D84" w:rsidP="00200D84">
      <w:pPr>
        <w:widowControl w:val="0"/>
        <w:overflowPunct w:val="0"/>
        <w:autoSpaceDE w:val="0"/>
        <w:autoSpaceDN w:val="0"/>
        <w:adjustRightInd w:val="0"/>
        <w:spacing w:after="0" w:line="225" w:lineRule="auto"/>
        <w:ind w:left="180"/>
        <w:jc w:val="center"/>
        <w:rPr>
          <w:rFonts w:ascii="Arial" w:hAnsi="Arial" w:cs="Arial"/>
          <w:b/>
          <w:bCs/>
        </w:rPr>
      </w:pPr>
      <w:r w:rsidRPr="003B1B94">
        <w:rPr>
          <w:rFonts w:ascii="Arial" w:hAnsi="Arial" w:cs="Arial"/>
          <w:b/>
          <w:bCs/>
        </w:rPr>
        <w:t>The Ministerial Policy Review Session of the Second Session of the United Nations Environment Assembly</w:t>
      </w:r>
    </w:p>
    <w:p w14:paraId="1F3B60DB" w14:textId="77777777" w:rsidR="00200D84" w:rsidRPr="003B1B94" w:rsidRDefault="00200D84" w:rsidP="00200D84">
      <w:pPr>
        <w:spacing w:after="0"/>
        <w:jc w:val="center"/>
        <w:rPr>
          <w:rFonts w:ascii="Arial" w:hAnsi="Arial" w:cs="Arial"/>
          <w:b/>
        </w:rPr>
      </w:pPr>
    </w:p>
    <w:p w14:paraId="43FF6F99" w14:textId="77777777" w:rsidR="00200D84" w:rsidRPr="003B1B94" w:rsidRDefault="00200D84" w:rsidP="00200D84">
      <w:pPr>
        <w:spacing w:after="0"/>
        <w:jc w:val="center"/>
        <w:rPr>
          <w:rFonts w:ascii="Arial" w:hAnsi="Arial" w:cs="Arial"/>
          <w:b/>
        </w:rPr>
      </w:pPr>
      <w:r w:rsidRPr="003B1B94" w:rsidDel="00584A34">
        <w:rPr>
          <w:rFonts w:ascii="Arial" w:hAnsi="Arial" w:cs="Arial"/>
          <w:b/>
        </w:rPr>
        <w:t xml:space="preserve"> </w:t>
      </w:r>
      <w:r w:rsidRPr="003B1B94">
        <w:rPr>
          <w:rFonts w:ascii="Arial" w:hAnsi="Arial" w:cs="Arial"/>
          <w:b/>
        </w:rPr>
        <w:t>“Healthy Environment, Healthy People: Delivering on the environmental dimension of the 2030 Agenda for Sustainable Development”</w:t>
      </w:r>
    </w:p>
    <w:p w14:paraId="396929B5" w14:textId="77777777" w:rsidR="00200D84" w:rsidRPr="003B1B94" w:rsidRDefault="00200D84" w:rsidP="00200D84">
      <w:pPr>
        <w:spacing w:after="0"/>
        <w:jc w:val="center"/>
        <w:rPr>
          <w:rFonts w:ascii="Arial" w:hAnsi="Arial" w:cs="Arial"/>
          <w:b/>
        </w:rPr>
      </w:pPr>
    </w:p>
    <w:p w14:paraId="1271D887" w14:textId="77777777" w:rsidR="00200D84" w:rsidRPr="003B1B94" w:rsidRDefault="00200D84" w:rsidP="00200D84">
      <w:pPr>
        <w:spacing w:after="0"/>
        <w:jc w:val="center"/>
        <w:rPr>
          <w:rFonts w:ascii="Arial" w:hAnsi="Arial" w:cs="Arial"/>
          <w:b/>
        </w:rPr>
      </w:pPr>
      <w:bookmarkStart w:id="0" w:name="_GoBack"/>
      <w:bookmarkEnd w:id="0"/>
      <w:r w:rsidRPr="003B1B94">
        <w:rPr>
          <w:rFonts w:ascii="Arial" w:hAnsi="Arial" w:cs="Arial"/>
          <w:b/>
        </w:rPr>
        <w:t>27 May 2016</w:t>
      </w:r>
    </w:p>
    <w:p w14:paraId="28D6624C" w14:textId="49329364" w:rsidR="003B1B94" w:rsidRPr="003B1B94" w:rsidRDefault="003B1B94" w:rsidP="00200D84">
      <w:pPr>
        <w:spacing w:after="0"/>
        <w:jc w:val="center"/>
        <w:rPr>
          <w:rFonts w:ascii="Arial" w:hAnsi="Arial" w:cs="Arial"/>
          <w:b/>
        </w:rPr>
      </w:pPr>
      <w:r w:rsidRPr="003B1B94">
        <w:rPr>
          <w:rFonts w:ascii="Arial" w:hAnsi="Arial" w:cs="Arial"/>
          <w:b/>
        </w:rPr>
        <w:t>(10:00 – 13:00 hrs)</w:t>
      </w:r>
    </w:p>
    <w:p w14:paraId="348C695E" w14:textId="77777777" w:rsidR="00200D84" w:rsidRPr="003B1B94" w:rsidRDefault="00200D84" w:rsidP="00200D84">
      <w:pPr>
        <w:spacing w:after="0"/>
        <w:jc w:val="both"/>
        <w:rPr>
          <w:rFonts w:ascii="Arial" w:hAnsi="Arial" w:cs="Arial"/>
        </w:rPr>
      </w:pPr>
    </w:p>
    <w:p w14:paraId="09B30914" w14:textId="77777777" w:rsidR="00200D84" w:rsidRPr="003B1B94" w:rsidRDefault="00200D84" w:rsidP="00200D84">
      <w:pPr>
        <w:spacing w:after="0"/>
        <w:jc w:val="both"/>
        <w:rPr>
          <w:rFonts w:ascii="Arial" w:hAnsi="Arial" w:cs="Arial"/>
          <w:b/>
        </w:rPr>
      </w:pPr>
      <w:r w:rsidRPr="003B1B94">
        <w:rPr>
          <w:rFonts w:ascii="Arial" w:hAnsi="Arial" w:cs="Arial"/>
          <w:b/>
        </w:rPr>
        <w:t>Background</w:t>
      </w:r>
    </w:p>
    <w:p w14:paraId="346FF425" w14:textId="77777777" w:rsidR="00200D84" w:rsidRPr="003B1B94" w:rsidRDefault="00200D84" w:rsidP="00200D84">
      <w:pPr>
        <w:pStyle w:val="corpsdetexte"/>
        <w:rPr>
          <w:rFonts w:ascii="Arial" w:hAnsi="Arial" w:cs="Arial"/>
          <w:color w:val="auto"/>
          <w:sz w:val="22"/>
          <w:szCs w:val="22"/>
          <w:lang w:val="en-GB"/>
        </w:rPr>
      </w:pPr>
    </w:p>
    <w:p w14:paraId="45F60BE7" w14:textId="77777777" w:rsidR="00200D84" w:rsidRPr="003B1B94" w:rsidRDefault="00200D84" w:rsidP="00200D84">
      <w:pPr>
        <w:pStyle w:val="corpsdetexte"/>
        <w:numPr>
          <w:ilvl w:val="0"/>
          <w:numId w:val="3"/>
        </w:numPr>
        <w:ind w:left="0"/>
        <w:rPr>
          <w:rFonts w:ascii="Arial" w:hAnsi="Arial" w:cs="Arial"/>
          <w:color w:val="auto"/>
          <w:sz w:val="22"/>
          <w:szCs w:val="22"/>
          <w:lang w:val="en-GB"/>
        </w:rPr>
      </w:pPr>
      <w:r w:rsidRPr="003B1B94">
        <w:rPr>
          <w:rFonts w:ascii="Arial" w:hAnsi="Arial" w:cs="Arial"/>
          <w:sz w:val="22"/>
          <w:szCs w:val="22"/>
          <w:lang w:val="en-GB"/>
        </w:rPr>
        <w:t xml:space="preserve">This background note has been prepared to support the Ministerial Policy Review Session during UNEA-2 and it builds on the </w:t>
      </w:r>
      <w:r w:rsidRPr="003B1B94">
        <w:rPr>
          <w:rFonts w:ascii="Arial" w:hAnsi="Arial" w:cs="Arial"/>
          <w:color w:val="000000" w:themeColor="text1"/>
          <w:sz w:val="22"/>
          <w:szCs w:val="22"/>
        </w:rPr>
        <w:t>thematic report “Healthy Environment, Healthy People” which has been prepared under the guidance of a Senior Review Group set up by the UNEP Executive Director, and composed of relevant entities of the</w:t>
      </w:r>
      <w:r w:rsidRPr="003B1B94">
        <w:rPr>
          <w:rFonts w:ascii="Arial" w:hAnsi="Arial" w:cs="Arial"/>
          <w:sz w:val="22"/>
          <w:szCs w:val="22"/>
          <w:lang w:val="en-GB"/>
        </w:rPr>
        <w:t xml:space="preserve"> United Nations while open to</w:t>
      </w:r>
      <w:r w:rsidRPr="003B1B94">
        <w:rPr>
          <w:rFonts w:ascii="Arial" w:hAnsi="Arial" w:cs="Arial"/>
          <w:color w:val="000000" w:themeColor="text1"/>
          <w:sz w:val="22"/>
          <w:szCs w:val="22"/>
        </w:rPr>
        <w:t xml:space="preserve"> e-discussions organized on </w:t>
      </w:r>
      <w:hyperlink r:id="rId6" w:history="1">
        <w:r w:rsidRPr="003B1B94">
          <w:rPr>
            <w:rStyle w:val="Hyperlink"/>
            <w:rFonts w:ascii="Arial" w:hAnsi="Arial" w:cs="Arial"/>
            <w:sz w:val="22"/>
            <w:szCs w:val="22"/>
          </w:rPr>
          <w:t>www.myunea.org</w:t>
        </w:r>
      </w:hyperlink>
      <w:r w:rsidRPr="003B1B94">
        <w:rPr>
          <w:rFonts w:ascii="Arial" w:hAnsi="Arial" w:cs="Arial"/>
          <w:color w:val="000000" w:themeColor="text1"/>
          <w:sz w:val="22"/>
          <w:szCs w:val="22"/>
        </w:rPr>
        <w:t xml:space="preserve">. The report and its Executive Summary are available at </w:t>
      </w:r>
      <w:hyperlink r:id="rId7" w:history="1">
        <w:r w:rsidRPr="003B1B94">
          <w:rPr>
            <w:rStyle w:val="Hyperlink"/>
            <w:rFonts w:ascii="Arial" w:hAnsi="Arial" w:cs="Arial"/>
            <w:sz w:val="22"/>
            <w:szCs w:val="22"/>
          </w:rPr>
          <w:t>http://web.unep.org/unea/documents</w:t>
        </w:r>
      </w:hyperlink>
      <w:r w:rsidRPr="003B1B94">
        <w:rPr>
          <w:rFonts w:ascii="Arial" w:hAnsi="Arial" w:cs="Arial"/>
          <w:color w:val="000000" w:themeColor="text1"/>
          <w:sz w:val="22"/>
          <w:szCs w:val="22"/>
        </w:rPr>
        <w:t xml:space="preserve"> .</w:t>
      </w:r>
    </w:p>
    <w:p w14:paraId="0B337C4E" w14:textId="77777777" w:rsidR="00200D84" w:rsidRPr="003B1B94" w:rsidRDefault="00200D84" w:rsidP="00200D84">
      <w:pPr>
        <w:widowControl w:val="0"/>
        <w:pBdr>
          <w:top w:val="nil"/>
          <w:left w:val="nil"/>
          <w:bottom w:val="nil"/>
          <w:right w:val="nil"/>
          <w:between w:val="nil"/>
          <w:bar w:val="nil"/>
        </w:pBdr>
        <w:spacing w:after="0"/>
        <w:jc w:val="both"/>
        <w:rPr>
          <w:rFonts w:ascii="Arial" w:hAnsi="Arial" w:cs="Arial"/>
          <w:lang w:val="en-GB"/>
        </w:rPr>
      </w:pPr>
    </w:p>
    <w:p w14:paraId="51347894" w14:textId="77777777" w:rsidR="00200D84" w:rsidRPr="003B1B94" w:rsidRDefault="00200D84" w:rsidP="00200D84">
      <w:pPr>
        <w:spacing w:after="0"/>
        <w:jc w:val="both"/>
        <w:rPr>
          <w:rFonts w:ascii="Arial" w:hAnsi="Arial" w:cs="Arial"/>
          <w:b/>
        </w:rPr>
      </w:pPr>
      <w:r w:rsidRPr="003B1B94">
        <w:rPr>
          <w:rFonts w:ascii="Arial" w:hAnsi="Arial" w:cs="Arial"/>
          <w:b/>
        </w:rPr>
        <w:t>Objectives of the Ministerial Policy Review session</w:t>
      </w:r>
    </w:p>
    <w:p w14:paraId="6502A11A" w14:textId="77777777" w:rsidR="00200D84" w:rsidRPr="003B1B94" w:rsidRDefault="00200D84" w:rsidP="00200D84">
      <w:pPr>
        <w:pStyle w:val="ListParagraph"/>
        <w:spacing w:after="0"/>
        <w:ind w:left="0"/>
        <w:jc w:val="both"/>
        <w:rPr>
          <w:rFonts w:ascii="Arial" w:hAnsi="Arial" w:cs="Arial"/>
          <w:color w:val="000000" w:themeColor="text1"/>
          <w:lang w:val="en-GB"/>
        </w:rPr>
      </w:pPr>
    </w:p>
    <w:p w14:paraId="30EB4C65" w14:textId="77777777" w:rsidR="00200D84" w:rsidRPr="003B1B94" w:rsidRDefault="00200D84" w:rsidP="00200D84">
      <w:pPr>
        <w:pStyle w:val="ListParagraph"/>
        <w:numPr>
          <w:ilvl w:val="0"/>
          <w:numId w:val="3"/>
        </w:numPr>
        <w:spacing w:after="0"/>
        <w:ind w:left="0"/>
        <w:jc w:val="both"/>
        <w:rPr>
          <w:rFonts w:ascii="Arial" w:hAnsi="Arial" w:cs="Arial"/>
          <w:color w:val="000000" w:themeColor="text1"/>
        </w:rPr>
      </w:pPr>
      <w:r w:rsidRPr="003B1B94">
        <w:rPr>
          <w:rFonts w:ascii="Arial" w:hAnsi="Arial" w:cs="Arial"/>
          <w:color w:val="000000" w:themeColor="text1"/>
        </w:rPr>
        <w:t xml:space="preserve">The main objective of the Ministerial Policy Review session is to provide a platform for Member states to examine how addressing environment and health linkages can contribute to the successful delivery of the 2030 Agenda for Sustainable Development and the Sustainable Development Goals and related targets, and </w:t>
      </w:r>
      <w:r w:rsidRPr="003B1B94">
        <w:rPr>
          <w:rFonts w:ascii="Arial" w:hAnsi="Arial" w:cs="Arial"/>
          <w:color w:val="000000" w:themeColor="text1"/>
          <w:lang w:val="en-GB"/>
        </w:rPr>
        <w:t>to propose</w:t>
      </w:r>
      <w:r w:rsidRPr="003B1B94">
        <w:rPr>
          <w:rFonts w:ascii="Arial" w:hAnsi="Arial" w:cs="Arial"/>
          <w:color w:val="000000" w:themeColor="text1"/>
        </w:rPr>
        <w:t xml:space="preserve"> concrete ways on how to advance integrated action, strategies, policies and regulations at the global, regional, national and local levels to improve environmental practices for healthier lives of population.</w:t>
      </w:r>
    </w:p>
    <w:p w14:paraId="4DDE9263" w14:textId="77777777" w:rsidR="00200D84" w:rsidRPr="003B1B94" w:rsidRDefault="00200D84" w:rsidP="00200D84">
      <w:pPr>
        <w:pStyle w:val="ListParagraph"/>
        <w:spacing w:after="0"/>
        <w:ind w:left="0"/>
        <w:jc w:val="both"/>
        <w:rPr>
          <w:rFonts w:ascii="Arial" w:hAnsi="Arial" w:cs="Arial"/>
          <w:color w:val="000000" w:themeColor="text1"/>
        </w:rPr>
      </w:pPr>
    </w:p>
    <w:p w14:paraId="6EA2B5AE" w14:textId="77777777" w:rsidR="00200D84" w:rsidRPr="003B1B94" w:rsidRDefault="00200D84" w:rsidP="00200D84">
      <w:pPr>
        <w:pStyle w:val="ListParagraph"/>
        <w:numPr>
          <w:ilvl w:val="0"/>
          <w:numId w:val="3"/>
        </w:numPr>
        <w:spacing w:after="0"/>
        <w:ind w:left="0"/>
        <w:jc w:val="both"/>
        <w:rPr>
          <w:rFonts w:ascii="Arial" w:hAnsi="Arial" w:cs="Arial"/>
          <w:color w:val="000000" w:themeColor="text1"/>
        </w:rPr>
      </w:pPr>
      <w:r w:rsidRPr="003B1B94">
        <w:rPr>
          <w:rFonts w:ascii="Arial" w:hAnsi="Arial" w:cs="Arial"/>
          <w:color w:val="000000" w:themeColor="text1"/>
        </w:rPr>
        <w:t xml:space="preserve">Ministers and heads of delegation will be invited to discuss and exchange their experiences of transformative pathways that contribute to addressing environment and health linkages at all levels in a more integrated manner illustrated in the thematic report, such as: </w:t>
      </w:r>
    </w:p>
    <w:p w14:paraId="7320CC9E" w14:textId="77777777" w:rsidR="00200D84" w:rsidRPr="003B1B94" w:rsidRDefault="00200D84" w:rsidP="00200D84">
      <w:pPr>
        <w:pStyle w:val="ListParagraph"/>
        <w:spacing w:after="0"/>
        <w:ind w:left="0"/>
        <w:jc w:val="both"/>
        <w:rPr>
          <w:rFonts w:ascii="Arial" w:hAnsi="Arial" w:cs="Arial"/>
          <w:color w:val="000000" w:themeColor="text1"/>
        </w:rPr>
      </w:pPr>
    </w:p>
    <w:p w14:paraId="4C56C5B4" w14:textId="77777777" w:rsidR="00200D84" w:rsidRPr="003B1B94" w:rsidRDefault="00200D84" w:rsidP="00200D84">
      <w:pPr>
        <w:pStyle w:val="ListParagraph"/>
        <w:widowControl w:val="0"/>
        <w:numPr>
          <w:ilvl w:val="0"/>
          <w:numId w:val="1"/>
        </w:numPr>
        <w:pBdr>
          <w:top w:val="nil"/>
          <w:left w:val="nil"/>
          <w:bottom w:val="nil"/>
          <w:right w:val="nil"/>
          <w:between w:val="nil"/>
          <w:bar w:val="nil"/>
        </w:pBdr>
        <w:spacing w:after="0"/>
        <w:jc w:val="both"/>
        <w:rPr>
          <w:rFonts w:ascii="Arial" w:hAnsi="Arial" w:cs="Arial"/>
          <w:lang w:val="en-GB"/>
        </w:rPr>
      </w:pPr>
      <w:r w:rsidRPr="003B1B94">
        <w:rPr>
          <w:rFonts w:ascii="Arial" w:hAnsi="Arial" w:cs="Arial"/>
          <w:b/>
          <w:lang w:val="en-GB"/>
        </w:rPr>
        <w:t>Detoxification of our economies</w:t>
      </w:r>
      <w:r w:rsidRPr="003B1B94">
        <w:rPr>
          <w:rFonts w:ascii="Arial" w:hAnsi="Arial" w:cs="Arial"/>
          <w:lang w:val="en-GB"/>
        </w:rPr>
        <w:t>, to remove harmful substances from and/or mitigate their impact on the environment in which people live and work (e.g. addressing air pollution, reducing pesticides use, through the promotion of integrated pest management and organic and sustainable farming systems)</w:t>
      </w:r>
    </w:p>
    <w:p w14:paraId="37EB716B" w14:textId="77777777" w:rsidR="00200D84" w:rsidRPr="003B1B94" w:rsidRDefault="00200D84" w:rsidP="00200D84">
      <w:pPr>
        <w:pStyle w:val="ListParagraph"/>
        <w:widowControl w:val="0"/>
        <w:numPr>
          <w:ilvl w:val="0"/>
          <w:numId w:val="1"/>
        </w:numPr>
        <w:pBdr>
          <w:top w:val="nil"/>
          <w:left w:val="nil"/>
          <w:bottom w:val="nil"/>
          <w:right w:val="nil"/>
          <w:between w:val="nil"/>
          <w:bar w:val="nil"/>
        </w:pBdr>
        <w:spacing w:after="0"/>
        <w:jc w:val="both"/>
        <w:rPr>
          <w:rFonts w:ascii="Arial" w:hAnsi="Arial" w:cs="Arial"/>
          <w:lang w:val="en-GB"/>
        </w:rPr>
      </w:pPr>
      <w:r w:rsidRPr="003B1B94">
        <w:rPr>
          <w:rFonts w:ascii="Arial" w:hAnsi="Arial" w:cs="Arial"/>
          <w:b/>
          <w:lang w:val="en-GB"/>
        </w:rPr>
        <w:t>Decarbonisation</w:t>
      </w:r>
      <w:r w:rsidRPr="003B1B94">
        <w:rPr>
          <w:rFonts w:ascii="Arial" w:hAnsi="Arial" w:cs="Arial"/>
          <w:lang w:val="en-GB"/>
        </w:rPr>
        <w:t>, to reduce the use</w:t>
      </w:r>
      <w:r w:rsidRPr="003B1B94">
        <w:rPr>
          <w:rFonts w:ascii="Arial" w:hAnsi="Arial" w:cs="Arial"/>
        </w:rPr>
        <w:t xml:space="preserve"> </w:t>
      </w:r>
      <w:r w:rsidRPr="003B1B94">
        <w:rPr>
          <w:rFonts w:ascii="Arial" w:hAnsi="Arial" w:cs="Arial"/>
          <w:lang w:val="en-GB"/>
        </w:rPr>
        <w:t>of carbon fuels and thereby emissions of carbon dioxide (CO</w:t>
      </w:r>
      <w:r w:rsidRPr="003B1B94">
        <w:rPr>
          <w:rFonts w:ascii="Arial" w:hAnsi="Arial" w:cs="Arial"/>
          <w:vertAlign w:val="subscript"/>
          <w:lang w:val="en-GB"/>
        </w:rPr>
        <w:t>2</w:t>
      </w:r>
      <w:r w:rsidRPr="003B1B94">
        <w:rPr>
          <w:rFonts w:ascii="Arial" w:hAnsi="Arial" w:cs="Arial"/>
          <w:lang w:val="en-GB"/>
        </w:rPr>
        <w:t xml:space="preserve">) through substitution of non-carbon energy, in line with the Paris agreement on Climate Change. </w:t>
      </w:r>
    </w:p>
    <w:p w14:paraId="5E6AE658" w14:textId="77777777" w:rsidR="00200D84" w:rsidRPr="003B1B94" w:rsidRDefault="00200D84" w:rsidP="00200D84">
      <w:pPr>
        <w:pStyle w:val="ListParagraph"/>
        <w:widowControl w:val="0"/>
        <w:numPr>
          <w:ilvl w:val="0"/>
          <w:numId w:val="1"/>
        </w:numPr>
        <w:pBdr>
          <w:top w:val="nil"/>
          <w:left w:val="nil"/>
          <w:bottom w:val="nil"/>
          <w:right w:val="nil"/>
          <w:between w:val="nil"/>
          <w:bar w:val="nil"/>
        </w:pBdr>
        <w:spacing w:after="0"/>
        <w:jc w:val="both"/>
        <w:rPr>
          <w:rFonts w:ascii="Arial" w:hAnsi="Arial" w:cs="Arial"/>
          <w:lang w:val="en-GB"/>
        </w:rPr>
      </w:pPr>
      <w:r w:rsidRPr="003B1B94">
        <w:rPr>
          <w:rFonts w:ascii="Arial" w:hAnsi="Arial" w:cs="Arial"/>
          <w:b/>
          <w:lang w:val="en-GB"/>
        </w:rPr>
        <w:t>Decoupling of resource use and environmental impacts and change in lifestyles</w:t>
      </w:r>
      <w:r w:rsidRPr="003B1B94">
        <w:rPr>
          <w:rFonts w:ascii="Arial" w:hAnsi="Arial" w:cs="Arial"/>
          <w:lang w:val="en-GB"/>
        </w:rPr>
        <w:t xml:space="preserve">, to generate the needed economic activity and value to sustain the world's population with less resource use, less waste, less pollution, and less environmental degradation. Important health benefits can be gained from decoupling opportunities in the food sector, in water use, in energy consumption and through recycling and more sustainable household consumption e.g. food waste reduction. </w:t>
      </w:r>
    </w:p>
    <w:p w14:paraId="46139AF4" w14:textId="77777777" w:rsidR="00200D84" w:rsidRPr="003B1B94" w:rsidRDefault="00200D84" w:rsidP="00200D84">
      <w:pPr>
        <w:pStyle w:val="ListParagraph"/>
        <w:numPr>
          <w:ilvl w:val="0"/>
          <w:numId w:val="1"/>
        </w:numPr>
        <w:pBdr>
          <w:top w:val="nil"/>
          <w:left w:val="nil"/>
          <w:bottom w:val="nil"/>
          <w:right w:val="nil"/>
          <w:between w:val="nil"/>
          <w:bar w:val="nil"/>
        </w:pBdr>
        <w:spacing w:after="0"/>
        <w:jc w:val="both"/>
        <w:rPr>
          <w:rFonts w:ascii="Arial" w:hAnsi="Arial" w:cs="Arial"/>
          <w:lang w:val="en-GB" w:eastAsia="en-GB"/>
        </w:rPr>
      </w:pPr>
      <w:r w:rsidRPr="003B1B94">
        <w:rPr>
          <w:rStyle w:val="corpsdetexteChar"/>
          <w:rFonts w:ascii="Arial" w:hAnsi="Arial" w:cs="Arial"/>
          <w:b/>
          <w:lang w:val="en-GB"/>
        </w:rPr>
        <w:t>Enhanced ecosystem resilience</w:t>
      </w:r>
      <w:r w:rsidRPr="003B1B94">
        <w:rPr>
          <w:rStyle w:val="corpsdetexteChar"/>
          <w:rFonts w:ascii="Arial" w:hAnsi="Arial" w:cs="Arial"/>
          <w:lang w:val="en-GB"/>
        </w:rPr>
        <w:t>, to b</w:t>
      </w:r>
      <w:r w:rsidRPr="003B1B94">
        <w:rPr>
          <w:rFonts w:ascii="Arial" w:hAnsi="Arial" w:cs="Arial"/>
          <w:lang w:val="en-GB"/>
        </w:rPr>
        <w:t xml:space="preserve">uild the capacity of the environment, economies and societies to anticipate, respond to and recover from disturbances and shocks. Reforestation and better land use management, for example, </w:t>
      </w:r>
      <w:r w:rsidRPr="003B1B94">
        <w:rPr>
          <w:rFonts w:ascii="Arial" w:hAnsi="Arial" w:cs="Arial"/>
          <w:bdr w:val="none" w:sz="0" w:space="0" w:color="auto" w:frame="1"/>
          <w:lang w:val="en-GB"/>
        </w:rPr>
        <w:t xml:space="preserve">will lead to improved absorption of rainwater into the soil, increased water storage and availability, more biomass, and greater food security, thus reducing malnutrition. </w:t>
      </w:r>
      <w:r w:rsidRPr="003B1B94">
        <w:rPr>
          <w:rFonts w:ascii="Arial" w:hAnsi="Arial" w:cs="Arial"/>
          <w:lang w:val="en-GB"/>
        </w:rPr>
        <w:t>These restorative activities will not only ensure food security, but also nurture cultural, social and recreational activities</w:t>
      </w:r>
      <w:r w:rsidRPr="003B1B94">
        <w:rPr>
          <w:rFonts w:ascii="Arial" w:hAnsi="Arial" w:cs="Arial"/>
          <w:bdr w:val="none" w:sz="0" w:space="0" w:color="auto" w:frame="1"/>
          <w:lang w:val="en-GB"/>
        </w:rPr>
        <w:t>, and bring economic growth for local populations</w:t>
      </w:r>
      <w:r w:rsidRPr="003B1B94">
        <w:rPr>
          <w:rFonts w:ascii="Arial" w:hAnsi="Arial" w:cs="Arial"/>
          <w:lang w:val="en-GB"/>
        </w:rPr>
        <w:t>.</w:t>
      </w:r>
    </w:p>
    <w:p w14:paraId="792C6C70" w14:textId="77777777" w:rsidR="00200D84" w:rsidRPr="003B1B94" w:rsidRDefault="00200D84" w:rsidP="00200D84">
      <w:pPr>
        <w:pBdr>
          <w:top w:val="nil"/>
          <w:left w:val="nil"/>
          <w:bottom w:val="nil"/>
          <w:right w:val="nil"/>
          <w:between w:val="nil"/>
          <w:bar w:val="nil"/>
        </w:pBdr>
        <w:spacing w:after="0"/>
        <w:jc w:val="both"/>
        <w:rPr>
          <w:rFonts w:ascii="Arial" w:hAnsi="Arial" w:cs="Arial"/>
          <w:lang w:val="en-GB" w:eastAsia="en-GB"/>
        </w:rPr>
      </w:pPr>
    </w:p>
    <w:p w14:paraId="3848F0CF" w14:textId="77777777" w:rsidR="00200D84" w:rsidRPr="003B1B94" w:rsidRDefault="00200D84" w:rsidP="00200D84">
      <w:pPr>
        <w:pStyle w:val="ListParagraph"/>
        <w:widowControl w:val="0"/>
        <w:numPr>
          <w:ilvl w:val="0"/>
          <w:numId w:val="3"/>
        </w:numPr>
        <w:autoSpaceDE w:val="0"/>
        <w:autoSpaceDN w:val="0"/>
        <w:adjustRightInd w:val="0"/>
        <w:spacing w:after="0"/>
        <w:ind w:left="0"/>
        <w:jc w:val="both"/>
        <w:rPr>
          <w:rFonts w:ascii="Arial" w:eastAsia="Calibri" w:hAnsi="Arial" w:cs="Arial"/>
          <w:color w:val="000000"/>
          <w:u w:color="000000"/>
          <w:lang w:val="en-GB"/>
        </w:rPr>
      </w:pPr>
      <w:r w:rsidRPr="003B1B94">
        <w:rPr>
          <w:rFonts w:ascii="Arial" w:eastAsia="Calibri" w:hAnsi="Arial" w:cs="Arial"/>
          <w:color w:val="000000"/>
          <w:u w:color="000000"/>
          <w:lang w:val="en-GB"/>
        </w:rPr>
        <w:t>Participants will also be invited to discuss how targeted regulatory, policy, strategies and actions can concretely help to successfully</w:t>
      </w:r>
      <w:r w:rsidRPr="003B1B94">
        <w:rPr>
          <w:rFonts w:ascii="Arial" w:hAnsi="Arial" w:cs="Arial"/>
          <w:lang w:val="en-GB"/>
        </w:rPr>
        <w:t xml:space="preserve"> realise or scale up the multiple benefits of addressing environment and health </w:t>
      </w:r>
      <w:r w:rsidRPr="003B1B94">
        <w:rPr>
          <w:rFonts w:ascii="Arial" w:eastAsia="Calibri" w:hAnsi="Arial" w:cs="Arial"/>
          <w:color w:val="000000"/>
          <w:u w:color="000000"/>
          <w:lang w:val="en-GB"/>
        </w:rPr>
        <w:t>linkages, for example through:</w:t>
      </w:r>
    </w:p>
    <w:p w14:paraId="614B133C" w14:textId="77777777" w:rsidR="00200D84" w:rsidRPr="003B1B94" w:rsidRDefault="00200D84" w:rsidP="00200D84">
      <w:pPr>
        <w:pStyle w:val="ListParagraph"/>
        <w:widowControl w:val="0"/>
        <w:autoSpaceDE w:val="0"/>
        <w:autoSpaceDN w:val="0"/>
        <w:adjustRightInd w:val="0"/>
        <w:spacing w:after="0"/>
        <w:ind w:left="0"/>
        <w:jc w:val="both"/>
        <w:rPr>
          <w:rFonts w:ascii="Arial" w:eastAsia="Calibri" w:hAnsi="Arial" w:cs="Arial"/>
          <w:color w:val="000000"/>
          <w:u w:color="000000"/>
          <w:lang w:val="en-GB"/>
        </w:rPr>
      </w:pPr>
    </w:p>
    <w:p w14:paraId="182DBD11" w14:textId="77777777" w:rsidR="00200D84" w:rsidRPr="003B1B94" w:rsidRDefault="00200D84" w:rsidP="00200D84">
      <w:pPr>
        <w:pStyle w:val="corpsdetexte"/>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r w:rsidRPr="003B1B94">
        <w:rPr>
          <w:rFonts w:ascii="Arial" w:hAnsi="Arial" w:cs="Arial"/>
          <w:b/>
          <w:sz w:val="22"/>
          <w:szCs w:val="22"/>
          <w:lang w:val="en-GB"/>
        </w:rPr>
        <w:t>Strengthened multi-level governance</w:t>
      </w:r>
      <w:r w:rsidRPr="003B1B94">
        <w:rPr>
          <w:rFonts w:ascii="Arial" w:hAnsi="Arial" w:cs="Arial"/>
          <w:sz w:val="22"/>
          <w:szCs w:val="22"/>
          <w:lang w:val="en-GB"/>
        </w:rPr>
        <w:t xml:space="preserve"> at the nexus of environment and health;</w:t>
      </w:r>
    </w:p>
    <w:p w14:paraId="2DBAE79B" w14:textId="77777777" w:rsidR="00200D84" w:rsidRPr="003B1B94" w:rsidRDefault="00200D84" w:rsidP="00200D84">
      <w:pPr>
        <w:pStyle w:val="corpsdetexte"/>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r w:rsidRPr="003B1B94">
        <w:rPr>
          <w:rFonts w:ascii="Arial" w:hAnsi="Arial" w:cs="Arial"/>
          <w:b/>
          <w:sz w:val="22"/>
          <w:szCs w:val="22"/>
          <w:lang w:val="en-GB"/>
        </w:rPr>
        <w:t>Integrated evidence based policies and instruments, including legal and fiscal</w:t>
      </w:r>
      <w:r w:rsidRPr="003B1B94">
        <w:rPr>
          <w:rFonts w:ascii="Arial" w:hAnsi="Arial" w:cs="Arial"/>
          <w:sz w:val="22"/>
          <w:szCs w:val="22"/>
          <w:lang w:val="en-GB"/>
        </w:rPr>
        <w:t>, that translate policy to action across sectors and industries;</w:t>
      </w:r>
    </w:p>
    <w:p w14:paraId="7653E226" w14:textId="77777777" w:rsidR="00200D84" w:rsidRPr="003B1B94" w:rsidRDefault="00200D84" w:rsidP="00200D84">
      <w:pPr>
        <w:pStyle w:val="corpsdetexte"/>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r w:rsidRPr="003B1B94">
        <w:rPr>
          <w:rFonts w:ascii="Arial" w:hAnsi="Arial" w:cs="Arial"/>
          <w:b/>
          <w:sz w:val="22"/>
          <w:szCs w:val="22"/>
          <w:lang w:val="en-GB"/>
        </w:rPr>
        <w:t>Cross-sectoral partnerships and platforms</w:t>
      </w:r>
      <w:r w:rsidRPr="003B1B94">
        <w:rPr>
          <w:rFonts w:ascii="Arial" w:hAnsi="Arial" w:cs="Arial"/>
          <w:sz w:val="22"/>
          <w:szCs w:val="22"/>
          <w:lang w:val="en-GB"/>
        </w:rPr>
        <w:t xml:space="preserve"> to incubate, catalyse, accelerate, and scale health-environment research, innovation, technologies, innovative financing, and practices;</w:t>
      </w:r>
    </w:p>
    <w:p w14:paraId="0B17B887" w14:textId="77777777" w:rsidR="00200D84" w:rsidRPr="003B1B94" w:rsidRDefault="00200D84" w:rsidP="00200D84">
      <w:pPr>
        <w:pStyle w:val="corpsdetexte"/>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r w:rsidRPr="003B1B94">
        <w:rPr>
          <w:rFonts w:ascii="Arial" w:hAnsi="Arial" w:cs="Arial"/>
          <w:b/>
          <w:sz w:val="22"/>
          <w:szCs w:val="22"/>
          <w:lang w:val="en-GB"/>
        </w:rPr>
        <w:t>Improved individual, household, and societal knowledge</w:t>
      </w:r>
      <w:r w:rsidRPr="003B1B94">
        <w:rPr>
          <w:rFonts w:ascii="Arial" w:hAnsi="Arial" w:cs="Arial"/>
          <w:sz w:val="22"/>
          <w:szCs w:val="22"/>
          <w:lang w:val="en-GB"/>
        </w:rPr>
        <w:t>, attitudes, behaviours and practices through systematic communication, awareness raising and education interventions;</w:t>
      </w:r>
    </w:p>
    <w:p w14:paraId="280EDC1A" w14:textId="77777777" w:rsidR="00200D84" w:rsidRPr="003B1B94" w:rsidRDefault="00200D84" w:rsidP="00200D84">
      <w:pPr>
        <w:pStyle w:val="corpsdetexte"/>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r w:rsidRPr="003B1B94">
        <w:rPr>
          <w:rFonts w:ascii="Arial" w:hAnsi="Arial" w:cs="Arial"/>
          <w:b/>
          <w:sz w:val="22"/>
          <w:szCs w:val="22"/>
          <w:lang w:val="en-GB"/>
        </w:rPr>
        <w:t>Assessment, measurement, research and monitoring</w:t>
      </w:r>
      <w:r w:rsidRPr="003B1B94">
        <w:rPr>
          <w:rFonts w:ascii="Arial" w:hAnsi="Arial" w:cs="Arial"/>
          <w:sz w:val="22"/>
          <w:szCs w:val="22"/>
          <w:lang w:val="en-GB"/>
        </w:rPr>
        <w:t xml:space="preserve"> to ensure an adequate formative </w:t>
      </w:r>
      <w:proofErr w:type="gramStart"/>
      <w:r w:rsidRPr="003B1B94">
        <w:rPr>
          <w:rFonts w:ascii="Arial" w:hAnsi="Arial" w:cs="Arial"/>
          <w:sz w:val="22"/>
          <w:szCs w:val="22"/>
          <w:lang w:val="en-GB"/>
        </w:rPr>
        <w:t>process,</w:t>
      </w:r>
      <w:proofErr w:type="gramEnd"/>
      <w:r w:rsidRPr="003B1B94">
        <w:rPr>
          <w:rFonts w:ascii="Arial" w:hAnsi="Arial" w:cs="Arial"/>
          <w:sz w:val="22"/>
          <w:szCs w:val="22"/>
          <w:lang w:val="en-GB"/>
        </w:rPr>
        <w:t xml:space="preserve"> and a research framework that engenders the evidence base that all investment and action demand.</w:t>
      </w:r>
    </w:p>
    <w:p w14:paraId="5D1E88BE" w14:textId="77777777" w:rsidR="00200D84" w:rsidRPr="003B1B94" w:rsidRDefault="00200D84" w:rsidP="00200D84">
      <w:pPr>
        <w:pStyle w:val="ListParagraph"/>
        <w:spacing w:after="0"/>
        <w:ind w:left="0"/>
        <w:jc w:val="both"/>
        <w:rPr>
          <w:rFonts w:ascii="Arial" w:hAnsi="Arial" w:cs="Arial"/>
          <w:color w:val="000000" w:themeColor="text1"/>
        </w:rPr>
      </w:pPr>
    </w:p>
    <w:p w14:paraId="7770BCCF" w14:textId="77777777" w:rsidR="00200D84" w:rsidRPr="003B1B94" w:rsidRDefault="00200D84" w:rsidP="00200D84">
      <w:pPr>
        <w:spacing w:after="0"/>
        <w:jc w:val="both"/>
        <w:rPr>
          <w:rFonts w:ascii="Arial" w:hAnsi="Arial" w:cs="Arial"/>
          <w:b/>
        </w:rPr>
      </w:pPr>
      <w:r w:rsidRPr="003B1B94">
        <w:rPr>
          <w:rFonts w:ascii="Arial" w:hAnsi="Arial" w:cs="Arial"/>
          <w:b/>
        </w:rPr>
        <w:t xml:space="preserve">Guiding questions </w:t>
      </w:r>
    </w:p>
    <w:p w14:paraId="3B083E98" w14:textId="77777777" w:rsidR="00200D84" w:rsidRPr="003B1B94" w:rsidRDefault="00200D84" w:rsidP="00200D84">
      <w:pPr>
        <w:pStyle w:val="ListParagraph"/>
        <w:spacing w:after="0"/>
        <w:ind w:left="0"/>
        <w:jc w:val="both"/>
        <w:rPr>
          <w:rFonts w:ascii="Arial" w:hAnsi="Arial" w:cs="Arial"/>
        </w:rPr>
      </w:pPr>
    </w:p>
    <w:p w14:paraId="46562E8D" w14:textId="77777777" w:rsidR="00200D84" w:rsidRPr="003B1B94" w:rsidRDefault="00200D84" w:rsidP="00200D84">
      <w:pPr>
        <w:pStyle w:val="ListParagraph"/>
        <w:numPr>
          <w:ilvl w:val="0"/>
          <w:numId w:val="3"/>
        </w:numPr>
        <w:spacing w:after="0"/>
        <w:ind w:left="0"/>
        <w:jc w:val="both"/>
        <w:rPr>
          <w:rFonts w:ascii="Arial" w:hAnsi="Arial" w:cs="Arial"/>
        </w:rPr>
      </w:pPr>
      <w:r w:rsidRPr="003B1B94">
        <w:rPr>
          <w:rFonts w:ascii="Arial" w:hAnsi="Arial" w:cs="Arial"/>
          <w:b/>
        </w:rPr>
        <w:t>The Ministerial Policy Review session</w:t>
      </w:r>
      <w:r w:rsidRPr="003B1B94">
        <w:rPr>
          <w:rFonts w:ascii="Arial" w:hAnsi="Arial" w:cs="Arial"/>
        </w:rPr>
        <w:t xml:space="preserve"> be guided by the following preliminary questions for discussion: </w:t>
      </w:r>
    </w:p>
    <w:p w14:paraId="7344AF30" w14:textId="77777777" w:rsidR="00200D84" w:rsidRPr="003B1B94" w:rsidRDefault="00200D84" w:rsidP="00200D84">
      <w:pPr>
        <w:pStyle w:val="ListParagraph"/>
        <w:numPr>
          <w:ilvl w:val="0"/>
          <w:numId w:val="4"/>
        </w:numPr>
        <w:spacing w:after="0"/>
        <w:jc w:val="both"/>
        <w:rPr>
          <w:rFonts w:ascii="Arial" w:hAnsi="Arial" w:cs="Arial"/>
        </w:rPr>
      </w:pPr>
      <w:r w:rsidRPr="003B1B94">
        <w:rPr>
          <w:rFonts w:ascii="Arial" w:hAnsi="Arial" w:cs="Arial"/>
        </w:rPr>
        <w:t>Given the interlinkages between human health and the health of the environment, what kinds of policies are needed at the national level to ensure the adoption of integrated responses to address environment and health?</w:t>
      </w:r>
    </w:p>
    <w:p w14:paraId="2D01A7B8" w14:textId="77777777" w:rsidR="00200D84" w:rsidRPr="003B1B94" w:rsidRDefault="00200D84" w:rsidP="00200D84">
      <w:pPr>
        <w:pStyle w:val="ListParagraph"/>
        <w:numPr>
          <w:ilvl w:val="0"/>
          <w:numId w:val="4"/>
        </w:numPr>
        <w:spacing w:after="0"/>
        <w:jc w:val="both"/>
        <w:rPr>
          <w:rFonts w:ascii="Arial" w:hAnsi="Arial" w:cs="Arial"/>
        </w:rPr>
      </w:pPr>
      <w:r w:rsidRPr="003B1B94">
        <w:rPr>
          <w:rFonts w:ascii="Arial" w:hAnsi="Arial" w:cs="Arial"/>
        </w:rPr>
        <w:t>What is being done in your countries, including at the local level, and in the regions that could provide examples of best practices that can provide the basis for transformative change in addressing environment and health linkages?</w:t>
      </w:r>
    </w:p>
    <w:p w14:paraId="338C0B3F" w14:textId="77777777" w:rsidR="00200D84" w:rsidRPr="003B1B94" w:rsidRDefault="00200D84" w:rsidP="00200D84">
      <w:pPr>
        <w:pStyle w:val="ListParagraph"/>
        <w:numPr>
          <w:ilvl w:val="0"/>
          <w:numId w:val="4"/>
        </w:numPr>
        <w:spacing w:after="0"/>
        <w:jc w:val="both"/>
        <w:rPr>
          <w:rFonts w:ascii="Arial" w:hAnsi="Arial" w:cs="Arial"/>
        </w:rPr>
      </w:pPr>
      <w:r w:rsidRPr="003B1B94">
        <w:rPr>
          <w:rFonts w:ascii="Arial" w:hAnsi="Arial" w:cs="Arial"/>
        </w:rPr>
        <w:t xml:space="preserve">Which are some of the priority areas where UNEA can deliver accelerated results in Decarbonizing and </w:t>
      </w:r>
      <w:proofErr w:type="gramStart"/>
      <w:r w:rsidRPr="003B1B94">
        <w:rPr>
          <w:rFonts w:ascii="Arial" w:hAnsi="Arial" w:cs="Arial"/>
        </w:rPr>
        <w:t>Detoxifying</w:t>
      </w:r>
      <w:proofErr w:type="gramEnd"/>
      <w:r w:rsidRPr="003B1B94">
        <w:rPr>
          <w:rFonts w:ascii="Arial" w:hAnsi="Arial" w:cs="Arial"/>
        </w:rPr>
        <w:t xml:space="preserve"> our economies, Decoupling resource use and changing lifestyles and Enhancing ecosystem resilience? </w:t>
      </w:r>
    </w:p>
    <w:p w14:paraId="1E983BB7" w14:textId="77777777" w:rsidR="00200D84" w:rsidRPr="003B1B94" w:rsidRDefault="00200D84" w:rsidP="00200D84">
      <w:pPr>
        <w:pStyle w:val="ListParagraph"/>
        <w:numPr>
          <w:ilvl w:val="0"/>
          <w:numId w:val="4"/>
        </w:numPr>
        <w:spacing w:after="0"/>
        <w:jc w:val="both"/>
        <w:rPr>
          <w:rFonts w:ascii="Arial" w:hAnsi="Arial" w:cs="Arial"/>
        </w:rPr>
      </w:pPr>
      <w:r w:rsidRPr="003B1B94">
        <w:rPr>
          <w:rFonts w:ascii="Arial" w:hAnsi="Arial" w:cs="Arial"/>
        </w:rPr>
        <w:t>What support is needed to enable delivery at scale?</w:t>
      </w:r>
    </w:p>
    <w:p w14:paraId="5137AE6D" w14:textId="77777777" w:rsidR="00200D84" w:rsidRPr="003B1B94" w:rsidRDefault="00200D84" w:rsidP="00200D84">
      <w:pPr>
        <w:pStyle w:val="ListParagraph"/>
        <w:numPr>
          <w:ilvl w:val="0"/>
          <w:numId w:val="4"/>
        </w:numPr>
        <w:spacing w:after="0"/>
        <w:jc w:val="both"/>
        <w:rPr>
          <w:rFonts w:ascii="Arial" w:hAnsi="Arial" w:cs="Arial"/>
        </w:rPr>
      </w:pPr>
      <w:r w:rsidRPr="003B1B94">
        <w:rPr>
          <w:rFonts w:ascii="Arial" w:hAnsi="Arial" w:cs="Arial"/>
        </w:rPr>
        <w:t xml:space="preserve">How can new or strengthened partnerships contribute to providing an integrated response to addressing environment and health linkages to deliver on the Sustainable Development Goals? </w:t>
      </w:r>
    </w:p>
    <w:p w14:paraId="602B685B" w14:textId="77777777" w:rsidR="00200D84" w:rsidRPr="003B1B94" w:rsidRDefault="00200D84" w:rsidP="00200D84">
      <w:pPr>
        <w:spacing w:after="0"/>
        <w:jc w:val="both"/>
        <w:rPr>
          <w:rFonts w:ascii="Arial" w:hAnsi="Arial" w:cs="Arial"/>
          <w:b/>
        </w:rPr>
      </w:pPr>
    </w:p>
    <w:p w14:paraId="7C4F6650" w14:textId="77777777" w:rsidR="00200D84" w:rsidRPr="003B1B94" w:rsidRDefault="00200D84" w:rsidP="00200D84">
      <w:pPr>
        <w:spacing w:after="0"/>
        <w:jc w:val="both"/>
        <w:rPr>
          <w:rFonts w:ascii="Arial" w:hAnsi="Arial" w:cs="Arial"/>
          <w:b/>
        </w:rPr>
      </w:pPr>
      <w:r w:rsidRPr="003B1B94">
        <w:rPr>
          <w:rFonts w:ascii="Arial" w:hAnsi="Arial" w:cs="Arial"/>
          <w:b/>
        </w:rPr>
        <w:t>Format and outcome of the Ministerial Policy Review session</w:t>
      </w:r>
    </w:p>
    <w:p w14:paraId="0D15038D" w14:textId="77777777" w:rsidR="00200D84" w:rsidRPr="003B1B94" w:rsidRDefault="00200D84" w:rsidP="00200D84">
      <w:pPr>
        <w:pStyle w:val="ListParagraph"/>
        <w:spacing w:after="0"/>
        <w:ind w:left="0"/>
        <w:jc w:val="both"/>
        <w:rPr>
          <w:rFonts w:ascii="Arial" w:hAnsi="Arial" w:cs="Arial"/>
        </w:rPr>
      </w:pPr>
    </w:p>
    <w:p w14:paraId="7A35EEB1" w14:textId="77777777" w:rsidR="00200D84" w:rsidRPr="003B1B94" w:rsidRDefault="00200D84" w:rsidP="00200D84">
      <w:pPr>
        <w:pStyle w:val="ListParagraph"/>
        <w:numPr>
          <w:ilvl w:val="0"/>
          <w:numId w:val="3"/>
        </w:numPr>
        <w:spacing w:after="0"/>
        <w:ind w:left="0"/>
        <w:jc w:val="both"/>
        <w:rPr>
          <w:rFonts w:ascii="Arial" w:hAnsi="Arial" w:cs="Arial"/>
        </w:rPr>
      </w:pPr>
      <w:r w:rsidRPr="003B1B94">
        <w:rPr>
          <w:rFonts w:ascii="Arial" w:hAnsi="Arial" w:cs="Arial"/>
        </w:rPr>
        <w:t xml:space="preserve">The introductory segment in a full plenary setting will present and discuss the Thematic Report “Healthy Environment, Healthy People”. After a brief introduction by the Executive Director of UNEP, two heads of UN agencies and one keynote speaker will be invited to briefly address the Assembly. </w:t>
      </w:r>
    </w:p>
    <w:p w14:paraId="0212FE88" w14:textId="77777777" w:rsidR="00200D84" w:rsidRPr="003B1B94" w:rsidRDefault="00200D84" w:rsidP="00200D84">
      <w:pPr>
        <w:pStyle w:val="ListParagraph"/>
        <w:spacing w:after="0"/>
        <w:ind w:left="0"/>
        <w:jc w:val="both"/>
        <w:rPr>
          <w:rFonts w:ascii="Arial" w:hAnsi="Arial" w:cs="Arial"/>
        </w:rPr>
      </w:pPr>
    </w:p>
    <w:p w14:paraId="2DBB4F32" w14:textId="77777777" w:rsidR="00200D84" w:rsidRPr="003B1B94" w:rsidRDefault="00200D84" w:rsidP="00200D84">
      <w:pPr>
        <w:pStyle w:val="ListParagraph"/>
        <w:numPr>
          <w:ilvl w:val="0"/>
          <w:numId w:val="3"/>
        </w:numPr>
        <w:spacing w:after="0"/>
        <w:ind w:left="0"/>
        <w:jc w:val="both"/>
        <w:rPr>
          <w:rFonts w:ascii="Arial" w:hAnsi="Arial" w:cs="Arial"/>
        </w:rPr>
      </w:pPr>
      <w:r w:rsidRPr="003B1B94">
        <w:rPr>
          <w:rFonts w:ascii="Arial" w:hAnsi="Arial" w:cs="Arial"/>
        </w:rPr>
        <w:t xml:space="preserve">The plenary will then break into two parallel sessions addressing the same theme in a smaller setting. Delegations will be invited to attend either session following a division of two roundtables by alphabetical order. Both roundtables will benefit from interpretation services. The roundtables will be chaired by Ministers of the Environment invited by the President of the Assembly. </w:t>
      </w:r>
    </w:p>
    <w:p w14:paraId="05D9F5F4" w14:textId="77777777" w:rsidR="00200D84" w:rsidRPr="003B1B94" w:rsidRDefault="00200D84" w:rsidP="00200D84">
      <w:pPr>
        <w:spacing w:after="0"/>
        <w:jc w:val="both"/>
        <w:rPr>
          <w:rFonts w:ascii="Arial" w:hAnsi="Arial" w:cs="Arial"/>
        </w:rPr>
      </w:pPr>
    </w:p>
    <w:p w14:paraId="15BD5262" w14:textId="77777777" w:rsidR="00200D84" w:rsidRPr="003B1B94" w:rsidRDefault="00200D84" w:rsidP="00200D84">
      <w:pPr>
        <w:pStyle w:val="ListParagraph"/>
        <w:numPr>
          <w:ilvl w:val="0"/>
          <w:numId w:val="3"/>
        </w:numPr>
        <w:spacing w:after="0"/>
        <w:ind w:left="0"/>
        <w:jc w:val="both"/>
        <w:rPr>
          <w:rFonts w:ascii="Arial" w:hAnsi="Arial" w:cs="Arial"/>
        </w:rPr>
      </w:pPr>
      <w:r w:rsidRPr="003B1B94">
        <w:rPr>
          <w:rFonts w:ascii="Arial" w:hAnsi="Arial" w:cs="Arial"/>
        </w:rPr>
        <w:lastRenderedPageBreak/>
        <w:t xml:space="preserve">To facilitate deliberations in each roundtable, the chairpersons may call upon, as appropriate during the course of the debate, heads of UN organizations and international experts to provide inputs on the theme. </w:t>
      </w:r>
    </w:p>
    <w:p w14:paraId="7E25FFCE" w14:textId="77777777" w:rsidR="008E5023" w:rsidRPr="003B1B94" w:rsidRDefault="008E5023" w:rsidP="008E5023">
      <w:pPr>
        <w:spacing w:after="0"/>
        <w:jc w:val="both"/>
        <w:rPr>
          <w:rFonts w:ascii="Arial" w:hAnsi="Arial" w:cs="Arial"/>
        </w:rPr>
      </w:pPr>
    </w:p>
    <w:p w14:paraId="00A612A5" w14:textId="2747652A" w:rsidR="008E5023" w:rsidRPr="003B1B94" w:rsidRDefault="008E5023" w:rsidP="00200D84">
      <w:pPr>
        <w:pStyle w:val="ListParagraph"/>
        <w:numPr>
          <w:ilvl w:val="0"/>
          <w:numId w:val="3"/>
        </w:numPr>
        <w:spacing w:after="0"/>
        <w:ind w:left="0"/>
        <w:jc w:val="both"/>
        <w:rPr>
          <w:rFonts w:ascii="Arial" w:hAnsi="Arial" w:cs="Arial"/>
        </w:rPr>
      </w:pPr>
      <w:r w:rsidRPr="003B1B94">
        <w:rPr>
          <w:rFonts w:ascii="Arial" w:hAnsi="Arial" w:cs="Arial"/>
        </w:rPr>
        <w:t>In order to ensure interactive dialogue, it is requested that interventions be kept to three minutes.</w:t>
      </w:r>
    </w:p>
    <w:p w14:paraId="1B0E2AAF" w14:textId="77777777" w:rsidR="00200D84" w:rsidRPr="003B1B94" w:rsidRDefault="00200D84" w:rsidP="00200D84">
      <w:pPr>
        <w:spacing w:after="0"/>
        <w:jc w:val="both"/>
        <w:rPr>
          <w:rFonts w:ascii="Arial" w:hAnsi="Arial" w:cs="Arial"/>
        </w:rPr>
      </w:pPr>
    </w:p>
    <w:p w14:paraId="09882E14" w14:textId="77777777" w:rsidR="00200D84" w:rsidRPr="003B1B94" w:rsidRDefault="00200D84" w:rsidP="00200D84">
      <w:pPr>
        <w:pStyle w:val="ListParagraph"/>
        <w:numPr>
          <w:ilvl w:val="0"/>
          <w:numId w:val="3"/>
        </w:numPr>
        <w:spacing w:after="0"/>
        <w:ind w:left="0"/>
        <w:jc w:val="both"/>
        <w:rPr>
          <w:rFonts w:ascii="Arial" w:hAnsi="Arial" w:cs="Arial"/>
        </w:rPr>
      </w:pPr>
      <w:r w:rsidRPr="003B1B94">
        <w:rPr>
          <w:rFonts w:ascii="Arial" w:hAnsi="Arial" w:cs="Arial"/>
        </w:rPr>
        <w:t>The Co-Chairs of the Roundtables will be invited to summarize the debates during the closing segment of the Assembly.</w:t>
      </w:r>
    </w:p>
    <w:p w14:paraId="485C7913" w14:textId="77777777" w:rsidR="000E6A9C" w:rsidRPr="003B1B94" w:rsidRDefault="003B1B94">
      <w:pPr>
        <w:rPr>
          <w:rFonts w:ascii="Arial" w:hAnsi="Arial" w:cs="Arial"/>
        </w:rPr>
      </w:pPr>
    </w:p>
    <w:p w14:paraId="3760DF20" w14:textId="77777777" w:rsidR="001A0370" w:rsidRPr="003B1B94" w:rsidRDefault="001A0370">
      <w:pPr>
        <w:spacing w:after="0" w:line="240" w:lineRule="auto"/>
        <w:rPr>
          <w:rFonts w:ascii="Arial" w:hAnsi="Arial" w:cs="Arial"/>
          <w:b/>
          <w:bCs/>
        </w:rPr>
      </w:pPr>
      <w:r w:rsidRPr="003B1B94">
        <w:rPr>
          <w:rFonts w:ascii="Arial" w:hAnsi="Arial" w:cs="Arial"/>
          <w:b/>
          <w:bCs/>
        </w:rPr>
        <w:br w:type="page"/>
      </w:r>
    </w:p>
    <w:p w14:paraId="70A5109C" w14:textId="1E156F70" w:rsidR="001A0370" w:rsidRPr="003B1B94" w:rsidRDefault="001A0370" w:rsidP="001A0370">
      <w:pPr>
        <w:widowControl w:val="0"/>
        <w:overflowPunct w:val="0"/>
        <w:autoSpaceDE w:val="0"/>
        <w:autoSpaceDN w:val="0"/>
        <w:adjustRightInd w:val="0"/>
        <w:spacing w:after="0" w:line="225" w:lineRule="auto"/>
        <w:ind w:left="180"/>
        <w:jc w:val="center"/>
        <w:rPr>
          <w:rFonts w:ascii="Arial" w:hAnsi="Arial" w:cs="Arial"/>
          <w:b/>
          <w:bCs/>
        </w:rPr>
      </w:pPr>
      <w:r w:rsidRPr="003B1B94">
        <w:rPr>
          <w:rFonts w:ascii="Arial" w:hAnsi="Arial" w:cs="Arial"/>
          <w:b/>
          <w:bCs/>
        </w:rPr>
        <w:lastRenderedPageBreak/>
        <w:t>The Ministerial Policy Review Session of the Second Session of the United Nations Environment Assembly</w:t>
      </w:r>
    </w:p>
    <w:p w14:paraId="077B13A8" w14:textId="77777777" w:rsidR="001A0370" w:rsidRPr="003B1B94" w:rsidRDefault="001A0370" w:rsidP="001A0370">
      <w:pPr>
        <w:widowControl w:val="0"/>
        <w:autoSpaceDE w:val="0"/>
        <w:autoSpaceDN w:val="0"/>
        <w:adjustRightInd w:val="0"/>
        <w:spacing w:after="0" w:line="65" w:lineRule="exact"/>
        <w:rPr>
          <w:rFonts w:ascii="Arial" w:hAnsi="Arial" w:cs="Arial"/>
        </w:rPr>
      </w:pPr>
    </w:p>
    <w:tbl>
      <w:tblPr>
        <w:tblW w:w="9480" w:type="dxa"/>
        <w:tblLayout w:type="fixed"/>
        <w:tblCellMar>
          <w:left w:w="0" w:type="dxa"/>
          <w:right w:w="0" w:type="dxa"/>
        </w:tblCellMar>
        <w:tblLook w:val="0000" w:firstRow="0" w:lastRow="0" w:firstColumn="0" w:lastColumn="0" w:noHBand="0" w:noVBand="0"/>
      </w:tblPr>
      <w:tblGrid>
        <w:gridCol w:w="1920"/>
        <w:gridCol w:w="7560"/>
      </w:tblGrid>
      <w:tr w:rsidR="001A0370" w:rsidRPr="003B1B94" w14:paraId="6A686AC9" w14:textId="77777777" w:rsidTr="00AA1F7C">
        <w:trPr>
          <w:trHeight w:val="293"/>
        </w:trPr>
        <w:tc>
          <w:tcPr>
            <w:tcW w:w="1920" w:type="dxa"/>
            <w:tcBorders>
              <w:top w:val="nil"/>
              <w:left w:val="nil"/>
              <w:bottom w:val="nil"/>
              <w:right w:val="nil"/>
            </w:tcBorders>
            <w:vAlign w:val="bottom"/>
          </w:tcPr>
          <w:p w14:paraId="17ADC590" w14:textId="77777777" w:rsidR="001A0370" w:rsidRPr="003B1B94" w:rsidRDefault="001A0370" w:rsidP="00AA1F7C">
            <w:pPr>
              <w:widowControl w:val="0"/>
              <w:autoSpaceDE w:val="0"/>
              <w:autoSpaceDN w:val="0"/>
              <w:adjustRightInd w:val="0"/>
              <w:spacing w:after="0" w:line="240" w:lineRule="auto"/>
              <w:rPr>
                <w:rFonts w:ascii="Arial" w:hAnsi="Arial" w:cs="Arial"/>
              </w:rPr>
            </w:pPr>
          </w:p>
        </w:tc>
        <w:tc>
          <w:tcPr>
            <w:tcW w:w="7560" w:type="dxa"/>
            <w:tcBorders>
              <w:top w:val="nil"/>
              <w:left w:val="nil"/>
              <w:bottom w:val="nil"/>
              <w:right w:val="nil"/>
            </w:tcBorders>
            <w:vAlign w:val="bottom"/>
          </w:tcPr>
          <w:p w14:paraId="0080DB44" w14:textId="77777777" w:rsidR="001A0370" w:rsidRPr="003B1B94" w:rsidRDefault="001A0370" w:rsidP="00AA1F7C">
            <w:pPr>
              <w:widowControl w:val="0"/>
              <w:autoSpaceDE w:val="0"/>
              <w:autoSpaceDN w:val="0"/>
              <w:adjustRightInd w:val="0"/>
              <w:spacing w:after="0" w:line="240" w:lineRule="auto"/>
              <w:ind w:right="2647"/>
              <w:jc w:val="center"/>
              <w:rPr>
                <w:rFonts w:ascii="Arial" w:hAnsi="Arial" w:cs="Arial"/>
              </w:rPr>
            </w:pPr>
          </w:p>
        </w:tc>
      </w:tr>
      <w:tr w:rsidR="001A0370" w:rsidRPr="003B1B94" w14:paraId="2B722101" w14:textId="77777777" w:rsidTr="00AA1F7C">
        <w:trPr>
          <w:trHeight w:val="285"/>
        </w:trPr>
        <w:tc>
          <w:tcPr>
            <w:tcW w:w="1920" w:type="dxa"/>
            <w:tcBorders>
              <w:top w:val="nil"/>
              <w:left w:val="nil"/>
              <w:bottom w:val="nil"/>
              <w:right w:val="nil"/>
            </w:tcBorders>
            <w:vAlign w:val="bottom"/>
          </w:tcPr>
          <w:p w14:paraId="42D58BDE" w14:textId="77777777" w:rsidR="001A0370" w:rsidRPr="003B1B94" w:rsidRDefault="001A0370" w:rsidP="00AA1F7C">
            <w:pPr>
              <w:widowControl w:val="0"/>
              <w:autoSpaceDE w:val="0"/>
              <w:autoSpaceDN w:val="0"/>
              <w:adjustRightInd w:val="0"/>
              <w:spacing w:after="0" w:line="240" w:lineRule="auto"/>
              <w:rPr>
                <w:rFonts w:ascii="Arial" w:hAnsi="Arial" w:cs="Arial"/>
              </w:rPr>
            </w:pPr>
          </w:p>
        </w:tc>
        <w:tc>
          <w:tcPr>
            <w:tcW w:w="7560" w:type="dxa"/>
            <w:tcBorders>
              <w:top w:val="nil"/>
              <w:left w:val="nil"/>
              <w:bottom w:val="nil"/>
              <w:right w:val="nil"/>
            </w:tcBorders>
            <w:vAlign w:val="bottom"/>
          </w:tcPr>
          <w:p w14:paraId="1563A9B4" w14:textId="77777777" w:rsidR="001A0370" w:rsidRPr="003B1B94" w:rsidRDefault="001A0370" w:rsidP="00AA1F7C">
            <w:pPr>
              <w:widowControl w:val="0"/>
              <w:autoSpaceDE w:val="0"/>
              <w:autoSpaceDN w:val="0"/>
              <w:adjustRightInd w:val="0"/>
              <w:spacing w:after="0" w:line="240" w:lineRule="auto"/>
              <w:ind w:left="120" w:right="120"/>
              <w:rPr>
                <w:rFonts w:ascii="Arial" w:hAnsi="Arial" w:cs="Arial"/>
              </w:rPr>
            </w:pPr>
            <w:r w:rsidRPr="003B1B94">
              <w:rPr>
                <w:rFonts w:ascii="Arial" w:hAnsi="Arial" w:cs="Arial"/>
                <w:i/>
                <w:iCs/>
                <w:lang w:val="en-GB"/>
              </w:rPr>
              <w:t>The United Nations Office at Nairobi</w:t>
            </w:r>
            <w:r w:rsidRPr="003B1B94">
              <w:rPr>
                <w:rFonts w:ascii="Arial" w:hAnsi="Arial" w:cs="Arial"/>
                <w:i/>
                <w:iCs/>
              </w:rPr>
              <w:t>, Nairobi</w:t>
            </w:r>
          </w:p>
        </w:tc>
      </w:tr>
      <w:tr w:rsidR="001A0370" w:rsidRPr="003B1B94" w14:paraId="098E4DE6" w14:textId="77777777" w:rsidTr="00AA1F7C">
        <w:trPr>
          <w:trHeight w:val="534"/>
        </w:trPr>
        <w:tc>
          <w:tcPr>
            <w:tcW w:w="1920" w:type="dxa"/>
            <w:tcBorders>
              <w:top w:val="nil"/>
              <w:left w:val="nil"/>
              <w:bottom w:val="nil"/>
              <w:right w:val="nil"/>
            </w:tcBorders>
            <w:vAlign w:val="bottom"/>
          </w:tcPr>
          <w:p w14:paraId="5468E932" w14:textId="77777777" w:rsidR="001A0370" w:rsidRPr="003B1B94" w:rsidRDefault="001A0370" w:rsidP="00AA1F7C">
            <w:pPr>
              <w:widowControl w:val="0"/>
              <w:autoSpaceDE w:val="0"/>
              <w:autoSpaceDN w:val="0"/>
              <w:adjustRightInd w:val="0"/>
              <w:spacing w:after="0" w:line="240" w:lineRule="auto"/>
              <w:rPr>
                <w:rFonts w:ascii="Arial" w:hAnsi="Arial" w:cs="Arial"/>
              </w:rPr>
            </w:pPr>
          </w:p>
        </w:tc>
        <w:tc>
          <w:tcPr>
            <w:tcW w:w="7560" w:type="dxa"/>
            <w:tcBorders>
              <w:top w:val="nil"/>
              <w:left w:val="nil"/>
              <w:bottom w:val="nil"/>
              <w:right w:val="nil"/>
            </w:tcBorders>
            <w:vAlign w:val="bottom"/>
          </w:tcPr>
          <w:p w14:paraId="57C70817" w14:textId="77777777" w:rsidR="001A0370" w:rsidRPr="003B1B94" w:rsidRDefault="001A0370" w:rsidP="00AA1F7C">
            <w:pPr>
              <w:widowControl w:val="0"/>
              <w:autoSpaceDE w:val="0"/>
              <w:autoSpaceDN w:val="0"/>
              <w:adjustRightInd w:val="0"/>
              <w:spacing w:after="0" w:line="240" w:lineRule="auto"/>
              <w:ind w:right="2647"/>
              <w:jc w:val="center"/>
              <w:rPr>
                <w:rFonts w:ascii="Arial" w:hAnsi="Arial" w:cs="Arial"/>
              </w:rPr>
            </w:pPr>
            <w:r w:rsidRPr="003B1B94">
              <w:rPr>
                <w:rFonts w:ascii="Arial" w:hAnsi="Arial" w:cs="Arial"/>
                <w:b/>
                <w:bCs/>
              </w:rPr>
              <w:t>Friday, 27 May 2016</w:t>
            </w:r>
          </w:p>
        </w:tc>
      </w:tr>
      <w:tr w:rsidR="001A0370" w:rsidRPr="003B1B94" w14:paraId="6730C620" w14:textId="77777777" w:rsidTr="001A0370">
        <w:trPr>
          <w:trHeight w:val="768"/>
        </w:trPr>
        <w:tc>
          <w:tcPr>
            <w:tcW w:w="1920" w:type="dxa"/>
            <w:tcBorders>
              <w:top w:val="nil"/>
              <w:left w:val="nil"/>
              <w:bottom w:val="nil"/>
              <w:right w:val="nil"/>
            </w:tcBorders>
            <w:vAlign w:val="bottom"/>
          </w:tcPr>
          <w:p w14:paraId="334F277A" w14:textId="77777777" w:rsidR="001A0370" w:rsidRPr="003B1B94" w:rsidRDefault="001A0370" w:rsidP="00AA1F7C">
            <w:pPr>
              <w:widowControl w:val="0"/>
              <w:autoSpaceDE w:val="0"/>
              <w:autoSpaceDN w:val="0"/>
              <w:adjustRightInd w:val="0"/>
              <w:spacing w:after="0" w:line="240" w:lineRule="auto"/>
              <w:rPr>
                <w:rFonts w:ascii="Arial" w:hAnsi="Arial" w:cs="Arial"/>
              </w:rPr>
            </w:pPr>
          </w:p>
        </w:tc>
        <w:tc>
          <w:tcPr>
            <w:tcW w:w="7560" w:type="dxa"/>
            <w:tcBorders>
              <w:top w:val="nil"/>
              <w:left w:val="nil"/>
              <w:bottom w:val="nil"/>
              <w:right w:val="nil"/>
            </w:tcBorders>
            <w:vAlign w:val="bottom"/>
          </w:tcPr>
          <w:p w14:paraId="7EAA52A0" w14:textId="00ECE10B" w:rsidR="001A0370" w:rsidRPr="003B1B94" w:rsidRDefault="001A0370" w:rsidP="00AA1F7C">
            <w:pPr>
              <w:widowControl w:val="0"/>
              <w:autoSpaceDE w:val="0"/>
              <w:autoSpaceDN w:val="0"/>
              <w:adjustRightInd w:val="0"/>
              <w:spacing w:after="0" w:line="240" w:lineRule="auto"/>
              <w:ind w:right="2647"/>
              <w:jc w:val="center"/>
              <w:rPr>
                <w:rFonts w:ascii="Arial" w:hAnsi="Arial" w:cs="Arial"/>
              </w:rPr>
            </w:pPr>
            <w:r w:rsidRPr="003B1B94">
              <w:rPr>
                <w:rFonts w:ascii="Arial" w:hAnsi="Arial" w:cs="Arial"/>
                <w:b/>
                <w:bCs/>
                <w:i/>
                <w:iCs/>
                <w:w w:val="99"/>
              </w:rPr>
              <w:t xml:space="preserve">Draft Programme </w:t>
            </w:r>
          </w:p>
        </w:tc>
      </w:tr>
    </w:tbl>
    <w:p w14:paraId="552D9928" w14:textId="77777777" w:rsidR="001A0370" w:rsidRPr="003B1B94" w:rsidRDefault="001A0370" w:rsidP="001A0370">
      <w:pPr>
        <w:rPr>
          <w:rFonts w:ascii="Arial" w:hAnsi="Arial" w:cs="Arial"/>
          <w:b/>
          <w:bCs/>
        </w:rPr>
      </w:pPr>
    </w:p>
    <w:tbl>
      <w:tblPr>
        <w:tblStyle w:val="TableGrid"/>
        <w:tblW w:w="0" w:type="auto"/>
        <w:tblLook w:val="04A0" w:firstRow="1" w:lastRow="0" w:firstColumn="1" w:lastColumn="0" w:noHBand="0" w:noVBand="1"/>
      </w:tblPr>
      <w:tblGrid>
        <w:gridCol w:w="1683"/>
        <w:gridCol w:w="7553"/>
      </w:tblGrid>
      <w:tr w:rsidR="001A0370" w:rsidRPr="003B1B94" w14:paraId="3502E456" w14:textId="77777777" w:rsidTr="00AA1F7C">
        <w:tc>
          <w:tcPr>
            <w:tcW w:w="1697" w:type="dxa"/>
          </w:tcPr>
          <w:p w14:paraId="51598413" w14:textId="77777777" w:rsidR="001A0370" w:rsidRPr="003B1B94" w:rsidRDefault="001A0370" w:rsidP="00AA1F7C">
            <w:pPr>
              <w:rPr>
                <w:rFonts w:ascii="Arial" w:hAnsi="Arial" w:cs="Arial"/>
              </w:rPr>
            </w:pPr>
            <w:r w:rsidRPr="003B1B94">
              <w:rPr>
                <w:rFonts w:ascii="Arial" w:hAnsi="Arial" w:cs="Arial"/>
                <w:b/>
                <w:bCs/>
              </w:rPr>
              <w:t>Time</w:t>
            </w:r>
          </w:p>
        </w:tc>
        <w:tc>
          <w:tcPr>
            <w:tcW w:w="7653" w:type="dxa"/>
          </w:tcPr>
          <w:p w14:paraId="722C9FFF" w14:textId="77777777" w:rsidR="001A0370" w:rsidRPr="003B1B94" w:rsidRDefault="001A0370" w:rsidP="00AA1F7C">
            <w:pPr>
              <w:rPr>
                <w:rFonts w:ascii="Arial" w:hAnsi="Arial" w:cs="Arial"/>
              </w:rPr>
            </w:pPr>
            <w:r w:rsidRPr="003B1B94">
              <w:rPr>
                <w:rFonts w:ascii="Arial" w:hAnsi="Arial" w:cs="Arial"/>
                <w:i/>
                <w:iCs/>
              </w:rPr>
              <w:t>Morning</w:t>
            </w:r>
          </w:p>
        </w:tc>
      </w:tr>
      <w:tr w:rsidR="001A0370" w:rsidRPr="003B1B94" w14:paraId="69295891" w14:textId="77777777" w:rsidTr="00AA1F7C">
        <w:tc>
          <w:tcPr>
            <w:tcW w:w="1697" w:type="dxa"/>
          </w:tcPr>
          <w:p w14:paraId="4AFE83E5" w14:textId="77777777" w:rsidR="001A0370" w:rsidRPr="003B1B94" w:rsidRDefault="001A0370" w:rsidP="00AA1F7C">
            <w:pPr>
              <w:rPr>
                <w:rFonts w:ascii="Arial" w:hAnsi="Arial" w:cs="Arial"/>
              </w:rPr>
            </w:pPr>
          </w:p>
          <w:p w14:paraId="2116BB10" w14:textId="77777777" w:rsidR="001A0370" w:rsidRPr="003B1B94" w:rsidRDefault="001A0370" w:rsidP="00AA1F7C">
            <w:pPr>
              <w:rPr>
                <w:rFonts w:ascii="Arial" w:hAnsi="Arial" w:cs="Arial"/>
              </w:rPr>
            </w:pPr>
            <w:r w:rsidRPr="003B1B94">
              <w:rPr>
                <w:rFonts w:ascii="Arial" w:hAnsi="Arial" w:cs="Arial"/>
              </w:rPr>
              <w:t>1000-10:50</w:t>
            </w:r>
          </w:p>
        </w:tc>
        <w:tc>
          <w:tcPr>
            <w:tcW w:w="7653" w:type="dxa"/>
          </w:tcPr>
          <w:p w14:paraId="00132A9C" w14:textId="77777777" w:rsidR="001A0370" w:rsidRPr="003B1B94" w:rsidRDefault="001A0370" w:rsidP="00AA1F7C">
            <w:pPr>
              <w:rPr>
                <w:rFonts w:ascii="Arial" w:hAnsi="Arial" w:cs="Arial"/>
              </w:rPr>
            </w:pPr>
          </w:p>
          <w:tbl>
            <w:tblPr>
              <w:tblW w:w="0" w:type="auto"/>
              <w:tblCellMar>
                <w:left w:w="0" w:type="dxa"/>
                <w:right w:w="0" w:type="dxa"/>
              </w:tblCellMar>
              <w:tblLook w:val="0000" w:firstRow="0" w:lastRow="0" w:firstColumn="0" w:lastColumn="0" w:noHBand="0" w:noVBand="0"/>
            </w:tblPr>
            <w:tblGrid>
              <w:gridCol w:w="7337"/>
            </w:tblGrid>
            <w:tr w:rsidR="001A0370" w:rsidRPr="003B1B94" w14:paraId="38085E53" w14:textId="77777777" w:rsidTr="00AA1F7C">
              <w:trPr>
                <w:trHeight w:val="1494"/>
              </w:trPr>
              <w:tc>
                <w:tcPr>
                  <w:tcW w:w="7437" w:type="dxa"/>
                  <w:tcBorders>
                    <w:top w:val="nil"/>
                    <w:left w:val="nil"/>
                  </w:tcBorders>
                  <w:vAlign w:val="bottom"/>
                </w:tcPr>
                <w:p w14:paraId="7A565552" w14:textId="77777777" w:rsidR="001A0370" w:rsidRPr="003B1B94" w:rsidRDefault="001A0370" w:rsidP="00AA1F7C">
                  <w:pPr>
                    <w:widowControl w:val="0"/>
                    <w:autoSpaceDE w:val="0"/>
                    <w:autoSpaceDN w:val="0"/>
                    <w:adjustRightInd w:val="0"/>
                    <w:spacing w:after="0" w:line="240" w:lineRule="auto"/>
                    <w:rPr>
                      <w:rFonts w:ascii="Arial" w:hAnsi="Arial" w:cs="Arial"/>
                      <w:b/>
                      <w:bCs/>
                    </w:rPr>
                  </w:pPr>
                  <w:r w:rsidRPr="003B1B94">
                    <w:rPr>
                      <w:rFonts w:ascii="Arial" w:hAnsi="Arial" w:cs="Arial"/>
                      <w:b/>
                      <w:bCs/>
                    </w:rPr>
                    <w:t>Opening of the Ministerial Policy Review Session “Healthy Environment, Healthy People”</w:t>
                  </w:r>
                </w:p>
                <w:p w14:paraId="5D1422E6" w14:textId="77777777" w:rsidR="001A0370" w:rsidRPr="003B1B94" w:rsidRDefault="001A0370" w:rsidP="00AA1F7C">
                  <w:pPr>
                    <w:widowControl w:val="0"/>
                    <w:autoSpaceDE w:val="0"/>
                    <w:autoSpaceDN w:val="0"/>
                    <w:adjustRightInd w:val="0"/>
                    <w:spacing w:after="0" w:line="240" w:lineRule="auto"/>
                    <w:rPr>
                      <w:rFonts w:ascii="Arial" w:hAnsi="Arial" w:cs="Arial"/>
                      <w:b/>
                      <w:bCs/>
                    </w:rPr>
                  </w:pPr>
                </w:p>
                <w:p w14:paraId="688BBF9F" w14:textId="77777777" w:rsidR="001A0370" w:rsidRPr="003B1B94" w:rsidRDefault="001A0370" w:rsidP="00AA1F7C">
                  <w:pPr>
                    <w:widowControl w:val="0"/>
                    <w:autoSpaceDE w:val="0"/>
                    <w:autoSpaceDN w:val="0"/>
                    <w:adjustRightInd w:val="0"/>
                    <w:spacing w:after="0" w:line="240" w:lineRule="auto"/>
                    <w:rPr>
                      <w:rFonts w:ascii="Arial" w:hAnsi="Arial" w:cs="Arial"/>
                      <w:b/>
                      <w:bCs/>
                    </w:rPr>
                  </w:pPr>
                  <w:r w:rsidRPr="003B1B94">
                    <w:rPr>
                      <w:rFonts w:ascii="Arial" w:hAnsi="Arial" w:cs="Arial"/>
                      <w:b/>
                      <w:bCs/>
                    </w:rPr>
                    <w:t xml:space="preserve">Invited key-note speakers: </w:t>
                  </w:r>
                </w:p>
                <w:p w14:paraId="411404C9" w14:textId="724371AC" w:rsidR="001A0370" w:rsidRPr="003B1B94" w:rsidRDefault="001A0370" w:rsidP="00AA1F7C">
                  <w:pPr>
                    <w:widowControl w:val="0"/>
                    <w:autoSpaceDE w:val="0"/>
                    <w:autoSpaceDN w:val="0"/>
                    <w:adjustRightInd w:val="0"/>
                    <w:spacing w:after="0" w:line="240" w:lineRule="auto"/>
                    <w:rPr>
                      <w:rFonts w:ascii="Arial" w:hAnsi="Arial" w:cs="Arial"/>
                    </w:rPr>
                  </w:pPr>
                </w:p>
              </w:tc>
            </w:tr>
            <w:tr w:rsidR="001A0370" w:rsidRPr="003B1B94" w14:paraId="0CE27490" w14:textId="77777777" w:rsidTr="00AA1F7C">
              <w:trPr>
                <w:trHeight w:val="338"/>
              </w:trPr>
              <w:tc>
                <w:tcPr>
                  <w:tcW w:w="7437" w:type="dxa"/>
                  <w:tcBorders>
                    <w:top w:val="nil"/>
                    <w:left w:val="nil"/>
                    <w:bottom w:val="nil"/>
                  </w:tcBorders>
                  <w:vAlign w:val="bottom"/>
                </w:tcPr>
                <w:p w14:paraId="7F9832D1" w14:textId="4A5D60DA" w:rsidR="001A0370" w:rsidRPr="003B1B94" w:rsidRDefault="001A0370" w:rsidP="00AA1F7C">
                  <w:pPr>
                    <w:rPr>
                      <w:rFonts w:ascii="Arial" w:hAnsi="Arial" w:cs="Arial"/>
                      <w:i/>
                      <w:iCs/>
                    </w:rPr>
                  </w:pPr>
                </w:p>
              </w:tc>
            </w:tr>
          </w:tbl>
          <w:p w14:paraId="669E7CDF" w14:textId="77777777" w:rsidR="001A0370" w:rsidRPr="003B1B94" w:rsidRDefault="001A0370" w:rsidP="00AA1F7C">
            <w:pPr>
              <w:rPr>
                <w:rFonts w:ascii="Arial" w:hAnsi="Arial" w:cs="Arial"/>
              </w:rPr>
            </w:pPr>
          </w:p>
        </w:tc>
      </w:tr>
      <w:tr w:rsidR="001A0370" w:rsidRPr="003B1B94" w14:paraId="5A8864BE" w14:textId="77777777" w:rsidTr="00AA1F7C">
        <w:tc>
          <w:tcPr>
            <w:tcW w:w="1697" w:type="dxa"/>
          </w:tcPr>
          <w:p w14:paraId="72379F8B" w14:textId="77777777" w:rsidR="001A0370" w:rsidRPr="003B1B94" w:rsidRDefault="001A0370" w:rsidP="00AA1F7C">
            <w:pPr>
              <w:rPr>
                <w:rFonts w:ascii="Arial" w:hAnsi="Arial" w:cs="Arial"/>
              </w:rPr>
            </w:pPr>
            <w:r w:rsidRPr="003B1B94">
              <w:rPr>
                <w:rFonts w:ascii="Arial" w:hAnsi="Arial" w:cs="Arial"/>
              </w:rPr>
              <w:t>11:00-13:00</w:t>
            </w:r>
          </w:p>
        </w:tc>
        <w:tc>
          <w:tcPr>
            <w:tcW w:w="7653" w:type="dxa"/>
          </w:tcPr>
          <w:p w14:paraId="5AF094C6" w14:textId="77777777" w:rsidR="001A0370" w:rsidRPr="003B1B94" w:rsidRDefault="001A0370" w:rsidP="00AA1F7C">
            <w:pPr>
              <w:widowControl w:val="0"/>
              <w:autoSpaceDE w:val="0"/>
              <w:autoSpaceDN w:val="0"/>
              <w:adjustRightInd w:val="0"/>
              <w:rPr>
                <w:rFonts w:ascii="Arial" w:hAnsi="Arial" w:cs="Arial"/>
                <w:bCs/>
                <w:i/>
              </w:rPr>
            </w:pPr>
            <w:r w:rsidRPr="003B1B94">
              <w:rPr>
                <w:rFonts w:ascii="Arial" w:hAnsi="Arial" w:cs="Arial"/>
                <w:bCs/>
                <w:i/>
              </w:rPr>
              <w:t>Morning</w:t>
            </w:r>
          </w:p>
        </w:tc>
      </w:tr>
      <w:tr w:rsidR="001A0370" w:rsidRPr="003B1B94" w14:paraId="113FAE2A" w14:textId="77777777" w:rsidTr="00AA1F7C">
        <w:tc>
          <w:tcPr>
            <w:tcW w:w="1697" w:type="dxa"/>
          </w:tcPr>
          <w:p w14:paraId="3D8DADAE" w14:textId="77777777" w:rsidR="001A0370" w:rsidRPr="003B1B94" w:rsidRDefault="001A0370" w:rsidP="00AA1F7C">
            <w:pPr>
              <w:rPr>
                <w:rFonts w:ascii="Arial" w:hAnsi="Arial" w:cs="Arial"/>
              </w:rPr>
            </w:pPr>
          </w:p>
        </w:tc>
        <w:tc>
          <w:tcPr>
            <w:tcW w:w="7653" w:type="dxa"/>
          </w:tcPr>
          <w:p w14:paraId="7F4CD22F" w14:textId="77777777" w:rsidR="001A0370" w:rsidRPr="003B1B94" w:rsidRDefault="001A0370" w:rsidP="00AA1F7C">
            <w:pPr>
              <w:widowControl w:val="0"/>
              <w:autoSpaceDE w:val="0"/>
              <w:autoSpaceDN w:val="0"/>
              <w:adjustRightInd w:val="0"/>
              <w:rPr>
                <w:rFonts w:ascii="Arial" w:hAnsi="Arial" w:cs="Arial"/>
                <w:b/>
                <w:bCs/>
              </w:rPr>
            </w:pPr>
            <w:r w:rsidRPr="003B1B94">
              <w:rPr>
                <w:rFonts w:ascii="Arial" w:hAnsi="Arial" w:cs="Arial"/>
                <w:b/>
                <w:bCs/>
              </w:rPr>
              <w:t>Ministerial Roundtable 1</w:t>
            </w:r>
          </w:p>
          <w:p w14:paraId="41285D72" w14:textId="77777777" w:rsidR="001A0370" w:rsidRPr="003B1B94" w:rsidRDefault="001A0370" w:rsidP="00AA1F7C">
            <w:pPr>
              <w:widowControl w:val="0"/>
              <w:autoSpaceDE w:val="0"/>
              <w:autoSpaceDN w:val="0"/>
              <w:adjustRightInd w:val="0"/>
              <w:rPr>
                <w:rFonts w:ascii="Arial" w:hAnsi="Arial" w:cs="Arial"/>
                <w:bCs/>
                <w:i/>
              </w:rPr>
            </w:pPr>
          </w:p>
          <w:p w14:paraId="4495A85E" w14:textId="77777777" w:rsidR="001A0370" w:rsidRPr="003B1B94" w:rsidRDefault="001A0370" w:rsidP="00AA1F7C">
            <w:pPr>
              <w:widowControl w:val="0"/>
              <w:autoSpaceDE w:val="0"/>
              <w:autoSpaceDN w:val="0"/>
              <w:adjustRightInd w:val="0"/>
              <w:rPr>
                <w:rFonts w:ascii="Arial" w:hAnsi="Arial" w:cs="Arial"/>
                <w:bCs/>
                <w:i/>
              </w:rPr>
            </w:pPr>
            <w:r w:rsidRPr="003B1B94">
              <w:rPr>
                <w:rFonts w:ascii="Arial" w:hAnsi="Arial" w:cs="Arial"/>
                <w:bCs/>
                <w:i/>
              </w:rPr>
              <w:t>Co-Chair of Roundtable 1 – Introduction to the Ministerial Roundtable</w:t>
            </w:r>
          </w:p>
          <w:p w14:paraId="23998417" w14:textId="206CBB7D" w:rsidR="001A0370" w:rsidRPr="003B1B94" w:rsidRDefault="001A0370" w:rsidP="00AA1F7C">
            <w:pPr>
              <w:widowControl w:val="0"/>
              <w:autoSpaceDE w:val="0"/>
              <w:autoSpaceDN w:val="0"/>
              <w:adjustRightInd w:val="0"/>
              <w:rPr>
                <w:rFonts w:ascii="Arial" w:hAnsi="Arial" w:cs="Arial"/>
                <w:bCs/>
                <w:i/>
              </w:rPr>
            </w:pPr>
            <w:r w:rsidRPr="003B1B94">
              <w:rPr>
                <w:rFonts w:ascii="Arial" w:hAnsi="Arial" w:cs="Arial"/>
                <w:bCs/>
                <w:i/>
              </w:rPr>
              <w:t>Co-Chair of Roundtable 1 – Introduction to the Ministerial Roundtable</w:t>
            </w:r>
          </w:p>
          <w:p w14:paraId="5012756A" w14:textId="77777777" w:rsidR="001A0370" w:rsidRPr="003B1B94" w:rsidRDefault="001A0370" w:rsidP="00AA1F7C">
            <w:pPr>
              <w:widowControl w:val="0"/>
              <w:autoSpaceDE w:val="0"/>
              <w:autoSpaceDN w:val="0"/>
              <w:adjustRightInd w:val="0"/>
              <w:rPr>
                <w:rFonts w:ascii="Arial" w:hAnsi="Arial" w:cs="Arial"/>
                <w:b/>
                <w:iCs/>
              </w:rPr>
            </w:pPr>
          </w:p>
          <w:p w14:paraId="536D31E2" w14:textId="77777777" w:rsidR="001A0370" w:rsidRPr="003B1B94" w:rsidRDefault="001A0370" w:rsidP="00AA1F7C">
            <w:pPr>
              <w:widowControl w:val="0"/>
              <w:autoSpaceDE w:val="0"/>
              <w:autoSpaceDN w:val="0"/>
              <w:adjustRightInd w:val="0"/>
              <w:rPr>
                <w:rFonts w:ascii="Arial" w:hAnsi="Arial" w:cs="Arial"/>
                <w:b/>
                <w:iCs/>
              </w:rPr>
            </w:pPr>
            <w:r w:rsidRPr="003B1B94">
              <w:rPr>
                <w:rFonts w:ascii="Arial" w:hAnsi="Arial" w:cs="Arial"/>
                <w:b/>
                <w:iCs/>
              </w:rPr>
              <w:t>Invited key-note panelists:</w:t>
            </w:r>
          </w:p>
          <w:p w14:paraId="45FCE08F" w14:textId="77777777" w:rsidR="001A0370" w:rsidRPr="003B1B94" w:rsidRDefault="001A0370" w:rsidP="001A0370">
            <w:pPr>
              <w:widowControl w:val="0"/>
              <w:autoSpaceDE w:val="0"/>
              <w:autoSpaceDN w:val="0"/>
              <w:adjustRightInd w:val="0"/>
              <w:rPr>
                <w:rFonts w:ascii="Arial" w:hAnsi="Arial" w:cs="Arial"/>
                <w:b/>
                <w:bCs/>
              </w:rPr>
            </w:pPr>
          </w:p>
        </w:tc>
      </w:tr>
      <w:tr w:rsidR="001A0370" w:rsidRPr="003B1B94" w14:paraId="7B505418" w14:textId="77777777" w:rsidTr="00AA1F7C">
        <w:tc>
          <w:tcPr>
            <w:tcW w:w="1697" w:type="dxa"/>
          </w:tcPr>
          <w:p w14:paraId="53092E10" w14:textId="77777777" w:rsidR="001A0370" w:rsidRPr="003B1B94" w:rsidRDefault="001A0370" w:rsidP="00AA1F7C">
            <w:pPr>
              <w:rPr>
                <w:rFonts w:ascii="Arial" w:hAnsi="Arial" w:cs="Arial"/>
              </w:rPr>
            </w:pPr>
          </w:p>
        </w:tc>
        <w:tc>
          <w:tcPr>
            <w:tcW w:w="7653" w:type="dxa"/>
          </w:tcPr>
          <w:p w14:paraId="01C6F038" w14:textId="06616263" w:rsidR="001A0370" w:rsidRPr="003B1B94" w:rsidRDefault="001A0370" w:rsidP="00AA1F7C">
            <w:pPr>
              <w:widowControl w:val="0"/>
              <w:autoSpaceDE w:val="0"/>
              <w:autoSpaceDN w:val="0"/>
              <w:adjustRightInd w:val="0"/>
              <w:rPr>
                <w:rFonts w:ascii="Arial" w:hAnsi="Arial" w:cs="Arial"/>
                <w:b/>
                <w:bCs/>
              </w:rPr>
            </w:pPr>
            <w:r w:rsidRPr="003B1B94">
              <w:rPr>
                <w:rFonts w:ascii="Arial" w:hAnsi="Arial" w:cs="Arial"/>
                <w:b/>
                <w:bCs/>
              </w:rPr>
              <w:t>Ministerial Roundtable 2</w:t>
            </w:r>
          </w:p>
          <w:p w14:paraId="47FA413A" w14:textId="77777777" w:rsidR="001A0370" w:rsidRPr="003B1B94" w:rsidRDefault="001A0370" w:rsidP="00AA1F7C">
            <w:pPr>
              <w:widowControl w:val="0"/>
              <w:autoSpaceDE w:val="0"/>
              <w:autoSpaceDN w:val="0"/>
              <w:adjustRightInd w:val="0"/>
              <w:rPr>
                <w:rFonts w:ascii="Arial" w:hAnsi="Arial" w:cs="Arial"/>
                <w:bCs/>
                <w:i/>
              </w:rPr>
            </w:pPr>
            <w:r w:rsidRPr="003B1B94">
              <w:rPr>
                <w:rFonts w:ascii="Arial" w:hAnsi="Arial" w:cs="Arial"/>
                <w:bCs/>
                <w:i/>
              </w:rPr>
              <w:t>Co-Chair of Roundtable 2 – Introduction to the Ministerial Roundtable</w:t>
            </w:r>
          </w:p>
          <w:p w14:paraId="67D6AB61" w14:textId="31B4428B" w:rsidR="001A0370" w:rsidRPr="003B1B94" w:rsidRDefault="001A0370" w:rsidP="00AA1F7C">
            <w:pPr>
              <w:widowControl w:val="0"/>
              <w:autoSpaceDE w:val="0"/>
              <w:autoSpaceDN w:val="0"/>
              <w:adjustRightInd w:val="0"/>
              <w:rPr>
                <w:rFonts w:ascii="Arial" w:hAnsi="Arial" w:cs="Arial"/>
                <w:bCs/>
                <w:i/>
              </w:rPr>
            </w:pPr>
            <w:r w:rsidRPr="003B1B94">
              <w:rPr>
                <w:rFonts w:ascii="Arial" w:hAnsi="Arial" w:cs="Arial"/>
                <w:bCs/>
                <w:i/>
              </w:rPr>
              <w:t>Co-Chair of Roundtable 2 – Introduction to the Ministerial Roundtable</w:t>
            </w:r>
          </w:p>
          <w:p w14:paraId="6B69ACAE" w14:textId="77777777" w:rsidR="001A0370" w:rsidRPr="003B1B94" w:rsidRDefault="001A0370" w:rsidP="00AA1F7C">
            <w:pPr>
              <w:widowControl w:val="0"/>
              <w:autoSpaceDE w:val="0"/>
              <w:autoSpaceDN w:val="0"/>
              <w:adjustRightInd w:val="0"/>
              <w:rPr>
                <w:rFonts w:ascii="Arial" w:hAnsi="Arial" w:cs="Arial"/>
                <w:b/>
                <w:iCs/>
              </w:rPr>
            </w:pPr>
          </w:p>
          <w:p w14:paraId="6F2F340E" w14:textId="77777777" w:rsidR="001A0370" w:rsidRPr="003B1B94" w:rsidRDefault="001A0370" w:rsidP="00AA1F7C">
            <w:pPr>
              <w:widowControl w:val="0"/>
              <w:autoSpaceDE w:val="0"/>
              <w:autoSpaceDN w:val="0"/>
              <w:adjustRightInd w:val="0"/>
              <w:rPr>
                <w:rFonts w:ascii="Arial" w:hAnsi="Arial" w:cs="Arial"/>
                <w:b/>
                <w:iCs/>
              </w:rPr>
            </w:pPr>
            <w:r w:rsidRPr="003B1B94">
              <w:rPr>
                <w:rFonts w:ascii="Arial" w:hAnsi="Arial" w:cs="Arial"/>
                <w:b/>
                <w:iCs/>
              </w:rPr>
              <w:t>Invited key-note panelists:</w:t>
            </w:r>
          </w:p>
          <w:p w14:paraId="0CAA461C" w14:textId="062AC42A" w:rsidR="001A0370" w:rsidRPr="003B1B94" w:rsidRDefault="001A0370" w:rsidP="00AA1F7C">
            <w:pPr>
              <w:widowControl w:val="0"/>
              <w:autoSpaceDE w:val="0"/>
              <w:autoSpaceDN w:val="0"/>
              <w:adjustRightInd w:val="0"/>
              <w:rPr>
                <w:rFonts w:ascii="Arial" w:hAnsi="Arial" w:cs="Arial"/>
                <w:b/>
                <w:iCs/>
              </w:rPr>
            </w:pPr>
          </w:p>
        </w:tc>
      </w:tr>
    </w:tbl>
    <w:p w14:paraId="366C1755" w14:textId="53B71833" w:rsidR="001A0370" w:rsidRPr="003B1B94" w:rsidRDefault="001A0370">
      <w:pPr>
        <w:rPr>
          <w:rFonts w:ascii="Arial" w:hAnsi="Arial" w:cs="Arial"/>
        </w:rPr>
      </w:pPr>
      <w:r w:rsidRPr="003B1B94">
        <w:rPr>
          <w:rFonts w:ascii="Arial" w:hAnsi="Arial" w:cs="Arial"/>
        </w:rPr>
        <w:tab/>
      </w:r>
      <w:r w:rsidRPr="003B1B94">
        <w:rPr>
          <w:rFonts w:ascii="Arial" w:hAnsi="Arial" w:cs="Arial"/>
        </w:rPr>
        <w:tab/>
      </w:r>
      <w:r w:rsidRPr="003B1B94">
        <w:rPr>
          <w:rFonts w:ascii="Arial" w:hAnsi="Arial" w:cs="Arial"/>
        </w:rPr>
        <w:tab/>
      </w:r>
    </w:p>
    <w:sectPr w:rsidR="001A0370" w:rsidRPr="003B1B94" w:rsidSect="00B2774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C3E"/>
    <w:multiLevelType w:val="hybridMultilevel"/>
    <w:tmpl w:val="647EC028"/>
    <w:lvl w:ilvl="0" w:tplc="2AE8594E">
      <w:start w:val="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933336"/>
    <w:multiLevelType w:val="hybridMultilevel"/>
    <w:tmpl w:val="B71895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6A7099"/>
    <w:multiLevelType w:val="hybridMultilevel"/>
    <w:tmpl w:val="E82C67A0"/>
    <w:lvl w:ilvl="0" w:tplc="2AE8594E">
      <w:start w:val="1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7523850"/>
    <w:multiLevelType w:val="hybridMultilevel"/>
    <w:tmpl w:val="D8F279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D84"/>
    <w:rsid w:val="00000758"/>
    <w:rsid w:val="00026007"/>
    <w:rsid w:val="000D14E0"/>
    <w:rsid w:val="00133030"/>
    <w:rsid w:val="001A0370"/>
    <w:rsid w:val="00200D84"/>
    <w:rsid w:val="00394A62"/>
    <w:rsid w:val="003B0C5D"/>
    <w:rsid w:val="003B1B94"/>
    <w:rsid w:val="0046615D"/>
    <w:rsid w:val="00687221"/>
    <w:rsid w:val="006D7D3D"/>
    <w:rsid w:val="00796D49"/>
    <w:rsid w:val="008A0DE7"/>
    <w:rsid w:val="008E5023"/>
    <w:rsid w:val="00B27748"/>
    <w:rsid w:val="00BF69C7"/>
    <w:rsid w:val="00C573CA"/>
    <w:rsid w:val="00C732FF"/>
    <w:rsid w:val="00C77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D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D8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00D84"/>
    <w:pPr>
      <w:ind w:left="720"/>
      <w:contextualSpacing/>
    </w:pPr>
  </w:style>
  <w:style w:type="character" w:customStyle="1" w:styleId="ListParagraphChar">
    <w:name w:val="List Paragraph Char"/>
    <w:link w:val="ListParagraph"/>
    <w:uiPriority w:val="34"/>
    <w:rsid w:val="00200D84"/>
    <w:rPr>
      <w:sz w:val="22"/>
      <w:szCs w:val="22"/>
    </w:rPr>
  </w:style>
  <w:style w:type="character" w:styleId="Hyperlink">
    <w:name w:val="Hyperlink"/>
    <w:basedOn w:val="DefaultParagraphFont"/>
    <w:uiPriority w:val="99"/>
    <w:unhideWhenUsed/>
    <w:rsid w:val="00200D84"/>
    <w:rPr>
      <w:color w:val="0563C1" w:themeColor="hyperlink"/>
      <w:u w:val="single"/>
    </w:rPr>
  </w:style>
  <w:style w:type="paragraph" w:customStyle="1" w:styleId="corpsdetexte">
    <w:name w:val="corps de texte"/>
    <w:basedOn w:val="Normal"/>
    <w:link w:val="corpsdetexteChar"/>
    <w:qFormat/>
    <w:rsid w:val="00200D84"/>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200D84"/>
    <w:rPr>
      <w:rFonts w:ascii="Calibri" w:eastAsia="Calibri" w:hAnsi="Calibri" w:cs="Calibri"/>
      <w:color w:val="000000"/>
      <w:u w:color="000000"/>
      <w:bdr w:val="nil"/>
    </w:rPr>
  </w:style>
  <w:style w:type="paragraph" w:styleId="CommentText">
    <w:name w:val="annotation text"/>
    <w:basedOn w:val="Normal"/>
    <w:link w:val="CommentTextChar"/>
    <w:uiPriority w:val="99"/>
    <w:unhideWhenUsed/>
    <w:rsid w:val="001A037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1A0370"/>
    <w:rPr>
      <w:rFonts w:ascii="Times New Roman" w:eastAsia="Arial Unicode MS" w:hAnsi="Times New Roman" w:cs="Times New Roman"/>
      <w:sz w:val="20"/>
      <w:szCs w:val="20"/>
      <w:bdr w:val="nil"/>
    </w:rPr>
  </w:style>
  <w:style w:type="table" w:styleId="TableGrid">
    <w:name w:val="Table Grid"/>
    <w:basedOn w:val="TableNormal"/>
    <w:uiPriority w:val="59"/>
    <w:rsid w:val="001A037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0370"/>
    <w:rPr>
      <w:sz w:val="16"/>
      <w:szCs w:val="16"/>
    </w:rPr>
  </w:style>
  <w:style w:type="paragraph" w:styleId="BalloonText">
    <w:name w:val="Balloon Text"/>
    <w:basedOn w:val="Normal"/>
    <w:link w:val="BalloonTextChar"/>
    <w:uiPriority w:val="99"/>
    <w:semiHidden/>
    <w:unhideWhenUsed/>
    <w:rsid w:val="001A037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A0370"/>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D8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00D84"/>
    <w:pPr>
      <w:ind w:left="720"/>
      <w:contextualSpacing/>
    </w:pPr>
  </w:style>
  <w:style w:type="character" w:customStyle="1" w:styleId="ListParagraphChar">
    <w:name w:val="List Paragraph Char"/>
    <w:link w:val="ListParagraph"/>
    <w:uiPriority w:val="34"/>
    <w:rsid w:val="00200D84"/>
    <w:rPr>
      <w:sz w:val="22"/>
      <w:szCs w:val="22"/>
    </w:rPr>
  </w:style>
  <w:style w:type="character" w:styleId="Hyperlink">
    <w:name w:val="Hyperlink"/>
    <w:basedOn w:val="DefaultParagraphFont"/>
    <w:uiPriority w:val="99"/>
    <w:unhideWhenUsed/>
    <w:rsid w:val="00200D84"/>
    <w:rPr>
      <w:color w:val="0563C1" w:themeColor="hyperlink"/>
      <w:u w:val="single"/>
    </w:rPr>
  </w:style>
  <w:style w:type="paragraph" w:customStyle="1" w:styleId="corpsdetexte">
    <w:name w:val="corps de texte"/>
    <w:basedOn w:val="Normal"/>
    <w:link w:val="corpsdetexteChar"/>
    <w:qFormat/>
    <w:rsid w:val="00200D84"/>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200D84"/>
    <w:rPr>
      <w:rFonts w:ascii="Calibri" w:eastAsia="Calibri" w:hAnsi="Calibri" w:cs="Calibri"/>
      <w:color w:val="000000"/>
      <w:u w:color="000000"/>
      <w:bdr w:val="nil"/>
    </w:rPr>
  </w:style>
  <w:style w:type="paragraph" w:styleId="CommentText">
    <w:name w:val="annotation text"/>
    <w:basedOn w:val="Normal"/>
    <w:link w:val="CommentTextChar"/>
    <w:uiPriority w:val="99"/>
    <w:unhideWhenUsed/>
    <w:rsid w:val="001A037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1A0370"/>
    <w:rPr>
      <w:rFonts w:ascii="Times New Roman" w:eastAsia="Arial Unicode MS" w:hAnsi="Times New Roman" w:cs="Times New Roman"/>
      <w:sz w:val="20"/>
      <w:szCs w:val="20"/>
      <w:bdr w:val="nil"/>
    </w:rPr>
  </w:style>
  <w:style w:type="table" w:styleId="TableGrid">
    <w:name w:val="Table Grid"/>
    <w:basedOn w:val="TableNormal"/>
    <w:uiPriority w:val="59"/>
    <w:rsid w:val="001A037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0370"/>
    <w:rPr>
      <w:sz w:val="16"/>
      <w:szCs w:val="16"/>
    </w:rPr>
  </w:style>
  <w:style w:type="paragraph" w:styleId="BalloonText">
    <w:name w:val="Balloon Text"/>
    <w:basedOn w:val="Normal"/>
    <w:link w:val="BalloonTextChar"/>
    <w:uiPriority w:val="99"/>
    <w:semiHidden/>
    <w:unhideWhenUsed/>
    <w:rsid w:val="001A037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A037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eb.unep.org/unea/docum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unea.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1079</Words>
  <Characters>6153</Characters>
  <Application>Microsoft Office Word</Application>
  <DocSecurity>0</DocSecurity>
  <Lines>51</Lines>
  <Paragraphs>14</Paragraphs>
  <ScaleCrop>false</ScaleCrop>
  <Company/>
  <LinksUpToDate>false</LinksUpToDate>
  <CharactersWithSpaces>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dc:creator>
  <cp:keywords/>
  <dc:description/>
  <cp:lastModifiedBy>Monica Mutira</cp:lastModifiedBy>
  <cp:revision>5</cp:revision>
  <dcterms:created xsi:type="dcterms:W3CDTF">2016-05-06T06:10:00Z</dcterms:created>
  <dcterms:modified xsi:type="dcterms:W3CDTF">2016-05-06T16:07:00Z</dcterms:modified>
</cp:coreProperties>
</file>