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3"/>
        <w:gridCol w:w="5344"/>
        <w:gridCol w:w="2815"/>
      </w:tblGrid>
      <w:tr w:rsidR="00044453" w:rsidRPr="009C379D" w:rsidTr="00E52413">
        <w:trPr>
          <w:cantSplit/>
          <w:trHeight w:val="850"/>
          <w:jc w:val="right"/>
        </w:trPr>
        <w:tc>
          <w:tcPr>
            <w:tcW w:w="1553" w:type="dxa"/>
          </w:tcPr>
          <w:p w:rsidR="00044453" w:rsidRPr="009C379D" w:rsidRDefault="00435741" w:rsidP="00044453">
            <w:pPr>
              <w:rPr>
                <w:rFonts w:ascii="Univers" w:hAnsi="Univers"/>
                <w:b/>
                <w:noProof/>
                <w:sz w:val="27"/>
                <w:szCs w:val="27"/>
              </w:rPr>
            </w:pPr>
            <w:bookmarkStart w:id="0" w:name="_GoBack"/>
            <w:bookmarkEnd w:id="0"/>
            <w:r>
              <w:t xml:space="preserve"> </w:t>
            </w:r>
            <w:r w:rsidR="00044453" w:rsidRPr="00EE145D">
              <w:rPr>
                <w:rFonts w:ascii="Arial" w:hAnsi="Arial" w:cs="Arial"/>
                <w:b/>
                <w:noProof/>
                <w:sz w:val="27"/>
                <w:szCs w:val="27"/>
              </w:rPr>
              <w:t>UNITED</w:t>
            </w:r>
            <w:r w:rsidR="00044453">
              <w:rPr>
                <w:rFonts w:ascii="Arial" w:hAnsi="Arial" w:cs="Arial"/>
                <w:b/>
                <w:noProof/>
                <w:sz w:val="27"/>
                <w:szCs w:val="27"/>
              </w:rPr>
              <w:br/>
            </w:r>
            <w:r w:rsidR="00044453" w:rsidRPr="00EE145D">
              <w:rPr>
                <w:rFonts w:ascii="Arial" w:hAnsi="Arial" w:cs="Arial"/>
                <w:b/>
                <w:noProof/>
                <w:sz w:val="27"/>
                <w:szCs w:val="27"/>
              </w:rPr>
              <w:t>NATIONS</w:t>
            </w:r>
          </w:p>
        </w:tc>
        <w:tc>
          <w:tcPr>
            <w:tcW w:w="5344" w:type="dxa"/>
          </w:tcPr>
          <w:p w:rsidR="00044453" w:rsidRPr="009C379D" w:rsidRDefault="00044453" w:rsidP="00044453">
            <w:pPr>
              <w:rPr>
                <w:rFonts w:ascii="Univers" w:hAnsi="Univers"/>
                <w:b/>
                <w:sz w:val="27"/>
                <w:szCs w:val="27"/>
              </w:rPr>
            </w:pPr>
          </w:p>
        </w:tc>
        <w:tc>
          <w:tcPr>
            <w:tcW w:w="2815" w:type="dxa"/>
          </w:tcPr>
          <w:p w:rsidR="00044453" w:rsidRPr="00EE145D" w:rsidRDefault="00044453" w:rsidP="00044453">
            <w:pPr>
              <w:jc w:val="right"/>
              <w:rPr>
                <w:rFonts w:ascii="Arial" w:hAnsi="Arial" w:cs="Arial"/>
                <w:b/>
                <w:sz w:val="72"/>
                <w:szCs w:val="72"/>
              </w:rPr>
            </w:pPr>
            <w:r w:rsidRPr="00EE145D">
              <w:rPr>
                <w:rFonts w:ascii="Arial" w:hAnsi="Arial" w:cs="Arial"/>
                <w:b/>
                <w:sz w:val="72"/>
                <w:szCs w:val="72"/>
              </w:rPr>
              <w:t>EP</w:t>
            </w:r>
          </w:p>
        </w:tc>
      </w:tr>
      <w:tr w:rsidR="00044453" w:rsidRPr="009C379D" w:rsidTr="00E52413">
        <w:trPr>
          <w:cantSplit/>
          <w:trHeight w:val="281"/>
          <w:jc w:val="right"/>
        </w:trPr>
        <w:tc>
          <w:tcPr>
            <w:tcW w:w="1553" w:type="dxa"/>
            <w:tcBorders>
              <w:bottom w:val="single" w:sz="4" w:space="0" w:color="auto"/>
            </w:tcBorders>
          </w:tcPr>
          <w:p w:rsidR="00044453" w:rsidRPr="009C379D" w:rsidRDefault="00044453" w:rsidP="00044453">
            <w:pPr>
              <w:rPr>
                <w:noProof/>
                <w:sz w:val="18"/>
                <w:szCs w:val="18"/>
              </w:rPr>
            </w:pPr>
          </w:p>
        </w:tc>
        <w:tc>
          <w:tcPr>
            <w:tcW w:w="5344" w:type="dxa"/>
            <w:tcBorders>
              <w:bottom w:val="single" w:sz="4" w:space="0" w:color="auto"/>
            </w:tcBorders>
          </w:tcPr>
          <w:p w:rsidR="00044453" w:rsidRPr="00BA1212" w:rsidRDefault="00044453" w:rsidP="00044453">
            <w:pPr>
              <w:rPr>
                <w:rFonts w:ascii="Univers" w:hAnsi="Univers"/>
                <w:b/>
                <w:sz w:val="18"/>
                <w:szCs w:val="18"/>
              </w:rPr>
            </w:pPr>
          </w:p>
        </w:tc>
        <w:tc>
          <w:tcPr>
            <w:tcW w:w="2815" w:type="dxa"/>
            <w:tcBorders>
              <w:bottom w:val="single" w:sz="4" w:space="0" w:color="auto"/>
            </w:tcBorders>
          </w:tcPr>
          <w:p w:rsidR="00044453" w:rsidRPr="00BA1212" w:rsidRDefault="00044453" w:rsidP="00044453">
            <w:pPr>
              <w:rPr>
                <w:rFonts w:eastAsia="Malgun Gothic"/>
                <w:noProof/>
                <w:sz w:val="18"/>
                <w:szCs w:val="18"/>
                <w:lang w:val="en-US" w:eastAsia="ko-KR"/>
              </w:rPr>
            </w:pPr>
            <w:r w:rsidRPr="00BA1212">
              <w:rPr>
                <w:b/>
                <w:sz w:val="28"/>
                <w:szCs w:val="28"/>
              </w:rPr>
              <w:t>UNEP</w:t>
            </w:r>
            <w:r w:rsidRPr="00BA1212">
              <w:t>/</w:t>
            </w:r>
            <w:r w:rsidRPr="00BA1212">
              <w:rPr>
                <w:rFonts w:eastAsia="Malgun Gothic" w:hint="eastAsia"/>
                <w:lang w:eastAsia="ko-KR"/>
              </w:rPr>
              <w:t>EA.</w:t>
            </w:r>
            <w:r w:rsidRPr="00BA1212">
              <w:rPr>
                <w:rFonts w:eastAsia="Malgun Gothic"/>
                <w:lang w:eastAsia="ko-KR"/>
              </w:rPr>
              <w:t>2</w:t>
            </w:r>
            <w:r w:rsidRPr="00BA1212">
              <w:rPr>
                <w:rFonts w:eastAsia="Malgun Gothic" w:hint="eastAsia"/>
                <w:lang w:eastAsia="ko-KR"/>
              </w:rPr>
              <w:t>/INF/</w:t>
            </w:r>
            <w:r w:rsidR="006312E3">
              <w:rPr>
                <w:rFonts w:eastAsia="Malgun Gothic"/>
                <w:lang w:eastAsia="ko-KR"/>
              </w:rPr>
              <w:t>20</w:t>
            </w:r>
          </w:p>
        </w:tc>
      </w:tr>
      <w:bookmarkStart w:id="1" w:name="_MON_1021710482"/>
      <w:bookmarkEnd w:id="1"/>
      <w:bookmarkStart w:id="2" w:name="_MON_1021710510"/>
      <w:bookmarkEnd w:id="2"/>
      <w:tr w:rsidR="00044453" w:rsidRPr="00BF530A" w:rsidTr="00E52413">
        <w:trPr>
          <w:cantSplit/>
          <w:trHeight w:val="2549"/>
          <w:jc w:val="right"/>
        </w:trPr>
        <w:tc>
          <w:tcPr>
            <w:tcW w:w="1553" w:type="dxa"/>
            <w:tcBorders>
              <w:top w:val="single" w:sz="4" w:space="0" w:color="auto"/>
              <w:bottom w:val="single" w:sz="24" w:space="0" w:color="auto"/>
            </w:tcBorders>
          </w:tcPr>
          <w:p w:rsidR="00044453" w:rsidRPr="00560C8F" w:rsidRDefault="00044453" w:rsidP="00044453">
            <w:pPr>
              <w:rPr>
                <w:lang w:val="en-GB"/>
              </w:rPr>
            </w:pPr>
            <w:r w:rsidRPr="00560C8F">
              <w:rPr>
                <w:lang w:val="en-GB"/>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62pt" o:ole="" fillcolor="window">
                  <v:imagedata r:id="rId9" o:title=""/>
                </v:shape>
                <o:OLEObject Type="Embed" ProgID="Word.Picture.8" ShapeID="_x0000_i1025" DrawAspect="Content" ObjectID="_1524378269" r:id="rId10"/>
              </w:object>
            </w:r>
            <w:r w:rsidR="00267C40" w:rsidRPr="00560C8F">
              <w:rPr>
                <w:noProof/>
                <w:lang w:val="en-US"/>
              </w:rPr>
              <w:drawing>
                <wp:inline distT="0" distB="0" distL="0" distR="0" wp14:anchorId="6319C711" wp14:editId="6EF6C9BD">
                  <wp:extent cx="720090" cy="760730"/>
                  <wp:effectExtent l="0" t="0" r="3810" b="127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0090" cy="760730"/>
                          </a:xfrm>
                          <a:prstGeom prst="rect">
                            <a:avLst/>
                          </a:prstGeom>
                          <a:noFill/>
                          <a:ln>
                            <a:noFill/>
                          </a:ln>
                        </pic:spPr>
                      </pic:pic>
                    </a:graphicData>
                  </a:graphic>
                </wp:inline>
              </w:drawing>
            </w:r>
          </w:p>
        </w:tc>
        <w:tc>
          <w:tcPr>
            <w:tcW w:w="5344" w:type="dxa"/>
            <w:tcBorders>
              <w:top w:val="single" w:sz="4" w:space="0" w:color="auto"/>
              <w:bottom w:val="single" w:sz="24" w:space="0" w:color="auto"/>
            </w:tcBorders>
          </w:tcPr>
          <w:p w:rsidR="00044453" w:rsidRPr="00560C8F" w:rsidRDefault="00044453" w:rsidP="00044453">
            <w:pPr>
              <w:spacing w:before="1400"/>
              <w:rPr>
                <w:rFonts w:ascii="Univers" w:eastAsia="Malgun Gothic" w:hAnsi="Univers"/>
                <w:b/>
                <w:sz w:val="28"/>
                <w:szCs w:val="28"/>
                <w:lang w:val="en-GB" w:eastAsia="ko-KR"/>
              </w:rPr>
            </w:pPr>
            <w:r w:rsidRPr="00560C8F">
              <w:rPr>
                <w:rFonts w:ascii="Arial" w:hAnsi="Arial" w:cs="Arial"/>
                <w:b/>
                <w:sz w:val="28"/>
                <w:szCs w:val="28"/>
                <w:lang w:val="en-GB"/>
              </w:rPr>
              <w:t xml:space="preserve">United Nations </w:t>
            </w:r>
            <w:r w:rsidRPr="00560C8F">
              <w:rPr>
                <w:rFonts w:ascii="Arial" w:hAnsi="Arial" w:cs="Arial"/>
                <w:b/>
                <w:sz w:val="28"/>
                <w:szCs w:val="28"/>
                <w:lang w:val="en-GB"/>
              </w:rPr>
              <w:br/>
              <w:t xml:space="preserve">Environment Assembly of the </w:t>
            </w:r>
            <w:r w:rsidRPr="00560C8F">
              <w:rPr>
                <w:rFonts w:ascii="Arial" w:hAnsi="Arial" w:cs="Arial"/>
                <w:b/>
                <w:sz w:val="28"/>
                <w:szCs w:val="28"/>
                <w:lang w:val="en-GB"/>
              </w:rPr>
              <w:br/>
              <w:t>United Nations Environment Programme</w:t>
            </w:r>
          </w:p>
        </w:tc>
        <w:tc>
          <w:tcPr>
            <w:tcW w:w="2815" w:type="dxa"/>
            <w:tcBorders>
              <w:top w:val="single" w:sz="4" w:space="0" w:color="auto"/>
              <w:bottom w:val="single" w:sz="24" w:space="0" w:color="auto"/>
            </w:tcBorders>
          </w:tcPr>
          <w:p w:rsidR="00044453" w:rsidRPr="00560C8F" w:rsidRDefault="00044453" w:rsidP="00044453">
            <w:pPr>
              <w:pStyle w:val="Normal-pool"/>
              <w:spacing w:before="120" w:after="120"/>
            </w:pPr>
            <w:r w:rsidRPr="00560C8F">
              <w:t>Distr.: General</w:t>
            </w:r>
            <w:r w:rsidRPr="00560C8F">
              <w:br/>
            </w:r>
            <w:r w:rsidR="00E94C19" w:rsidRPr="00560C8F">
              <w:t>26 April</w:t>
            </w:r>
            <w:r w:rsidRPr="009E51C2">
              <w:t xml:space="preserve"> 2016</w:t>
            </w:r>
          </w:p>
          <w:p w:rsidR="00044453" w:rsidRPr="00560C8F" w:rsidRDefault="00044453" w:rsidP="00044453">
            <w:pPr>
              <w:pStyle w:val="Normal-pool"/>
              <w:spacing w:after="120"/>
            </w:pPr>
            <w:r w:rsidRPr="00560C8F">
              <w:t>English only</w:t>
            </w:r>
          </w:p>
        </w:tc>
      </w:tr>
    </w:tbl>
    <w:p w:rsidR="00044453" w:rsidRPr="00560C8F" w:rsidRDefault="00044453" w:rsidP="00E52413">
      <w:pPr>
        <w:pStyle w:val="AATitle"/>
      </w:pPr>
      <w:r w:rsidRPr="00560C8F">
        <w:t>United Nations Environment Assembly of the</w:t>
      </w:r>
    </w:p>
    <w:p w:rsidR="00044453" w:rsidRPr="00560C8F" w:rsidRDefault="00044453" w:rsidP="00E52413">
      <w:pPr>
        <w:pStyle w:val="AATitle"/>
      </w:pPr>
      <w:r w:rsidRPr="00560C8F">
        <w:t>United Nations Environment Programme</w:t>
      </w:r>
    </w:p>
    <w:p w:rsidR="00044453" w:rsidRPr="00560C8F" w:rsidRDefault="00044453" w:rsidP="00E52413">
      <w:pPr>
        <w:pStyle w:val="AATitle"/>
      </w:pPr>
      <w:r w:rsidRPr="00560C8F">
        <w:t>Second session</w:t>
      </w:r>
    </w:p>
    <w:p w:rsidR="00044453" w:rsidRPr="00560C8F" w:rsidRDefault="00044453" w:rsidP="00E52413">
      <w:pPr>
        <w:pStyle w:val="AATitle"/>
        <w:keepNext w:val="0"/>
        <w:keepLines w:val="0"/>
        <w:rPr>
          <w:b w:val="0"/>
        </w:rPr>
      </w:pPr>
      <w:r w:rsidRPr="00560C8F">
        <w:rPr>
          <w:b w:val="0"/>
        </w:rPr>
        <w:t>Nairobi, 23–27 May 2016</w:t>
      </w:r>
    </w:p>
    <w:p w:rsidR="00044453" w:rsidRPr="00560C8F" w:rsidRDefault="00044453" w:rsidP="00E52413">
      <w:pPr>
        <w:pStyle w:val="AATitle"/>
        <w:rPr>
          <w:b w:val="0"/>
        </w:rPr>
      </w:pPr>
      <w:r w:rsidRPr="00560C8F">
        <w:rPr>
          <w:b w:val="0"/>
        </w:rPr>
        <w:t>Items 4 (c) of the provisional agenda</w:t>
      </w:r>
      <w:r w:rsidRPr="00560C8F">
        <w:rPr>
          <w:rStyle w:val="FootnoteReference"/>
          <w:b w:val="0"/>
          <w:vertAlign w:val="baseline"/>
        </w:rPr>
        <w:footnoteReference w:customMarkFollows="1" w:id="1"/>
        <w:t>*</w:t>
      </w:r>
    </w:p>
    <w:p w:rsidR="00044453" w:rsidRPr="00560C8F" w:rsidRDefault="00044453" w:rsidP="009E51C2">
      <w:pPr>
        <w:pStyle w:val="AATitle2"/>
        <w:keepNext w:val="0"/>
        <w:keepLines w:val="0"/>
        <w:spacing w:before="60" w:after="60"/>
      </w:pPr>
      <w:r w:rsidRPr="00560C8F">
        <w:t>International environmental policy and</w:t>
      </w:r>
      <w:r w:rsidR="0053299D" w:rsidRPr="00560C8F">
        <w:t xml:space="preserve"> </w:t>
      </w:r>
      <w:r w:rsidRPr="00560C8F">
        <w:t>governance issues: chemicals and waste</w:t>
      </w:r>
    </w:p>
    <w:p w:rsidR="00044453" w:rsidRPr="00EB23A3" w:rsidRDefault="00044453">
      <w:pPr>
        <w:pStyle w:val="BBTitle"/>
      </w:pPr>
      <w:r w:rsidRPr="00560C8F">
        <w:t xml:space="preserve">Recent activities to support implementation of the chemicals and </w:t>
      </w:r>
      <w:r w:rsidRPr="00EB23A3">
        <w:t xml:space="preserve">waste dimension of the 2030 Agenda for Sustainable Development </w:t>
      </w:r>
    </w:p>
    <w:p w:rsidR="00044453" w:rsidRPr="00560C8F" w:rsidRDefault="0053299D" w:rsidP="009E51C2">
      <w:pPr>
        <w:pStyle w:val="CH2"/>
      </w:pPr>
      <w:r w:rsidRPr="009E51C2">
        <w:tab/>
      </w:r>
      <w:r w:rsidRPr="009E51C2">
        <w:tab/>
      </w:r>
      <w:r w:rsidR="00EB23A3" w:rsidRPr="009E51C2">
        <w:t>N</w:t>
      </w:r>
      <w:r w:rsidR="00A45D0D" w:rsidRPr="009E51C2">
        <w:t xml:space="preserve">ote </w:t>
      </w:r>
      <w:r w:rsidR="00EB23A3" w:rsidRPr="009E51C2">
        <w:t>by</w:t>
      </w:r>
      <w:r w:rsidR="00044453" w:rsidRPr="009E51C2">
        <w:t xml:space="preserve"> the Executive Director</w:t>
      </w:r>
      <w:r w:rsidR="00044453" w:rsidRPr="00560C8F">
        <w:t xml:space="preserve"> </w:t>
      </w:r>
    </w:p>
    <w:tbl>
      <w:tblPr>
        <w:tblW w:w="948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9482"/>
      </w:tblGrid>
      <w:tr w:rsidR="001A6132" w:rsidRPr="00BF530A" w:rsidTr="009E51C2">
        <w:tc>
          <w:tcPr>
            <w:tcW w:w="9482" w:type="dxa"/>
          </w:tcPr>
          <w:p w:rsidR="001A6132" w:rsidRPr="009E51C2" w:rsidRDefault="001A6132" w:rsidP="009E51C2">
            <w:pPr>
              <w:pStyle w:val="ColorfulList-Accent11"/>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0"/>
              <w:contextualSpacing w:val="0"/>
              <w:rPr>
                <w:i/>
                <w:lang w:val="en-GB"/>
              </w:rPr>
            </w:pPr>
            <w:r w:rsidRPr="009E51C2">
              <w:rPr>
                <w:i/>
                <w:lang w:val="en-GB"/>
              </w:rPr>
              <w:t>Summary</w:t>
            </w:r>
          </w:p>
          <w:p w:rsidR="001A6132" w:rsidRPr="00560C8F" w:rsidRDefault="006F26C7" w:rsidP="001E31D9">
            <w:pPr>
              <w:pStyle w:val="Normal-pool"/>
              <w:tabs>
                <w:tab w:val="clear" w:pos="1247"/>
                <w:tab w:val="clear" w:pos="1814"/>
                <w:tab w:val="clear" w:pos="2381"/>
                <w:tab w:val="clear" w:pos="2948"/>
                <w:tab w:val="clear" w:pos="3515"/>
                <w:tab w:val="clear" w:pos="4082"/>
                <w:tab w:val="left" w:pos="624"/>
              </w:tabs>
              <w:spacing w:after="120"/>
              <w:ind w:left="624" w:firstLine="624"/>
            </w:pPr>
            <w:r>
              <w:t>P</w:t>
            </w:r>
            <w:r w:rsidR="00066489" w:rsidRPr="00560C8F">
              <w:t>ursuant to part</w:t>
            </w:r>
            <w:r w:rsidR="000E75C6" w:rsidRPr="00560C8F">
              <w:t>s</w:t>
            </w:r>
            <w:r w:rsidR="00066489" w:rsidRPr="00560C8F">
              <w:t xml:space="preserve"> I</w:t>
            </w:r>
            <w:r w:rsidR="00C80DAF" w:rsidRPr="00560C8F">
              <w:t xml:space="preserve"> and III</w:t>
            </w:r>
            <w:r w:rsidR="00066489" w:rsidRPr="00560C8F">
              <w:t xml:space="preserve"> of </w:t>
            </w:r>
            <w:r w:rsidR="001A6132" w:rsidRPr="00560C8F">
              <w:t>resolution</w:t>
            </w:r>
            <w:r w:rsidR="0012705B" w:rsidRPr="00560C8F">
              <w:t> </w:t>
            </w:r>
            <w:r w:rsidR="00F9150B" w:rsidRPr="00560C8F">
              <w:t>1/5</w:t>
            </w:r>
            <w:r w:rsidR="0012705B" w:rsidRPr="00560C8F">
              <w:t xml:space="preserve"> </w:t>
            </w:r>
            <w:r w:rsidR="0005627C" w:rsidRPr="00560C8F">
              <w:t>of the United</w:t>
            </w:r>
            <w:r w:rsidR="0053299D" w:rsidRPr="00560C8F">
              <w:t> </w:t>
            </w:r>
            <w:r w:rsidR="0005627C" w:rsidRPr="00560C8F">
              <w:t>Nations Environment Assembly of the United Natio</w:t>
            </w:r>
            <w:r w:rsidR="00066489" w:rsidRPr="00560C8F">
              <w:t>ns Environment Programme (UNEP),</w:t>
            </w:r>
            <w:r w:rsidR="005E19BA" w:rsidRPr="00560C8F">
              <w:t xml:space="preserve"> on chemicals and waste,</w:t>
            </w:r>
            <w:r w:rsidR="00066489" w:rsidRPr="00560C8F">
              <w:t xml:space="preserve"> </w:t>
            </w:r>
            <w:r w:rsidR="001E31D9">
              <w:t>t</w:t>
            </w:r>
            <w:r w:rsidRPr="00560C8F">
              <w:t xml:space="preserve">he present information note </w:t>
            </w:r>
            <w:r w:rsidR="00066489" w:rsidRPr="00560C8F">
              <w:t xml:space="preserve">describes </w:t>
            </w:r>
            <w:r w:rsidR="00C80DAF" w:rsidRPr="00560C8F">
              <w:t xml:space="preserve">recent activities </w:t>
            </w:r>
            <w:r w:rsidR="00480690" w:rsidRPr="00560C8F">
              <w:t xml:space="preserve">organized by UNEP with partners </w:t>
            </w:r>
            <w:r w:rsidR="00C80DAF" w:rsidRPr="00560C8F">
              <w:t>to support implementation of the chemicals and waste dimension of the 2030 Agenda for Sustainable Development</w:t>
            </w:r>
            <w:r w:rsidR="00D46366" w:rsidRPr="00560C8F">
              <w:t>.</w:t>
            </w:r>
          </w:p>
        </w:tc>
      </w:tr>
    </w:tbl>
    <w:p w:rsidR="001A6132" w:rsidRPr="00560C8F" w:rsidRDefault="001A6132" w:rsidP="009E51C2">
      <w:pPr>
        <w:pStyle w:val="Normal-pool"/>
      </w:pPr>
      <w:r w:rsidRPr="00560C8F">
        <w:br w:type="page"/>
      </w:r>
    </w:p>
    <w:p w:rsidR="00617480" w:rsidRPr="00560C8F" w:rsidRDefault="00915D7C" w:rsidP="00915D7C">
      <w:pPr>
        <w:pStyle w:val="CH1"/>
      </w:pPr>
      <w:r w:rsidRPr="00560C8F">
        <w:lastRenderedPageBreak/>
        <w:tab/>
        <w:t>I.</w:t>
      </w:r>
      <w:r w:rsidRPr="00560C8F">
        <w:tab/>
      </w:r>
      <w:r w:rsidR="00457927" w:rsidRPr="00560C8F">
        <w:t>Introduction</w:t>
      </w:r>
    </w:p>
    <w:p w:rsidR="00457927" w:rsidRPr="00560C8F" w:rsidRDefault="00A45D0D"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In part I of its resolution 1/5, t</w:t>
      </w:r>
      <w:r w:rsidR="00457927" w:rsidRPr="00560C8F">
        <w:t xml:space="preserve">he United Nations Environment Assembly </w:t>
      </w:r>
      <w:r w:rsidR="000E75C6" w:rsidRPr="00560C8F">
        <w:t xml:space="preserve">of the United Nations Environment Programme (UNEP) </w:t>
      </w:r>
      <w:r w:rsidR="00457927" w:rsidRPr="00560C8F">
        <w:t xml:space="preserve">recognized the continued relevance of the sound management of chemicals and waste beyond 2020. </w:t>
      </w:r>
      <w:r w:rsidR="004D4A72" w:rsidRPr="00560C8F">
        <w:t xml:space="preserve">In part III of </w:t>
      </w:r>
      <w:r w:rsidR="001E31D9">
        <w:t>th</w:t>
      </w:r>
      <w:r w:rsidR="00BF530A">
        <w:t>at</w:t>
      </w:r>
      <w:r w:rsidR="004D4A72" w:rsidRPr="00560C8F">
        <w:t xml:space="preserve"> resolution, t</w:t>
      </w:r>
      <w:r w:rsidR="00457927" w:rsidRPr="00560C8F">
        <w:t xml:space="preserve">he </w:t>
      </w:r>
      <w:r w:rsidR="004D4A72" w:rsidRPr="00560C8F">
        <w:t xml:space="preserve">Environment </w:t>
      </w:r>
      <w:r w:rsidR="00457927" w:rsidRPr="00560C8F">
        <w:t xml:space="preserve">Assembly emphasized that the sound management of chemicals and waste </w:t>
      </w:r>
      <w:r w:rsidR="004D4A72" w:rsidRPr="00560C8F">
        <w:t xml:space="preserve">was </w:t>
      </w:r>
      <w:r w:rsidR="00457927" w:rsidRPr="00560C8F">
        <w:t>an essential and integral cross</w:t>
      </w:r>
      <w:r w:rsidR="004D4A72" w:rsidRPr="00560C8F">
        <w:noBreakHyphen/>
      </w:r>
      <w:r w:rsidR="00457927" w:rsidRPr="00560C8F">
        <w:t xml:space="preserve">cutting element of sustainable development and </w:t>
      </w:r>
      <w:r w:rsidR="004D4A72" w:rsidRPr="00560C8F">
        <w:t xml:space="preserve">was </w:t>
      </w:r>
      <w:r w:rsidR="00457927" w:rsidRPr="00560C8F">
        <w:t>of great relevance to the sustainable development agenda.</w:t>
      </w:r>
      <w:r w:rsidR="00480690" w:rsidRPr="00560C8F">
        <w:t xml:space="preserve"> </w:t>
      </w:r>
      <w:r w:rsidR="00BF530A">
        <w:t>Already</w:t>
      </w:r>
      <w:r w:rsidR="00480690" w:rsidRPr="00560C8F">
        <w:t>,</w:t>
      </w:r>
      <w:r w:rsidR="004D4A72" w:rsidRPr="00560C8F">
        <w:t xml:space="preserve"> in its</w:t>
      </w:r>
      <w:r w:rsidR="00480690" w:rsidRPr="00560C8F">
        <w:t xml:space="preserve"> </w:t>
      </w:r>
      <w:r w:rsidR="004D4A72" w:rsidRPr="00560C8F">
        <w:t xml:space="preserve">decision 27/12, the </w:t>
      </w:r>
      <w:r w:rsidR="00480690" w:rsidRPr="00560C8F">
        <w:t xml:space="preserve">Governing Council had requested UNEP to continue work on the </w:t>
      </w:r>
      <w:r w:rsidR="00480690" w:rsidRPr="009E51C2">
        <w:rPr>
          <w:i/>
        </w:rPr>
        <w:t>Global Chemicals Outlook</w:t>
      </w:r>
      <w:r w:rsidR="003B025B">
        <w:rPr>
          <w:i/>
        </w:rPr>
        <w:t xml:space="preserve"> </w:t>
      </w:r>
      <w:r w:rsidR="003B025B" w:rsidRPr="009E51C2">
        <w:rPr>
          <w:iCs/>
        </w:rPr>
        <w:t>report</w:t>
      </w:r>
      <w:r w:rsidR="00480690" w:rsidRPr="009E51C2">
        <w:rPr>
          <w:iCs/>
        </w:rPr>
        <w:t>.</w:t>
      </w:r>
    </w:p>
    <w:p w:rsidR="00457927" w:rsidRPr="00560C8F" w:rsidRDefault="00457927"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The adoption of the </w:t>
      </w:r>
      <w:r w:rsidR="004D4A72" w:rsidRPr="00560C8F">
        <w:t>Sustainable Development Goals</w:t>
      </w:r>
      <w:r w:rsidR="00A45D0D" w:rsidRPr="00560C8F">
        <w:t xml:space="preserve">, </w:t>
      </w:r>
      <w:r w:rsidR="004D4A72" w:rsidRPr="00560C8F">
        <w:t xml:space="preserve">their </w:t>
      </w:r>
      <w:r w:rsidRPr="00560C8F">
        <w:t xml:space="preserve">recognition of </w:t>
      </w:r>
      <w:r w:rsidR="00B92B78" w:rsidRPr="00560C8F">
        <w:t xml:space="preserve">the importance of </w:t>
      </w:r>
      <w:r w:rsidRPr="00560C8F">
        <w:t xml:space="preserve">sound management of chemicals </w:t>
      </w:r>
      <w:r w:rsidR="00B92B78" w:rsidRPr="00560C8F">
        <w:t xml:space="preserve">for </w:t>
      </w:r>
      <w:r w:rsidRPr="00560C8F">
        <w:t xml:space="preserve">sustainable development, the outcome of </w:t>
      </w:r>
      <w:r w:rsidR="00B92B78" w:rsidRPr="00560C8F">
        <w:t xml:space="preserve">the fourth session of the International Conference on Chemicals Management </w:t>
      </w:r>
      <w:r w:rsidRPr="00560C8F">
        <w:t>and its decision to advance a</w:t>
      </w:r>
      <w:r w:rsidR="00977575" w:rsidRPr="00560C8F">
        <w:t xml:space="preserve"> </w:t>
      </w:r>
      <w:r w:rsidRPr="00560C8F">
        <w:t>post</w:t>
      </w:r>
      <w:r w:rsidR="00B33DFF" w:rsidRPr="00560C8F">
        <w:noBreakHyphen/>
      </w:r>
      <w:r w:rsidRPr="00560C8F">
        <w:t>2020 agenda</w:t>
      </w:r>
      <w:r w:rsidR="00B92B78" w:rsidRPr="00560C8F">
        <w:t xml:space="preserve"> for the Strategic Approach to International Chemicals Management</w:t>
      </w:r>
      <w:r w:rsidRPr="00560C8F">
        <w:t xml:space="preserve"> </w:t>
      </w:r>
      <w:r w:rsidR="009D53FE">
        <w:t xml:space="preserve">(SAICM) </w:t>
      </w:r>
      <w:r w:rsidRPr="00560C8F">
        <w:t xml:space="preserve">have created a window of opportunity </w:t>
      </w:r>
      <w:r w:rsidR="00A45D0D" w:rsidRPr="00560C8F">
        <w:t xml:space="preserve">in which </w:t>
      </w:r>
      <w:r w:rsidRPr="00560C8F">
        <w:t xml:space="preserve">to </w:t>
      </w:r>
      <w:r w:rsidR="00480690" w:rsidRPr="00560C8F">
        <w:t xml:space="preserve">explore </w:t>
      </w:r>
      <w:r w:rsidRPr="00560C8F">
        <w:t>the future of global chemicals management in the context of the 2030</w:t>
      </w:r>
      <w:r w:rsidR="00977575" w:rsidRPr="00560C8F">
        <w:t xml:space="preserve"> </w:t>
      </w:r>
      <w:r w:rsidRPr="00560C8F">
        <w:t>Agenda</w:t>
      </w:r>
      <w:r w:rsidR="00B33DFF" w:rsidRPr="00560C8F">
        <w:t xml:space="preserve"> for Sustainable Development</w:t>
      </w:r>
      <w:r w:rsidRPr="00560C8F">
        <w:t xml:space="preserve">. </w:t>
      </w:r>
    </w:p>
    <w:p w:rsidR="00457927" w:rsidRPr="00560C8F" w:rsidRDefault="00457927"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In the above context, UNEP </w:t>
      </w:r>
      <w:r w:rsidR="00D70380" w:rsidRPr="00560C8F">
        <w:t xml:space="preserve">convened the following </w:t>
      </w:r>
      <w:r w:rsidRPr="00560C8F">
        <w:t>events:</w:t>
      </w:r>
    </w:p>
    <w:p w:rsidR="00D70380" w:rsidRPr="00560C8F" w:rsidRDefault="00D70380" w:rsidP="009E51C2">
      <w:pPr>
        <w:pStyle w:val="Normalnumber"/>
        <w:numPr>
          <w:ilvl w:val="0"/>
          <w:numId w:val="18"/>
        </w:numPr>
        <w:tabs>
          <w:tab w:val="clear" w:pos="1247"/>
          <w:tab w:val="clear" w:pos="1814"/>
          <w:tab w:val="clear" w:pos="2381"/>
          <w:tab w:val="clear" w:pos="2948"/>
          <w:tab w:val="clear" w:pos="3515"/>
          <w:tab w:val="clear" w:pos="4082"/>
        </w:tabs>
        <w:ind w:left="1247" w:firstLine="624"/>
      </w:pPr>
      <w:r w:rsidRPr="00560C8F">
        <w:t xml:space="preserve">Meeting of the Bureau of the fifth </w:t>
      </w:r>
      <w:r w:rsidR="00BE2F73" w:rsidRPr="00560C8F">
        <w:t>s</w:t>
      </w:r>
      <w:r w:rsidRPr="00560C8F">
        <w:t xml:space="preserve">ession of the International Conference on Chemicals Management, </w:t>
      </w:r>
      <w:r w:rsidR="00B33DFF" w:rsidRPr="00560C8F">
        <w:t xml:space="preserve">held on </w:t>
      </w:r>
      <w:r w:rsidRPr="00560C8F">
        <w:t>16</w:t>
      </w:r>
      <w:r w:rsidR="00B33DFF" w:rsidRPr="00560C8F">
        <w:t xml:space="preserve"> and </w:t>
      </w:r>
      <w:r w:rsidRPr="00560C8F">
        <w:t>17 March 2016;</w:t>
      </w:r>
    </w:p>
    <w:p w:rsidR="00EC6A3C" w:rsidRPr="00560C8F" w:rsidRDefault="00457927" w:rsidP="009E51C2">
      <w:pPr>
        <w:pStyle w:val="Normalnumber"/>
        <w:numPr>
          <w:ilvl w:val="0"/>
          <w:numId w:val="18"/>
        </w:numPr>
        <w:tabs>
          <w:tab w:val="clear" w:pos="1247"/>
          <w:tab w:val="clear" w:pos="1814"/>
          <w:tab w:val="clear" w:pos="2381"/>
          <w:tab w:val="clear" w:pos="2948"/>
          <w:tab w:val="clear" w:pos="3515"/>
          <w:tab w:val="clear" w:pos="4082"/>
        </w:tabs>
        <w:ind w:left="1247" w:firstLine="624"/>
      </w:pPr>
      <w:r w:rsidRPr="00560C8F">
        <w:t xml:space="preserve">International Expert and Stakeholder Workshop on </w:t>
      </w:r>
      <w:r w:rsidR="00B33DFF" w:rsidRPr="00560C8F">
        <w:t xml:space="preserve">the </w:t>
      </w:r>
      <w:r w:rsidRPr="00560C8F">
        <w:t xml:space="preserve">Integrated National Implementation of </w:t>
      </w:r>
      <w:r w:rsidR="00B33DFF" w:rsidRPr="00560C8F">
        <w:t>t</w:t>
      </w:r>
      <w:r w:rsidR="004D4A72" w:rsidRPr="00560C8F">
        <w:t>he Sustainable Development Goals</w:t>
      </w:r>
      <w:r w:rsidRPr="00560C8F">
        <w:t xml:space="preserve"> and International Chemicals and </w:t>
      </w:r>
      <w:r w:rsidR="00480690" w:rsidRPr="00560C8F">
        <w:t>W</w:t>
      </w:r>
      <w:r w:rsidRPr="00560C8F">
        <w:t xml:space="preserve">aste Agreements, </w:t>
      </w:r>
      <w:r w:rsidR="00B33DFF" w:rsidRPr="00560C8F">
        <w:t xml:space="preserve">held from </w:t>
      </w:r>
      <w:r w:rsidRPr="00560C8F">
        <w:t>11</w:t>
      </w:r>
      <w:r w:rsidR="00B33DFF" w:rsidRPr="00560C8F">
        <w:t xml:space="preserve"> to </w:t>
      </w:r>
      <w:r w:rsidRPr="00560C8F">
        <w:t>13 April 2016;</w:t>
      </w:r>
    </w:p>
    <w:p w:rsidR="00457927" w:rsidRPr="00560C8F" w:rsidRDefault="00457927" w:rsidP="009E51C2">
      <w:pPr>
        <w:pStyle w:val="Normalnumber"/>
        <w:numPr>
          <w:ilvl w:val="0"/>
          <w:numId w:val="18"/>
        </w:numPr>
        <w:tabs>
          <w:tab w:val="clear" w:pos="1247"/>
          <w:tab w:val="clear" w:pos="1814"/>
          <w:tab w:val="clear" w:pos="2381"/>
          <w:tab w:val="clear" w:pos="2948"/>
          <w:tab w:val="clear" w:pos="3515"/>
          <w:tab w:val="clear" w:pos="4082"/>
        </w:tabs>
        <w:ind w:left="1247" w:firstLine="624"/>
      </w:pPr>
      <w:r w:rsidRPr="00560C8F">
        <w:t xml:space="preserve">Consultative </w:t>
      </w:r>
      <w:r w:rsidR="00B33DFF" w:rsidRPr="00560C8F">
        <w:t>m</w:t>
      </w:r>
      <w:r w:rsidRPr="00560C8F">
        <w:t xml:space="preserve">eeting for the </w:t>
      </w:r>
      <w:r w:rsidR="00B33DFF" w:rsidRPr="00560C8F">
        <w:t>p</w:t>
      </w:r>
      <w:r w:rsidRPr="00560C8F">
        <w:t>reparation of t</w:t>
      </w:r>
      <w:r w:rsidR="00C32212" w:rsidRPr="00560C8F">
        <w:t xml:space="preserve">he </w:t>
      </w:r>
      <w:r w:rsidR="00B33DFF" w:rsidRPr="00560C8F">
        <w:t xml:space="preserve">second edition of the </w:t>
      </w:r>
      <w:r w:rsidR="00C32212" w:rsidRPr="009E51C2">
        <w:rPr>
          <w:i/>
        </w:rPr>
        <w:t xml:space="preserve">Global Chemicals </w:t>
      </w:r>
      <w:proofErr w:type="gramStart"/>
      <w:r w:rsidR="00C32212" w:rsidRPr="009E51C2">
        <w:rPr>
          <w:i/>
        </w:rPr>
        <w:t>Outlook</w:t>
      </w:r>
      <w:r w:rsidR="00C32212" w:rsidRPr="00560C8F">
        <w:t>,</w:t>
      </w:r>
      <w:proofErr w:type="gramEnd"/>
      <w:r w:rsidR="00C32212" w:rsidRPr="00560C8F">
        <w:t xml:space="preserve"> </w:t>
      </w:r>
      <w:r w:rsidR="00B33DFF" w:rsidRPr="00560C8F">
        <w:t xml:space="preserve">held on </w:t>
      </w:r>
      <w:r w:rsidRPr="00560C8F">
        <w:t>13</w:t>
      </w:r>
      <w:r w:rsidR="00B33DFF" w:rsidRPr="00560C8F">
        <w:t xml:space="preserve"> and </w:t>
      </w:r>
      <w:r w:rsidRPr="00560C8F">
        <w:t>14 April</w:t>
      </w:r>
      <w:r w:rsidR="00480690" w:rsidRPr="00560C8F">
        <w:t xml:space="preserve"> 2016</w:t>
      </w:r>
      <w:r w:rsidRPr="00560C8F">
        <w:t>.</w:t>
      </w:r>
    </w:p>
    <w:p w:rsidR="00457927" w:rsidRPr="00560C8F" w:rsidRDefault="00457927"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The present information </w:t>
      </w:r>
      <w:r w:rsidR="00B33DFF" w:rsidRPr="00560C8F">
        <w:t xml:space="preserve">note </w:t>
      </w:r>
      <w:r w:rsidRPr="00560C8F">
        <w:t>provid</w:t>
      </w:r>
      <w:r w:rsidR="00C32212" w:rsidRPr="00560C8F">
        <w:t>es</w:t>
      </w:r>
      <w:r w:rsidRPr="00560C8F">
        <w:t xml:space="preserve"> a brief summary of the </w:t>
      </w:r>
      <w:r w:rsidR="00480690" w:rsidRPr="00560C8F">
        <w:t xml:space="preserve">three </w:t>
      </w:r>
      <w:r w:rsidRPr="00560C8F">
        <w:t>events</w:t>
      </w:r>
      <w:r w:rsidR="00A45D0D" w:rsidRPr="00560C8F">
        <w:t>,</w:t>
      </w:r>
      <w:r w:rsidRPr="00560C8F">
        <w:t xml:space="preserve"> together with a short description of the intersessional approach for </w:t>
      </w:r>
      <w:r w:rsidR="00A45D0D" w:rsidRPr="00560C8F">
        <w:t>post-</w:t>
      </w:r>
      <w:r w:rsidRPr="00560C8F">
        <w:t>2020 discussion</w:t>
      </w:r>
      <w:r w:rsidR="00A45D0D" w:rsidRPr="00560C8F">
        <w:t>s</w:t>
      </w:r>
      <w:r w:rsidRPr="00560C8F">
        <w:t xml:space="preserve"> under </w:t>
      </w:r>
      <w:r w:rsidR="00A45D0D" w:rsidRPr="00560C8F">
        <w:t xml:space="preserve">the </w:t>
      </w:r>
      <w:r w:rsidRPr="00560C8F">
        <w:t>SAICM.</w:t>
      </w:r>
    </w:p>
    <w:p w:rsidR="00972A75" w:rsidRPr="00560C8F" w:rsidRDefault="00915D7C" w:rsidP="00915D7C">
      <w:pPr>
        <w:pStyle w:val="CH1"/>
      </w:pPr>
      <w:r w:rsidRPr="00560C8F">
        <w:tab/>
      </w:r>
      <w:r w:rsidR="00972A75" w:rsidRPr="00560C8F">
        <w:t>II.</w:t>
      </w:r>
      <w:r w:rsidR="00972A75" w:rsidRPr="00560C8F">
        <w:tab/>
        <w:t>Sound management of chemicals and waste beyond 2020</w:t>
      </w:r>
    </w:p>
    <w:p w:rsidR="00D70380" w:rsidRPr="009E51C2" w:rsidRDefault="00D70380"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The Bureau of the fifth session of the International Conference on Chemicals Management met </w:t>
      </w:r>
      <w:r w:rsidR="009867D6">
        <w:t xml:space="preserve">in Jordan </w:t>
      </w:r>
      <w:r w:rsidR="00A45D0D" w:rsidRPr="00560C8F">
        <w:t xml:space="preserve">on </w:t>
      </w:r>
      <w:r w:rsidRPr="00560C8F">
        <w:t>16</w:t>
      </w:r>
      <w:r w:rsidR="00A45D0D" w:rsidRPr="00560C8F">
        <w:t xml:space="preserve"> and </w:t>
      </w:r>
      <w:r w:rsidRPr="00560C8F">
        <w:t>17 March 2016</w:t>
      </w:r>
      <w:r w:rsidR="009867D6">
        <w:t>,</w:t>
      </w:r>
      <w:r w:rsidRPr="00560C8F">
        <w:t xml:space="preserve"> immediately </w:t>
      </w:r>
      <w:r w:rsidR="009867D6">
        <w:t>after</w:t>
      </w:r>
      <w:r w:rsidRPr="00560C8F">
        <w:t xml:space="preserve"> the seventh session of the intergovernmental negotiating committee </w:t>
      </w:r>
      <w:r w:rsidR="00A45D0D" w:rsidRPr="00560C8F">
        <w:t xml:space="preserve">to prepare a global legally binding instrument </w:t>
      </w:r>
      <w:r w:rsidRPr="00560C8F">
        <w:t>on mercury. The Bureau</w:t>
      </w:r>
      <w:r w:rsidR="00CA6045" w:rsidRPr="00560C8F">
        <w:t xml:space="preserve">, which </w:t>
      </w:r>
      <w:r w:rsidRPr="00560C8F">
        <w:t xml:space="preserve">is </w:t>
      </w:r>
      <w:r w:rsidR="00CA6045" w:rsidRPr="00560C8F">
        <w:t xml:space="preserve">composed </w:t>
      </w:r>
      <w:r w:rsidRPr="00560C8F">
        <w:t>of one Bureau member per United Nations region</w:t>
      </w:r>
      <w:r w:rsidR="00CA6045" w:rsidRPr="00560C8F">
        <w:t>,</w:t>
      </w:r>
      <w:r w:rsidRPr="00560C8F">
        <w:t xml:space="preserve"> advises on the conduct of the business of the Conference and its subsidiary bodies. Representatives of non</w:t>
      </w:r>
      <w:r w:rsidR="00CA6045" w:rsidRPr="00560C8F">
        <w:noBreakHyphen/>
      </w:r>
      <w:r w:rsidRPr="00560C8F">
        <w:t>governmental participants from health, industry, trade union and public interest groups, the chair of the Inter</w:t>
      </w:r>
      <w:r w:rsidR="00CA6045" w:rsidRPr="00560C8F">
        <w:noBreakHyphen/>
      </w:r>
      <w:r w:rsidRPr="00560C8F">
        <w:t>Organization Programme for the Sound Management of Chemicals</w:t>
      </w:r>
      <w:r w:rsidR="00CA6045" w:rsidRPr="00560C8F">
        <w:t xml:space="preserve"> and </w:t>
      </w:r>
      <w:r w:rsidRPr="00560C8F">
        <w:t xml:space="preserve">regional focal points also </w:t>
      </w:r>
      <w:r w:rsidR="001E31D9">
        <w:t>take part</w:t>
      </w:r>
      <w:r w:rsidR="001E31D9" w:rsidRPr="00560C8F">
        <w:t xml:space="preserve"> </w:t>
      </w:r>
      <w:r w:rsidRPr="00560C8F">
        <w:t xml:space="preserve">in Bureau meetings. With the deadline for the 2020 goal </w:t>
      </w:r>
      <w:r w:rsidR="00CA6045" w:rsidRPr="00560C8F">
        <w:t xml:space="preserve">of </w:t>
      </w:r>
      <w:r w:rsidR="00385B09">
        <w:t>SAICM</w:t>
      </w:r>
      <w:r w:rsidR="00CA6045" w:rsidRPr="00560C8F">
        <w:t xml:space="preserve"> </w:t>
      </w:r>
      <w:r w:rsidRPr="00560C8F">
        <w:t>only four years away, the timeframe is unique for the mandate of the Bureau</w:t>
      </w:r>
      <w:r w:rsidR="00A45D0D" w:rsidRPr="00560C8F">
        <w:t xml:space="preserve"> of the fifth session of the International Conference on Chemicals Management</w:t>
      </w:r>
      <w:r w:rsidR="003A16B5">
        <w:t>, as t</w:t>
      </w:r>
      <w:r w:rsidRPr="00560C8F">
        <w:t>here is both a need for urgent action to achieve the 2020 goal and an opportunity to consider SAICM</w:t>
      </w:r>
      <w:r w:rsidR="00CA6045" w:rsidRPr="00560C8F">
        <w:t xml:space="preserve"> </w:t>
      </w:r>
      <w:r w:rsidRPr="00560C8F">
        <w:t xml:space="preserve">and the sound management of chemicals and waste beyond 2020. </w:t>
      </w:r>
    </w:p>
    <w:p w:rsidR="00BA3F87" w:rsidRPr="009E51C2" w:rsidRDefault="003A16B5"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9E51C2">
        <w:rPr>
          <w:lang w:val="en-US"/>
        </w:rPr>
        <w:t>An intersessional process was initiated</w:t>
      </w:r>
      <w:r>
        <w:t xml:space="preserve"> at the </w:t>
      </w:r>
      <w:r w:rsidR="00CA6045" w:rsidRPr="00560C8F">
        <w:t>fourth session of the International Conference on Chemicals Management</w:t>
      </w:r>
      <w:r w:rsidR="00D70380" w:rsidRPr="00560C8F">
        <w:t xml:space="preserve"> to prepare recommendations regarding </w:t>
      </w:r>
      <w:r w:rsidR="003612A4">
        <w:t>SAICM</w:t>
      </w:r>
      <w:r w:rsidR="00D70380" w:rsidRPr="00560C8F">
        <w:t xml:space="preserve"> and the sound management of chemicals and waste beyond 2020. The intersessional process</w:t>
      </w:r>
      <w:r>
        <w:t xml:space="preserve">, </w:t>
      </w:r>
      <w:r w:rsidR="00D70380" w:rsidRPr="00560C8F">
        <w:t>open to all stakeholders</w:t>
      </w:r>
      <w:r>
        <w:t>, will</w:t>
      </w:r>
      <w:r w:rsidR="00D70380" w:rsidRPr="00560C8F">
        <w:t xml:space="preserve"> include,</w:t>
      </w:r>
      <w:r w:rsidR="00977575" w:rsidRPr="00560C8F">
        <w:t xml:space="preserve"> in principle, three meetings. </w:t>
      </w:r>
      <w:r w:rsidR="00D70380" w:rsidRPr="00560C8F">
        <w:t xml:space="preserve">The Bureau </w:t>
      </w:r>
      <w:r w:rsidR="00A45D0D" w:rsidRPr="00560C8F">
        <w:t xml:space="preserve">of the fifth session of the International Conference on Chemicals Management </w:t>
      </w:r>
      <w:r w:rsidR="00D70380" w:rsidRPr="00560C8F">
        <w:t xml:space="preserve">decided at its meeting </w:t>
      </w:r>
      <w:r w:rsidR="00CA6045" w:rsidRPr="00560C8F">
        <w:t xml:space="preserve">in Jordan </w:t>
      </w:r>
      <w:r w:rsidR="00D70380" w:rsidRPr="00560C8F">
        <w:t xml:space="preserve">that the first meeting of the intersessional process </w:t>
      </w:r>
      <w:r w:rsidR="00CA6045" w:rsidRPr="00560C8F">
        <w:t xml:space="preserve">would </w:t>
      </w:r>
      <w:r w:rsidR="00D70380" w:rsidRPr="00560C8F">
        <w:t>take pl</w:t>
      </w:r>
      <w:r w:rsidR="00977575" w:rsidRPr="00560C8F">
        <w:t>ace from 7 to 9 February 2017. T</w:t>
      </w:r>
      <w:r w:rsidR="00D70380" w:rsidRPr="00560C8F">
        <w:t>he schedule for the other meetings will be set</w:t>
      </w:r>
      <w:r>
        <w:t xml:space="preserve"> </w:t>
      </w:r>
      <w:r w:rsidRPr="00560C8F">
        <w:t xml:space="preserve">at </w:t>
      </w:r>
      <w:r>
        <w:t>the</w:t>
      </w:r>
      <w:r w:rsidRPr="00560C8F">
        <w:t xml:space="preserve"> first meeting</w:t>
      </w:r>
      <w:r>
        <w:t xml:space="preserve"> of </w:t>
      </w:r>
      <w:r w:rsidR="00D70380" w:rsidRPr="00560C8F">
        <w:t>the intersessional process. The SAICM</w:t>
      </w:r>
      <w:r w:rsidR="00CA6045" w:rsidRPr="00560C8F">
        <w:t xml:space="preserve"> </w:t>
      </w:r>
      <w:r w:rsidR="00D70380" w:rsidRPr="00560C8F">
        <w:t>secretariat will issue a call for participation in the intersessional process during the second half of 2016.</w:t>
      </w:r>
    </w:p>
    <w:p w:rsidR="00D70380" w:rsidRPr="00560C8F" w:rsidRDefault="00D70380" w:rsidP="009E51C2">
      <w:pPr>
        <w:pStyle w:val="Normalnumber"/>
        <w:numPr>
          <w:ilvl w:val="0"/>
          <w:numId w:val="17"/>
        </w:numPr>
        <w:tabs>
          <w:tab w:val="clear" w:pos="1247"/>
          <w:tab w:val="clear" w:pos="1814"/>
          <w:tab w:val="clear" w:pos="2381"/>
          <w:tab w:val="clear" w:pos="2948"/>
          <w:tab w:val="clear" w:pos="3515"/>
          <w:tab w:val="clear" w:pos="4082"/>
        </w:tabs>
        <w:ind w:left="1247" w:firstLine="0"/>
        <w:rPr>
          <w:rFonts w:ascii="Helv" w:hAnsi="Helv" w:cs="Helv"/>
          <w:color w:val="000000"/>
        </w:rPr>
      </w:pPr>
      <w:r w:rsidRPr="00560C8F">
        <w:t>In supporting the intersessional process, the SAICM secretariat has initiated an independent evaluation of SAICM</w:t>
      </w:r>
      <w:r w:rsidR="003612A4">
        <w:t xml:space="preserve"> </w:t>
      </w:r>
      <w:r w:rsidRPr="00560C8F">
        <w:t>for 2006 to 2015 in accordance with the terms of reference set out in the annex to resolution IV/4</w:t>
      </w:r>
      <w:r w:rsidR="00B62BDE" w:rsidRPr="00560C8F">
        <w:t xml:space="preserve"> of the International Conference on Chemicals Management</w:t>
      </w:r>
      <w:r w:rsidRPr="00560C8F">
        <w:t xml:space="preserve">. The aim of the evaluation is to provide information </w:t>
      </w:r>
      <w:r w:rsidR="00B62BDE" w:rsidRPr="00560C8F">
        <w:t>for</w:t>
      </w:r>
      <w:r w:rsidRPr="00560C8F">
        <w:t xml:space="preserve"> </w:t>
      </w:r>
      <w:r w:rsidR="00B62BDE" w:rsidRPr="00560C8F">
        <w:t xml:space="preserve">participants in the </w:t>
      </w:r>
      <w:r w:rsidRPr="00560C8F">
        <w:t xml:space="preserve">intersessional process to develop recommendations and </w:t>
      </w:r>
      <w:r w:rsidR="00B62BDE" w:rsidRPr="00560C8F">
        <w:t xml:space="preserve">for participants in </w:t>
      </w:r>
      <w:r w:rsidR="00A45D0D" w:rsidRPr="00560C8F">
        <w:t>the fifth session of the International Conference on Chemicals Management</w:t>
      </w:r>
      <w:r w:rsidRPr="00560C8F">
        <w:t xml:space="preserve"> to take an informed decision on future arrangements for </w:t>
      </w:r>
      <w:r w:rsidR="00385B09">
        <w:t>SAICM</w:t>
      </w:r>
      <w:r w:rsidR="00CA6045" w:rsidRPr="00560C8F">
        <w:t xml:space="preserve"> </w:t>
      </w:r>
      <w:r w:rsidRPr="00560C8F">
        <w:t>and the sound management of chemicals and waste beyond 2020.</w:t>
      </w:r>
      <w:r w:rsidR="00977575" w:rsidRPr="00560C8F">
        <w:t xml:space="preserve"> </w:t>
      </w:r>
      <w:r w:rsidR="000A4EFD" w:rsidRPr="00560C8F">
        <w:t xml:space="preserve">Participants in </w:t>
      </w:r>
      <w:r w:rsidRPr="00560C8F">
        <w:t xml:space="preserve">the intersessional process will also consider the need for and develop recommendations regarding measurable objectives in support of the 2030 Agenda. </w:t>
      </w:r>
    </w:p>
    <w:p w:rsidR="00972A75" w:rsidRPr="00560C8F" w:rsidRDefault="00915D7C" w:rsidP="00915D7C">
      <w:pPr>
        <w:pStyle w:val="CH1"/>
      </w:pPr>
      <w:r w:rsidRPr="00560C8F">
        <w:lastRenderedPageBreak/>
        <w:tab/>
      </w:r>
      <w:r w:rsidR="00972A75" w:rsidRPr="00560C8F">
        <w:t>III.</w:t>
      </w:r>
      <w:r w:rsidR="00972A75" w:rsidRPr="00560C8F">
        <w:tab/>
        <w:t xml:space="preserve">International Expert and Stakeholder Workshop on </w:t>
      </w:r>
      <w:r w:rsidR="000A4EFD" w:rsidRPr="00560C8F">
        <w:t xml:space="preserve">the </w:t>
      </w:r>
      <w:r w:rsidR="00972A75" w:rsidRPr="00560C8F">
        <w:t xml:space="preserve">Integrated National Implementation of </w:t>
      </w:r>
      <w:r w:rsidR="000A4EFD" w:rsidRPr="00560C8F">
        <w:t>t</w:t>
      </w:r>
      <w:r w:rsidR="004D4A72" w:rsidRPr="00560C8F">
        <w:t>he Sustainable Development Goals</w:t>
      </w:r>
      <w:r w:rsidR="00972A75" w:rsidRPr="00560C8F">
        <w:t xml:space="preserve"> and International Chemicals and </w:t>
      </w:r>
      <w:r w:rsidR="00BE2F73" w:rsidRPr="00560C8F">
        <w:t>W</w:t>
      </w:r>
      <w:r w:rsidR="00972A75" w:rsidRPr="00560C8F">
        <w:t>aste Agreements</w:t>
      </w:r>
    </w:p>
    <w:p w:rsidR="00972A75" w:rsidRPr="00560C8F" w:rsidRDefault="00915D7C" w:rsidP="00915D7C">
      <w:pPr>
        <w:pStyle w:val="CH2"/>
        <w:rPr>
          <w:sz w:val="28"/>
          <w:szCs w:val="28"/>
        </w:rPr>
      </w:pPr>
      <w:r w:rsidRPr="00560C8F">
        <w:tab/>
        <w:t>A.</w:t>
      </w:r>
      <w:r w:rsidRPr="00560C8F">
        <w:tab/>
      </w:r>
      <w:r w:rsidR="00972A75" w:rsidRPr="00560C8F">
        <w:t xml:space="preserve">Introduction and </w:t>
      </w:r>
      <w:r w:rsidR="000A4EFD" w:rsidRPr="00560C8F">
        <w:t>background</w:t>
      </w:r>
    </w:p>
    <w:p w:rsidR="00BA3F87" w:rsidRPr="009D53FE" w:rsidRDefault="00BA3F87"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From 11</w:t>
      </w:r>
      <w:r w:rsidR="000A4EFD" w:rsidRPr="00560C8F">
        <w:t xml:space="preserve"> to </w:t>
      </w:r>
      <w:r w:rsidRPr="00560C8F">
        <w:t xml:space="preserve">13 April 2016, more than 70 international experts </w:t>
      </w:r>
      <w:r w:rsidR="00480690" w:rsidRPr="00560C8F">
        <w:t xml:space="preserve">participated </w:t>
      </w:r>
      <w:r w:rsidR="00FA20BA" w:rsidRPr="00560C8F">
        <w:t>in the</w:t>
      </w:r>
      <w:r w:rsidRPr="00560C8F">
        <w:t xml:space="preserve"> International Expert and Stakeholder Workshop on the Integrated National Implementation of </w:t>
      </w:r>
      <w:r w:rsidR="000A4EFD" w:rsidRPr="00560C8F">
        <w:t>t</w:t>
      </w:r>
      <w:r w:rsidR="004D4A72" w:rsidRPr="00560C8F">
        <w:t>he Sustainable Development Goals</w:t>
      </w:r>
      <w:r w:rsidRPr="00560C8F">
        <w:t xml:space="preserve"> and International Chemicals and Waste Agreements</w:t>
      </w:r>
      <w:r w:rsidR="00480690" w:rsidRPr="00560C8F">
        <w:t xml:space="preserve">, </w:t>
      </w:r>
      <w:r w:rsidR="00BE2F73" w:rsidRPr="00560C8F">
        <w:t xml:space="preserve">held in </w:t>
      </w:r>
      <w:r w:rsidR="00480690" w:rsidRPr="00560C8F">
        <w:t>Geneva</w:t>
      </w:r>
      <w:r w:rsidRPr="00560C8F">
        <w:t xml:space="preserve">. The workshop was organized </w:t>
      </w:r>
      <w:r w:rsidR="00CF022D">
        <w:t>by</w:t>
      </w:r>
      <w:r w:rsidRPr="00560C8F">
        <w:t xml:space="preserve"> the Chemicals and Waste Branch of the Division of Technology</w:t>
      </w:r>
      <w:r w:rsidR="00B653C4" w:rsidRPr="00560C8F">
        <w:t>,</w:t>
      </w:r>
      <w:r w:rsidRPr="00560C8F">
        <w:t xml:space="preserve"> Industry and Economics, UNEP (including the </w:t>
      </w:r>
      <w:r w:rsidR="009D53FE">
        <w:t xml:space="preserve">SAICM </w:t>
      </w:r>
      <w:r w:rsidR="00B653C4" w:rsidRPr="00560C8F">
        <w:t xml:space="preserve">secretariat </w:t>
      </w:r>
      <w:r w:rsidRPr="00560C8F">
        <w:t xml:space="preserve">and the </w:t>
      </w:r>
      <w:r w:rsidR="00CF022D">
        <w:t>i</w:t>
      </w:r>
      <w:r w:rsidRPr="00560C8F">
        <w:t xml:space="preserve">nterim </w:t>
      </w:r>
      <w:r w:rsidR="00CF022D">
        <w:t>s</w:t>
      </w:r>
      <w:r w:rsidRPr="00560C8F">
        <w:t xml:space="preserve">ecretariat of the </w:t>
      </w:r>
      <w:proofErr w:type="spellStart"/>
      <w:r w:rsidRPr="00560C8F">
        <w:t>Minamata</w:t>
      </w:r>
      <w:proofErr w:type="spellEnd"/>
      <w:r w:rsidRPr="00560C8F">
        <w:t xml:space="preserve"> Convention on Mercury), the Secretariat of the Basel, Rotterdam and Stockholm Conventions, the United Nations Institute for Training and Research</w:t>
      </w:r>
      <w:r w:rsidR="00B653C4" w:rsidRPr="00560C8F">
        <w:t xml:space="preserve"> </w:t>
      </w:r>
      <w:r w:rsidRPr="00560C8F">
        <w:t>and the Inter</w:t>
      </w:r>
      <w:r w:rsidR="00A35975" w:rsidRPr="00560C8F">
        <w:noBreakHyphen/>
      </w:r>
      <w:r w:rsidRPr="00560C8F">
        <w:t xml:space="preserve">Organization Programme for the Sound Management of Chemicals. Core support was </w:t>
      </w:r>
      <w:r w:rsidRPr="009D53FE">
        <w:t>provided by the Federal Office for the Environment</w:t>
      </w:r>
      <w:r w:rsidR="00A35975" w:rsidRPr="009D53FE">
        <w:t xml:space="preserve"> </w:t>
      </w:r>
      <w:r w:rsidR="003B025B" w:rsidRPr="009E51C2">
        <w:t xml:space="preserve">of Switzerland </w:t>
      </w:r>
      <w:r w:rsidRPr="009D53FE">
        <w:t>and through contributions provided to UNEP from the Government</w:t>
      </w:r>
      <w:r w:rsidR="00A35975" w:rsidRPr="009D53FE">
        <w:t>s</w:t>
      </w:r>
      <w:r w:rsidRPr="009D53FE">
        <w:t xml:space="preserve"> of Sweden and Norway. </w:t>
      </w:r>
    </w:p>
    <w:p w:rsidR="005A635C" w:rsidRPr="00560C8F" w:rsidRDefault="00BA3F87"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385B09">
        <w:t xml:space="preserve">Participants came from all </w:t>
      </w:r>
      <w:r w:rsidR="00A35975" w:rsidRPr="00290ADB">
        <w:t xml:space="preserve">United Nations </w:t>
      </w:r>
      <w:r w:rsidRPr="009E51C2">
        <w:t>regions and a diverse range</w:t>
      </w:r>
      <w:r w:rsidRPr="00560C8F">
        <w:t xml:space="preserve"> of sectors, representing 23 countries, 1 regional economic integration </w:t>
      </w:r>
      <w:r w:rsidR="00A35975" w:rsidRPr="00560C8F">
        <w:t>organization</w:t>
      </w:r>
      <w:r w:rsidRPr="00560C8F">
        <w:t>, 13 civil society organizations, 8 private</w:t>
      </w:r>
      <w:r w:rsidR="00B338F6">
        <w:t>-</w:t>
      </w:r>
      <w:r w:rsidRPr="00560C8F">
        <w:t xml:space="preserve">sector organizations and </w:t>
      </w:r>
      <w:r w:rsidR="00BE2F73" w:rsidRPr="00560C8F">
        <w:t>13</w:t>
      </w:r>
      <w:r w:rsidRPr="00560C8F">
        <w:t xml:space="preserve"> intergovernmental organizations. </w:t>
      </w:r>
    </w:p>
    <w:p w:rsidR="00181925" w:rsidRPr="00560C8F" w:rsidRDefault="00C32212"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The </w:t>
      </w:r>
      <w:r w:rsidR="00181925" w:rsidRPr="00560C8F">
        <w:t xml:space="preserve">workshop engaged experts and stakeholders in an interactive and collaborative manner in order to advance analysis and action to strengthen national implementation of the </w:t>
      </w:r>
      <w:r w:rsidR="004D4A72" w:rsidRPr="00560C8F">
        <w:t>Sustainable Development Goals</w:t>
      </w:r>
      <w:r w:rsidR="00181925" w:rsidRPr="00560C8F">
        <w:t xml:space="preserve"> from a chemicals and waste management perspective. The overall objective of the workshop was to advance analysis, common understanding, commitment and action to integrate the sound management of </w:t>
      </w:r>
      <w:r w:rsidR="00FA20BA" w:rsidRPr="00560C8F">
        <w:t>chemicals</w:t>
      </w:r>
      <w:r w:rsidR="00181925" w:rsidRPr="00560C8F">
        <w:t xml:space="preserve"> and waste into national implementation of </w:t>
      </w:r>
      <w:r w:rsidR="00DA0931">
        <w:t xml:space="preserve">the </w:t>
      </w:r>
      <w:r w:rsidR="004D4A72" w:rsidRPr="00560C8F">
        <w:t>Sustainable Development Goals</w:t>
      </w:r>
      <w:r w:rsidR="00181925" w:rsidRPr="00560C8F">
        <w:t xml:space="preserve"> and development planning.</w:t>
      </w:r>
    </w:p>
    <w:p w:rsidR="00181925" w:rsidRPr="00560C8F" w:rsidRDefault="00BA3F87"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A summary report has been shared with partic</w:t>
      </w:r>
      <w:r w:rsidR="00C32212" w:rsidRPr="00560C8F">
        <w:t xml:space="preserve">ipants for their comments. The full </w:t>
      </w:r>
      <w:hyperlink r:id="rId12" w:history="1">
        <w:r w:rsidRPr="009E51C2">
          <w:t>workshop report</w:t>
        </w:r>
      </w:hyperlink>
      <w:r w:rsidRPr="00560C8F">
        <w:t xml:space="preserve"> </w:t>
      </w:r>
      <w:r w:rsidR="00C32212" w:rsidRPr="00560C8F">
        <w:t xml:space="preserve">is </w:t>
      </w:r>
      <w:r w:rsidRPr="00560C8F">
        <w:t>available</w:t>
      </w:r>
      <w:r w:rsidR="00C32212" w:rsidRPr="00560C8F">
        <w:t xml:space="preserve"> on the UNEP website.</w:t>
      </w:r>
      <w:r w:rsidR="00181925" w:rsidRPr="00560C8F">
        <w:t xml:space="preserve"> </w:t>
      </w:r>
    </w:p>
    <w:p w:rsidR="00517AD2" w:rsidRPr="00560C8F" w:rsidRDefault="00915D7C" w:rsidP="009E51C2">
      <w:pPr>
        <w:pStyle w:val="CH2"/>
      </w:pPr>
      <w:r w:rsidRPr="00560C8F">
        <w:tab/>
        <w:t>B.</w:t>
      </w:r>
      <w:r w:rsidRPr="00560C8F">
        <w:tab/>
      </w:r>
      <w:r w:rsidR="00BA3F87" w:rsidRPr="00560C8F">
        <w:t xml:space="preserve">Key </w:t>
      </w:r>
      <w:r w:rsidR="008A395B" w:rsidRPr="00560C8F">
        <w:t>outcomes</w:t>
      </w:r>
    </w:p>
    <w:p w:rsidR="00517AD2" w:rsidRPr="00560C8F" w:rsidRDefault="00915D7C" w:rsidP="00915D7C">
      <w:pPr>
        <w:pStyle w:val="CH3"/>
      </w:pPr>
      <w:r w:rsidRPr="00560C8F">
        <w:tab/>
        <w:t>1.</w:t>
      </w:r>
      <w:r w:rsidRPr="00560C8F">
        <w:tab/>
      </w:r>
      <w:r w:rsidR="00517AD2" w:rsidRPr="00560C8F">
        <w:t>S</w:t>
      </w:r>
      <w:r w:rsidR="00050669" w:rsidRPr="00560C8F">
        <w:t xml:space="preserve">ound management of chemicals and waste and </w:t>
      </w:r>
      <w:r w:rsidR="004D4A72" w:rsidRPr="00560C8F">
        <w:t>Sustainable Development Goals</w:t>
      </w:r>
      <w:r w:rsidR="00517AD2" w:rsidRPr="00560C8F">
        <w:t xml:space="preserve">: </w:t>
      </w:r>
      <w:r w:rsidR="000F4B30" w:rsidRPr="00560C8F">
        <w:t xml:space="preserve">strategic </w:t>
      </w:r>
      <w:r w:rsidR="00517AD2" w:rsidRPr="00560C8F">
        <w:t>linkages</w:t>
      </w:r>
    </w:p>
    <w:p w:rsidR="00517AD2" w:rsidRPr="00560C8F" w:rsidRDefault="00517AD2"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By reiterating the fundamental link between </w:t>
      </w:r>
      <w:r w:rsidR="00A35975" w:rsidRPr="00560C8F">
        <w:t>sound management of chemicals and waste</w:t>
      </w:r>
      <w:r w:rsidRPr="00560C8F">
        <w:t xml:space="preserve"> and the economic, environmental and social development agenda, the 2030 Agenda and its 17 </w:t>
      </w:r>
      <w:r w:rsidR="004D4A72" w:rsidRPr="00560C8F">
        <w:t>Sustainable Development Goals</w:t>
      </w:r>
      <w:r w:rsidRPr="00560C8F">
        <w:t xml:space="preserve"> create renewed momentum to mainstream and prioritize </w:t>
      </w:r>
      <w:r w:rsidR="00A35975" w:rsidRPr="00560C8F">
        <w:t>sound management of chemicals and waste</w:t>
      </w:r>
      <w:r w:rsidRPr="00560C8F">
        <w:t xml:space="preserve"> at the national level and to implement international chemicals and waste agreements.</w:t>
      </w:r>
    </w:p>
    <w:p w:rsidR="00517AD2" w:rsidRPr="00560C8F" w:rsidRDefault="00517AD2"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A major challenge is to nurture a new way of thinking </w:t>
      </w:r>
      <w:r w:rsidR="00FA20BA" w:rsidRPr="00560C8F">
        <w:t xml:space="preserve">and </w:t>
      </w:r>
      <w:r w:rsidR="000F4B30" w:rsidRPr="00560C8F">
        <w:t xml:space="preserve">a change in </w:t>
      </w:r>
      <w:r w:rsidR="00FA20BA" w:rsidRPr="00560C8F">
        <w:t>attitude</w:t>
      </w:r>
      <w:r w:rsidRPr="00560C8F">
        <w:t xml:space="preserve"> at all levels in order to move away from a silo approach and address chemicals and waste issues in an integrated way as part of a broader development agenda. Reaching out to key decision makers and change agents and engaging in innovative partnerships and pilot initiatives is critical in th</w:t>
      </w:r>
      <w:r w:rsidR="00DA0931">
        <w:t>e</w:t>
      </w:r>
      <w:r w:rsidRPr="00560C8F">
        <w:t xml:space="preserve"> process to create positive momentum</w:t>
      </w:r>
      <w:r w:rsidR="00B338F6">
        <w:t>. F</w:t>
      </w:r>
      <w:r w:rsidRPr="00560C8F">
        <w:t xml:space="preserve">or </w:t>
      </w:r>
      <w:r w:rsidR="00A35975" w:rsidRPr="00560C8F">
        <w:t>sound management of chemicals and waste</w:t>
      </w:r>
      <w:r w:rsidR="00DA0931">
        <w:t>,</w:t>
      </w:r>
      <w:r w:rsidRPr="00560C8F">
        <w:t xml:space="preserve"> </w:t>
      </w:r>
      <w:r w:rsidR="000F4B30" w:rsidRPr="00560C8F">
        <w:t xml:space="preserve">that requires </w:t>
      </w:r>
      <w:r w:rsidRPr="00560C8F">
        <w:t xml:space="preserve">integrating the topic into national planning priorities and strategies. In some countries </w:t>
      </w:r>
      <w:r w:rsidR="000F4B30" w:rsidRPr="00560C8F">
        <w:t xml:space="preserve">the </w:t>
      </w:r>
      <w:r w:rsidRPr="00560C8F">
        <w:t>process is already well advanced</w:t>
      </w:r>
      <w:r w:rsidR="000F4B30" w:rsidRPr="00560C8F">
        <w:t xml:space="preserve"> and is</w:t>
      </w:r>
      <w:r w:rsidRPr="00560C8F">
        <w:t xml:space="preserve"> creating opportunities </w:t>
      </w:r>
      <w:r w:rsidR="00C32212" w:rsidRPr="00560C8F">
        <w:t>for knowledge-sharing</w:t>
      </w:r>
      <w:r w:rsidR="00054568" w:rsidRPr="00560C8F">
        <w:t xml:space="preserve"> collaboration.</w:t>
      </w:r>
    </w:p>
    <w:p w:rsidR="00517AD2" w:rsidRPr="00560C8F" w:rsidRDefault="00517AD2"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The </w:t>
      </w:r>
      <w:r w:rsidR="004D4A72" w:rsidRPr="00560C8F">
        <w:t>Sustainable Development Goals</w:t>
      </w:r>
      <w:r w:rsidRPr="00560C8F">
        <w:t xml:space="preserve"> also help to explore solutions to achieve broader development objectives and place </w:t>
      </w:r>
      <w:r w:rsidR="00A35975" w:rsidRPr="00560C8F">
        <w:t>sound management of chemicals and waste</w:t>
      </w:r>
      <w:r w:rsidRPr="00560C8F">
        <w:t xml:space="preserve"> within </w:t>
      </w:r>
      <w:r w:rsidR="000F4B30" w:rsidRPr="00560C8F">
        <w:t xml:space="preserve">that </w:t>
      </w:r>
      <w:r w:rsidRPr="00560C8F">
        <w:t xml:space="preserve">context. Implementation of </w:t>
      </w:r>
      <w:r w:rsidR="00A35975" w:rsidRPr="00560C8F">
        <w:t>sound management of chemicals and waste</w:t>
      </w:r>
      <w:r w:rsidRPr="00560C8F">
        <w:t xml:space="preserve"> in a sustainable development context requires a long-term, multisectoral and multi-stakeholder approach, drawing on existing institutions. </w:t>
      </w:r>
      <w:r w:rsidR="00BD3138" w:rsidRPr="00560C8F">
        <w:t>Many</w:t>
      </w:r>
      <w:r w:rsidR="002E6387" w:rsidRPr="00560C8F">
        <w:t xml:space="preserve"> </w:t>
      </w:r>
      <w:r w:rsidR="00CE0585" w:rsidRPr="00560C8F">
        <w:t>G</w:t>
      </w:r>
      <w:r w:rsidR="002E6387" w:rsidRPr="00560C8F">
        <w:t xml:space="preserve">overnments, </w:t>
      </w:r>
      <w:r w:rsidR="00BD3138" w:rsidRPr="00560C8F">
        <w:t>the private sector</w:t>
      </w:r>
      <w:r w:rsidRPr="00560C8F">
        <w:t xml:space="preserve"> and civil society</w:t>
      </w:r>
      <w:r w:rsidR="00BD3138" w:rsidRPr="00560C8F">
        <w:t xml:space="preserve"> organizations </w:t>
      </w:r>
      <w:r w:rsidRPr="00560C8F">
        <w:t>are aware of the need for a strategic transition and have already taken steps in th</w:t>
      </w:r>
      <w:r w:rsidR="000F4B30" w:rsidRPr="00560C8F">
        <w:t>at</w:t>
      </w:r>
      <w:r w:rsidRPr="00560C8F">
        <w:t xml:space="preserve"> direction.</w:t>
      </w:r>
    </w:p>
    <w:p w:rsidR="00517AD2" w:rsidRPr="00560C8F" w:rsidRDefault="00915D7C" w:rsidP="00915D7C">
      <w:pPr>
        <w:pStyle w:val="CH3"/>
      </w:pPr>
      <w:r w:rsidRPr="00560C8F">
        <w:tab/>
        <w:t>2.</w:t>
      </w:r>
      <w:r w:rsidRPr="00560C8F">
        <w:tab/>
      </w:r>
      <w:r w:rsidR="00517AD2" w:rsidRPr="00560C8F">
        <w:t xml:space="preserve">Analysis of specific </w:t>
      </w:r>
      <w:r w:rsidR="004D4A72" w:rsidRPr="00560C8F">
        <w:t>Sustainable Development Goals</w:t>
      </w:r>
    </w:p>
    <w:p w:rsidR="00517AD2" w:rsidRPr="00560C8F" w:rsidRDefault="00517AD2"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Given that chemicals and waste affect almost all aspects of development, </w:t>
      </w:r>
      <w:r w:rsidR="000F4B30" w:rsidRPr="00560C8F">
        <w:t xml:space="preserve">the </w:t>
      </w:r>
      <w:r w:rsidR="004D4A72" w:rsidRPr="00560C8F">
        <w:t xml:space="preserve">Sustainable Development </w:t>
      </w:r>
      <w:r w:rsidR="004D4A72" w:rsidRPr="00C36705">
        <w:t>Goals</w:t>
      </w:r>
      <w:r w:rsidRPr="00C90F0B">
        <w:t xml:space="preserve"> are linked to</w:t>
      </w:r>
      <w:r w:rsidR="000F4B30" w:rsidRPr="00974228">
        <w:t>,</w:t>
      </w:r>
      <w:r w:rsidRPr="009D53FE">
        <w:t xml:space="preserve"> and their full implementation depends on</w:t>
      </w:r>
      <w:r w:rsidR="000F4B30" w:rsidRPr="009D53FE">
        <w:t>,</w:t>
      </w:r>
      <w:r w:rsidRPr="00385B09">
        <w:t xml:space="preserve"> </w:t>
      </w:r>
      <w:r w:rsidR="000F4B30" w:rsidRPr="00290ADB">
        <w:t xml:space="preserve">the </w:t>
      </w:r>
      <w:r w:rsidR="00A35975" w:rsidRPr="009E51C2">
        <w:t>sound management</w:t>
      </w:r>
      <w:r w:rsidR="00A35975" w:rsidRPr="00560C8F">
        <w:t xml:space="preserve"> of chemicals and waste</w:t>
      </w:r>
      <w:r w:rsidRPr="00560C8F">
        <w:t xml:space="preserve">. </w:t>
      </w:r>
      <w:r w:rsidR="00A35975" w:rsidRPr="00560C8F">
        <w:t>Sound management of chemicals and waste</w:t>
      </w:r>
      <w:r w:rsidRPr="00560C8F">
        <w:t xml:space="preserve"> is a specific target under </w:t>
      </w:r>
      <w:r w:rsidR="000F4B30" w:rsidRPr="00560C8F">
        <w:t>Goal</w:t>
      </w:r>
      <w:r w:rsidRPr="00560C8F">
        <w:t xml:space="preserve"> 12</w:t>
      </w:r>
      <w:r w:rsidR="000F4B30" w:rsidRPr="00560C8F">
        <w:t>,</w:t>
      </w:r>
      <w:r w:rsidRPr="00560C8F">
        <w:t xml:space="preserve"> on </w:t>
      </w:r>
      <w:r w:rsidR="000F4B30" w:rsidRPr="00560C8F">
        <w:t>s</w:t>
      </w:r>
      <w:r w:rsidRPr="00560C8F">
        <w:t xml:space="preserve">ustainable </w:t>
      </w:r>
      <w:r w:rsidR="000F4B30" w:rsidRPr="00560C8F">
        <w:t>c</w:t>
      </w:r>
      <w:r w:rsidRPr="00560C8F">
        <w:t xml:space="preserve">onsumption and </w:t>
      </w:r>
      <w:r w:rsidR="000F4B30" w:rsidRPr="00560C8F">
        <w:t>p</w:t>
      </w:r>
      <w:r w:rsidRPr="00560C8F">
        <w:t>roduction</w:t>
      </w:r>
      <w:r w:rsidR="000F4B30" w:rsidRPr="00560C8F">
        <w:t>,</w:t>
      </w:r>
      <w:r w:rsidRPr="00560C8F">
        <w:t xml:space="preserve"> </w:t>
      </w:r>
      <w:r w:rsidR="00FA20BA" w:rsidRPr="00560C8F">
        <w:t>and</w:t>
      </w:r>
      <w:r w:rsidR="00711A44" w:rsidRPr="00560C8F">
        <w:t xml:space="preserve"> is</w:t>
      </w:r>
      <w:r w:rsidR="00FA20BA" w:rsidRPr="00560C8F">
        <w:t xml:space="preserve"> also</w:t>
      </w:r>
      <w:r w:rsidRPr="00560C8F">
        <w:t xml:space="preserve"> referred to under </w:t>
      </w:r>
      <w:r w:rsidR="000F4B30" w:rsidRPr="00560C8F">
        <w:t>Goal</w:t>
      </w:r>
      <w:r w:rsidRPr="00560C8F">
        <w:t xml:space="preserve"> 3</w:t>
      </w:r>
      <w:r w:rsidR="000F4B30" w:rsidRPr="00560C8F">
        <w:t>,</w:t>
      </w:r>
      <w:r w:rsidRPr="00560C8F">
        <w:t xml:space="preserve"> on </w:t>
      </w:r>
      <w:r w:rsidR="000F4B30" w:rsidRPr="00560C8F">
        <w:t>good h</w:t>
      </w:r>
      <w:r w:rsidRPr="00560C8F">
        <w:t xml:space="preserve">ealth and </w:t>
      </w:r>
      <w:r w:rsidR="000F4B30" w:rsidRPr="00560C8F">
        <w:t>w</w:t>
      </w:r>
      <w:r w:rsidRPr="00560C8F">
        <w:t>ell</w:t>
      </w:r>
      <w:r w:rsidR="000F4B30" w:rsidRPr="00560C8F">
        <w:noBreakHyphen/>
      </w:r>
      <w:r w:rsidRPr="00560C8F">
        <w:t>being</w:t>
      </w:r>
      <w:r w:rsidR="000F4B30" w:rsidRPr="00560C8F">
        <w:t>,</w:t>
      </w:r>
      <w:r w:rsidRPr="00560C8F">
        <w:t xml:space="preserve"> and </w:t>
      </w:r>
      <w:r w:rsidR="000F4B30" w:rsidRPr="00560C8F">
        <w:t>Goal</w:t>
      </w:r>
      <w:r w:rsidRPr="00560C8F">
        <w:t xml:space="preserve"> 6</w:t>
      </w:r>
      <w:r w:rsidR="000F4B30" w:rsidRPr="00560C8F">
        <w:t>,</w:t>
      </w:r>
      <w:r w:rsidRPr="00560C8F">
        <w:t xml:space="preserve"> on </w:t>
      </w:r>
      <w:r w:rsidR="000F4B30" w:rsidRPr="00560C8F">
        <w:t>c</w:t>
      </w:r>
      <w:r w:rsidRPr="00560C8F">
        <w:t xml:space="preserve">lean </w:t>
      </w:r>
      <w:r w:rsidR="000F4B30" w:rsidRPr="00560C8F">
        <w:t>w</w:t>
      </w:r>
      <w:r w:rsidRPr="00560C8F">
        <w:t xml:space="preserve">ater and </w:t>
      </w:r>
      <w:r w:rsidR="000F4B30" w:rsidRPr="00560C8F">
        <w:t>s</w:t>
      </w:r>
      <w:r w:rsidRPr="00560C8F">
        <w:t xml:space="preserve">anitation. The </w:t>
      </w:r>
      <w:r w:rsidR="00711A44" w:rsidRPr="00560C8F">
        <w:t xml:space="preserve">reverse </w:t>
      </w:r>
      <w:r w:rsidRPr="00560C8F">
        <w:t xml:space="preserve">side of the </w:t>
      </w:r>
      <w:r w:rsidR="000F4B30" w:rsidRPr="00560C8F">
        <w:t xml:space="preserve">interface between the </w:t>
      </w:r>
      <w:r w:rsidR="004D4A72" w:rsidRPr="00560C8F">
        <w:t>Sustainable Development Goals</w:t>
      </w:r>
      <w:r w:rsidR="000F4B30" w:rsidRPr="00560C8F">
        <w:t xml:space="preserve"> and </w:t>
      </w:r>
      <w:r w:rsidR="00A35975" w:rsidRPr="00560C8F">
        <w:t>sound management of chemicals and waste</w:t>
      </w:r>
      <w:r w:rsidRPr="00560C8F">
        <w:t xml:space="preserve"> </w:t>
      </w:r>
      <w:r w:rsidR="00054568" w:rsidRPr="00560C8F">
        <w:t xml:space="preserve">is equally important: </w:t>
      </w:r>
      <w:r w:rsidR="000F4B30" w:rsidRPr="00560C8F">
        <w:lastRenderedPageBreak/>
        <w:t>s</w:t>
      </w:r>
      <w:r w:rsidR="00054568" w:rsidRPr="00560C8F">
        <w:t xml:space="preserve">ome </w:t>
      </w:r>
      <w:r w:rsidR="004D4A72" w:rsidRPr="00560C8F">
        <w:t>Goals</w:t>
      </w:r>
      <w:r w:rsidR="00054568" w:rsidRPr="00560C8F">
        <w:t xml:space="preserve"> (</w:t>
      </w:r>
      <w:r w:rsidR="000F4B30" w:rsidRPr="00560C8F">
        <w:t>such as Goal</w:t>
      </w:r>
      <w:r w:rsidR="00054568" w:rsidRPr="00560C8F">
        <w:t xml:space="preserve"> </w:t>
      </w:r>
      <w:r w:rsidR="00F91F97" w:rsidRPr="00560C8F">
        <w:t>16</w:t>
      </w:r>
      <w:r w:rsidR="000F4B30" w:rsidRPr="00560C8F">
        <w:t>,</w:t>
      </w:r>
      <w:r w:rsidR="00F91F97" w:rsidRPr="00560C8F">
        <w:t xml:space="preserve"> on </w:t>
      </w:r>
      <w:r w:rsidR="000F4B30" w:rsidRPr="00560C8F">
        <w:t>p</w:t>
      </w:r>
      <w:r w:rsidR="00F91F97" w:rsidRPr="00560C8F">
        <w:t xml:space="preserve">eace, </w:t>
      </w:r>
      <w:r w:rsidR="000F4B30" w:rsidRPr="00560C8F">
        <w:t>j</w:t>
      </w:r>
      <w:r w:rsidR="00F91F97" w:rsidRPr="00560C8F">
        <w:t xml:space="preserve">ustice and </w:t>
      </w:r>
      <w:r w:rsidR="000F4B30" w:rsidRPr="00560C8F">
        <w:t>s</w:t>
      </w:r>
      <w:r w:rsidR="00F91F97" w:rsidRPr="00560C8F">
        <w:t xml:space="preserve">trong </w:t>
      </w:r>
      <w:r w:rsidR="000F4B30" w:rsidRPr="00560C8F">
        <w:t>i</w:t>
      </w:r>
      <w:r w:rsidR="00F91F97" w:rsidRPr="00560C8F">
        <w:t xml:space="preserve">nstitutions) </w:t>
      </w:r>
      <w:r w:rsidRPr="00560C8F">
        <w:t xml:space="preserve">help </w:t>
      </w:r>
      <w:r w:rsidR="000F4B30" w:rsidRPr="00560C8F">
        <w:t xml:space="preserve">to </w:t>
      </w:r>
      <w:r w:rsidRPr="00560C8F">
        <w:t>create an enabling environment that could support the minimization of the adverse effects of chemicals and waste.</w:t>
      </w:r>
    </w:p>
    <w:p w:rsidR="00517AD2" w:rsidRPr="00560C8F" w:rsidRDefault="00517AD2"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During the workshop, participants examined specific </w:t>
      </w:r>
      <w:r w:rsidR="004D4A72" w:rsidRPr="00560C8F">
        <w:t>Goals</w:t>
      </w:r>
      <w:r w:rsidRPr="00560C8F">
        <w:t xml:space="preserve"> from a chemicals and waste management perspective. Dedicated panels and working groups explored </w:t>
      </w:r>
      <w:r w:rsidR="000F4B30" w:rsidRPr="00560C8F">
        <w:t>Goal</w:t>
      </w:r>
      <w:r w:rsidRPr="00560C8F">
        <w:t xml:space="preserve"> 1</w:t>
      </w:r>
      <w:r w:rsidR="00E30CA5" w:rsidRPr="00560C8F">
        <w:t>,</w:t>
      </w:r>
      <w:r w:rsidRPr="00560C8F">
        <w:t xml:space="preserve"> on </w:t>
      </w:r>
      <w:r w:rsidR="00B338F6">
        <w:t>the elimination of</w:t>
      </w:r>
      <w:r w:rsidRPr="00560C8F">
        <w:t xml:space="preserve"> </w:t>
      </w:r>
      <w:r w:rsidR="00E30CA5" w:rsidRPr="00560C8F">
        <w:t>p</w:t>
      </w:r>
      <w:r w:rsidRPr="00560C8F">
        <w:t>overty</w:t>
      </w:r>
      <w:r w:rsidR="00E30CA5" w:rsidRPr="00560C8F">
        <w:t>;</w:t>
      </w:r>
      <w:r w:rsidRPr="00560C8F">
        <w:t xml:space="preserve"> </w:t>
      </w:r>
      <w:r w:rsidR="000F4B30" w:rsidRPr="00560C8F">
        <w:t>Goal</w:t>
      </w:r>
      <w:r w:rsidRPr="00560C8F">
        <w:t xml:space="preserve"> 2</w:t>
      </w:r>
      <w:r w:rsidR="00E30CA5" w:rsidRPr="00560C8F">
        <w:t>,</w:t>
      </w:r>
      <w:r w:rsidRPr="00560C8F">
        <w:t xml:space="preserve"> on </w:t>
      </w:r>
      <w:r w:rsidR="00E30CA5" w:rsidRPr="00560C8F">
        <w:t>z</w:t>
      </w:r>
      <w:r w:rsidRPr="00560C8F">
        <w:t xml:space="preserve">ero </w:t>
      </w:r>
      <w:r w:rsidR="00E30CA5" w:rsidRPr="00560C8F">
        <w:t>h</w:t>
      </w:r>
      <w:r w:rsidRPr="00560C8F">
        <w:t>unger</w:t>
      </w:r>
      <w:r w:rsidR="00E30CA5" w:rsidRPr="00560C8F">
        <w:t>;</w:t>
      </w:r>
      <w:r w:rsidRPr="00560C8F">
        <w:t xml:space="preserve"> </w:t>
      </w:r>
      <w:r w:rsidR="000F4B30" w:rsidRPr="00560C8F">
        <w:t>Goal</w:t>
      </w:r>
      <w:r w:rsidRPr="00560C8F">
        <w:t xml:space="preserve"> 3</w:t>
      </w:r>
      <w:r w:rsidR="00E30CA5" w:rsidRPr="00560C8F">
        <w:t>,</w:t>
      </w:r>
      <w:r w:rsidRPr="00560C8F">
        <w:t xml:space="preserve"> on </w:t>
      </w:r>
      <w:r w:rsidR="00E30CA5" w:rsidRPr="00560C8F">
        <w:t>g</w:t>
      </w:r>
      <w:r w:rsidRPr="00560C8F">
        <w:t xml:space="preserve">ood </w:t>
      </w:r>
      <w:r w:rsidR="00E30CA5" w:rsidRPr="00560C8F">
        <w:t>h</w:t>
      </w:r>
      <w:r w:rsidRPr="00560C8F">
        <w:t xml:space="preserve">ealth and </w:t>
      </w:r>
      <w:r w:rsidR="00E30CA5" w:rsidRPr="00560C8F">
        <w:t>w</w:t>
      </w:r>
      <w:r w:rsidRPr="00560C8F">
        <w:t>ell-being</w:t>
      </w:r>
      <w:r w:rsidR="00E30CA5" w:rsidRPr="00560C8F">
        <w:t>;</w:t>
      </w:r>
      <w:r w:rsidRPr="00560C8F">
        <w:t xml:space="preserve"> </w:t>
      </w:r>
      <w:r w:rsidR="000F4B30" w:rsidRPr="00560C8F">
        <w:t>Goal</w:t>
      </w:r>
      <w:r w:rsidRPr="00560C8F">
        <w:t xml:space="preserve"> 5</w:t>
      </w:r>
      <w:r w:rsidR="00E30CA5" w:rsidRPr="00560C8F">
        <w:t>,</w:t>
      </w:r>
      <w:r w:rsidRPr="00560C8F">
        <w:t xml:space="preserve"> on </w:t>
      </w:r>
      <w:r w:rsidR="00E30CA5" w:rsidRPr="00560C8F">
        <w:t>g</w:t>
      </w:r>
      <w:r w:rsidRPr="00560C8F">
        <w:t xml:space="preserve">ender </w:t>
      </w:r>
      <w:r w:rsidR="00E30CA5" w:rsidRPr="00560C8F">
        <w:t>e</w:t>
      </w:r>
      <w:r w:rsidRPr="00560C8F">
        <w:t>quality</w:t>
      </w:r>
      <w:r w:rsidR="00E30CA5" w:rsidRPr="00560C8F">
        <w:t>;</w:t>
      </w:r>
      <w:r w:rsidRPr="00560C8F">
        <w:t xml:space="preserve"> </w:t>
      </w:r>
      <w:r w:rsidR="000F4B30" w:rsidRPr="00560C8F">
        <w:t>Goal</w:t>
      </w:r>
      <w:r w:rsidRPr="00560C8F">
        <w:t xml:space="preserve"> 9</w:t>
      </w:r>
      <w:r w:rsidR="00E30CA5" w:rsidRPr="00560C8F">
        <w:t>,</w:t>
      </w:r>
      <w:r w:rsidRPr="00560C8F">
        <w:t xml:space="preserve"> on </w:t>
      </w:r>
      <w:r w:rsidR="00E30CA5" w:rsidRPr="00560C8F">
        <w:t>i</w:t>
      </w:r>
      <w:r w:rsidRPr="00560C8F">
        <w:t xml:space="preserve">ndustry, </w:t>
      </w:r>
      <w:r w:rsidR="00E30CA5" w:rsidRPr="00560C8F">
        <w:t>i</w:t>
      </w:r>
      <w:r w:rsidRPr="00560C8F">
        <w:t xml:space="preserve">nnovation and </w:t>
      </w:r>
      <w:r w:rsidR="00E30CA5" w:rsidRPr="00560C8F">
        <w:t>i</w:t>
      </w:r>
      <w:r w:rsidRPr="00560C8F">
        <w:t>nfrastructure</w:t>
      </w:r>
      <w:r w:rsidR="00E30CA5" w:rsidRPr="00560C8F">
        <w:t>;</w:t>
      </w:r>
      <w:r w:rsidRPr="00560C8F">
        <w:t xml:space="preserve"> </w:t>
      </w:r>
      <w:r w:rsidR="000F4B30" w:rsidRPr="00560C8F">
        <w:t>Goal</w:t>
      </w:r>
      <w:r w:rsidRPr="00560C8F">
        <w:t xml:space="preserve"> 12</w:t>
      </w:r>
      <w:r w:rsidR="00E30CA5" w:rsidRPr="00560C8F">
        <w:t>,</w:t>
      </w:r>
      <w:r w:rsidRPr="00560C8F">
        <w:t xml:space="preserve"> on </w:t>
      </w:r>
      <w:r w:rsidR="00E30CA5" w:rsidRPr="00560C8F">
        <w:t>r</w:t>
      </w:r>
      <w:r w:rsidRPr="00560C8F">
        <w:t xml:space="preserve">esponsible </w:t>
      </w:r>
      <w:r w:rsidR="00E30CA5" w:rsidRPr="00560C8F">
        <w:t>c</w:t>
      </w:r>
      <w:r w:rsidRPr="00560C8F">
        <w:t xml:space="preserve">onsumption and </w:t>
      </w:r>
      <w:r w:rsidR="00E30CA5" w:rsidRPr="00560C8F">
        <w:t>p</w:t>
      </w:r>
      <w:r w:rsidRPr="00560C8F">
        <w:t>roduction</w:t>
      </w:r>
      <w:r w:rsidR="00E30CA5" w:rsidRPr="00560C8F">
        <w:t>;</w:t>
      </w:r>
      <w:r w:rsidRPr="00560C8F">
        <w:t xml:space="preserve"> and </w:t>
      </w:r>
      <w:r w:rsidR="000F4B30" w:rsidRPr="00560C8F">
        <w:t>Goal</w:t>
      </w:r>
      <w:r w:rsidRPr="00560C8F">
        <w:t xml:space="preserve"> 13</w:t>
      </w:r>
      <w:r w:rsidR="00E30CA5" w:rsidRPr="00560C8F">
        <w:t>,</w:t>
      </w:r>
      <w:r w:rsidRPr="00560C8F">
        <w:t xml:space="preserve"> on </w:t>
      </w:r>
      <w:r w:rsidR="00E30CA5" w:rsidRPr="00560C8F">
        <w:t>c</w:t>
      </w:r>
      <w:r w:rsidRPr="00560C8F">
        <w:t xml:space="preserve">limate </w:t>
      </w:r>
      <w:r w:rsidR="00E30CA5" w:rsidRPr="00560C8F">
        <w:t>a</w:t>
      </w:r>
      <w:r w:rsidRPr="00560C8F">
        <w:t xml:space="preserve">ction. </w:t>
      </w:r>
      <w:r w:rsidR="00E30CA5" w:rsidRPr="00560C8F">
        <w:t>The o</w:t>
      </w:r>
      <w:r w:rsidRPr="00560C8F">
        <w:t xml:space="preserve">ther </w:t>
      </w:r>
      <w:r w:rsidR="004D4A72" w:rsidRPr="00560C8F">
        <w:t>Goals</w:t>
      </w:r>
      <w:r w:rsidR="00E30CA5" w:rsidRPr="00560C8F">
        <w:t>, which</w:t>
      </w:r>
      <w:r w:rsidRPr="00560C8F">
        <w:t xml:space="preserve"> were also discussed</w:t>
      </w:r>
      <w:r w:rsidR="00E30CA5" w:rsidRPr="00560C8F">
        <w:t xml:space="preserve">, </w:t>
      </w:r>
      <w:r w:rsidRPr="00560C8F">
        <w:t xml:space="preserve">are equally relevant from </w:t>
      </w:r>
      <w:r w:rsidR="00B338F6">
        <w:t>the perspective of</w:t>
      </w:r>
      <w:r w:rsidRPr="00560C8F">
        <w:t xml:space="preserve"> </w:t>
      </w:r>
      <w:r w:rsidR="00A35975" w:rsidRPr="00560C8F">
        <w:t>sound management of chemicals and waste</w:t>
      </w:r>
      <w:r w:rsidRPr="00560C8F">
        <w:t xml:space="preserve"> and will be examined in more depth as a follow-up to the workshop.</w:t>
      </w:r>
    </w:p>
    <w:p w:rsidR="00517AD2" w:rsidRPr="00560C8F" w:rsidRDefault="00915D7C" w:rsidP="00915D7C">
      <w:pPr>
        <w:pStyle w:val="CH3"/>
        <w:rPr>
          <w:bCs/>
          <w:i/>
          <w:iCs/>
        </w:rPr>
      </w:pPr>
      <w:r w:rsidRPr="00560C8F">
        <w:tab/>
      </w:r>
      <w:r w:rsidR="009742C3" w:rsidRPr="00560C8F">
        <w:t>3.</w:t>
      </w:r>
      <w:r w:rsidR="00517AD2" w:rsidRPr="00560C8F">
        <w:tab/>
        <w:t>Cross-cutting issues to advance integrated approaches</w:t>
      </w:r>
    </w:p>
    <w:p w:rsidR="002E6387" w:rsidRPr="00560C8F" w:rsidRDefault="00F91F97"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P</w:t>
      </w:r>
      <w:r w:rsidR="00517AD2" w:rsidRPr="00560C8F">
        <w:t xml:space="preserve">articipants examined </w:t>
      </w:r>
      <w:r w:rsidR="002E6387" w:rsidRPr="00560C8F">
        <w:t xml:space="preserve">the following </w:t>
      </w:r>
      <w:r w:rsidR="00517AD2" w:rsidRPr="00560C8F">
        <w:t xml:space="preserve">cross-cutting issues considered critical for the successful integration of </w:t>
      </w:r>
      <w:r w:rsidR="00A35975" w:rsidRPr="00560C8F">
        <w:t>sound management of chemicals and waste</w:t>
      </w:r>
      <w:r w:rsidR="00517AD2" w:rsidRPr="00560C8F">
        <w:t xml:space="preserve"> into the </w:t>
      </w:r>
      <w:r w:rsidR="004D4A72" w:rsidRPr="00560C8F">
        <w:t>Goals</w:t>
      </w:r>
      <w:r w:rsidR="002E6387" w:rsidRPr="00560C8F">
        <w:t xml:space="preserve">: </w:t>
      </w:r>
      <w:r w:rsidR="00711A44" w:rsidRPr="00560C8F">
        <w:t>s</w:t>
      </w:r>
      <w:r w:rsidR="002E6387" w:rsidRPr="00560C8F">
        <w:t xml:space="preserve">trengthening institutions; </w:t>
      </w:r>
      <w:r w:rsidR="00FA20BA" w:rsidRPr="00560C8F">
        <w:t>inclusion, accountability and access to justice; economic analysis and incentives; and strengthening communication.</w:t>
      </w:r>
    </w:p>
    <w:p w:rsidR="00517AD2" w:rsidRPr="00560C8F" w:rsidRDefault="002E6387"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E</w:t>
      </w:r>
      <w:r w:rsidR="00517AD2" w:rsidRPr="00560C8F">
        <w:t>xisting national institutional structures do not necessarily m</w:t>
      </w:r>
      <w:r w:rsidR="00F91F97" w:rsidRPr="00560C8F">
        <w:t xml:space="preserve">atch how the </w:t>
      </w:r>
      <w:r w:rsidR="004D4A72" w:rsidRPr="00560C8F">
        <w:t>Goals</w:t>
      </w:r>
      <w:r w:rsidR="00F91F97" w:rsidRPr="00560C8F">
        <w:t xml:space="preserve"> are organized</w:t>
      </w:r>
      <w:r w:rsidR="00B338F6">
        <w:t>, and a</w:t>
      </w:r>
      <w:r w:rsidR="00F91F97" w:rsidRPr="00560C8F">
        <w:t>ny action</w:t>
      </w:r>
      <w:r w:rsidR="00517AD2" w:rsidRPr="00560C8F">
        <w:t xml:space="preserve"> to implement the </w:t>
      </w:r>
      <w:r w:rsidR="004D4A72" w:rsidRPr="00560C8F">
        <w:t>Goals</w:t>
      </w:r>
      <w:r w:rsidR="00517AD2" w:rsidRPr="00560C8F">
        <w:t xml:space="preserve"> needs to take </w:t>
      </w:r>
      <w:r w:rsidR="00B338F6">
        <w:t xml:space="preserve">those structures </w:t>
      </w:r>
      <w:r w:rsidR="00517AD2" w:rsidRPr="00560C8F">
        <w:t xml:space="preserve">into account. The three interlinked and mutually supporting pillars of </w:t>
      </w:r>
      <w:r w:rsidR="00F91F97" w:rsidRPr="00560C8F">
        <w:t xml:space="preserve">the integrated approach to </w:t>
      </w:r>
      <w:r w:rsidR="00FA20BA" w:rsidRPr="00560C8F">
        <w:t>financing</w:t>
      </w:r>
      <w:r w:rsidR="00F91F97" w:rsidRPr="00560C8F">
        <w:t xml:space="preserve"> for the sound management of chemicals and waste </w:t>
      </w:r>
      <w:r w:rsidR="00B338F6">
        <w:t xml:space="preserve">– mainstreaming, industry involvement and </w:t>
      </w:r>
      <w:r w:rsidR="00B338F6" w:rsidRPr="00560C8F">
        <w:t xml:space="preserve">dedicated external financing </w:t>
      </w:r>
      <w:r w:rsidR="00B338F6">
        <w:t xml:space="preserve">– </w:t>
      </w:r>
      <w:r w:rsidR="00517AD2" w:rsidRPr="00560C8F">
        <w:t xml:space="preserve">remain relevant in a </w:t>
      </w:r>
      <w:r w:rsidR="004D4A72" w:rsidRPr="00560C8F">
        <w:t>Goals</w:t>
      </w:r>
      <w:r w:rsidR="00517AD2" w:rsidRPr="00560C8F">
        <w:t xml:space="preserve"> context.</w:t>
      </w:r>
    </w:p>
    <w:p w:rsidR="00517AD2" w:rsidRPr="00560C8F" w:rsidRDefault="00517AD2"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Ensuring inclusion, accountability and access to justice is critical </w:t>
      </w:r>
      <w:r w:rsidR="0015648A">
        <w:t xml:space="preserve">for </w:t>
      </w:r>
      <w:r w:rsidRPr="00560C8F">
        <w:t>protect</w:t>
      </w:r>
      <w:r w:rsidR="0015648A">
        <w:t>ing</w:t>
      </w:r>
      <w:r w:rsidRPr="00560C8F">
        <w:t xml:space="preserve"> vulnerable populations from exposure to hazardous chemicals and waste. Th</w:t>
      </w:r>
      <w:r w:rsidR="0015648A">
        <w:t>o</w:t>
      </w:r>
      <w:r w:rsidRPr="00560C8F">
        <w:t>se issues</w:t>
      </w:r>
      <w:r w:rsidR="007F4456">
        <w:t xml:space="preserve">, </w:t>
      </w:r>
      <w:r w:rsidRPr="00560C8F">
        <w:t xml:space="preserve">essential </w:t>
      </w:r>
      <w:r w:rsidR="0015648A">
        <w:t xml:space="preserve">for the </w:t>
      </w:r>
      <w:r w:rsidR="00A35975" w:rsidRPr="00560C8F">
        <w:t>sound management of chemicals and waste</w:t>
      </w:r>
      <w:r w:rsidRPr="00560C8F">
        <w:t xml:space="preserve">, also cut across the </w:t>
      </w:r>
      <w:r w:rsidR="004D4A72" w:rsidRPr="00560C8F">
        <w:t>Goals</w:t>
      </w:r>
      <w:r w:rsidRPr="00560C8F">
        <w:t xml:space="preserve">, meaning that progress in establishing such support structures will deliver multifaceted benefits. </w:t>
      </w:r>
    </w:p>
    <w:p w:rsidR="00517AD2" w:rsidRPr="00560C8F" w:rsidRDefault="00517AD2"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The benefits of regulating chemicals far outweigh the costs</w:t>
      </w:r>
      <w:r w:rsidR="0015648A">
        <w:t>; t</w:t>
      </w:r>
      <w:r w:rsidRPr="00560C8F">
        <w:t>he difficulty lies in quantifying th</w:t>
      </w:r>
      <w:r w:rsidR="007F4456">
        <w:t>ose</w:t>
      </w:r>
      <w:r w:rsidRPr="00560C8F">
        <w:t xml:space="preserve"> benefits. Further development of economic tools and analysis (e.g.</w:t>
      </w:r>
      <w:r w:rsidR="007F4456">
        <w:t>,</w:t>
      </w:r>
      <w:r w:rsidRPr="00560C8F">
        <w:t xml:space="preserve"> to quantify the cost of inaction) are therefore critical </w:t>
      </w:r>
      <w:r w:rsidR="00711A44" w:rsidRPr="00560C8F">
        <w:t xml:space="preserve">in </w:t>
      </w:r>
      <w:r w:rsidRPr="00560C8F">
        <w:t>convinc</w:t>
      </w:r>
      <w:r w:rsidR="00711A44" w:rsidRPr="00560C8F">
        <w:t>ing</w:t>
      </w:r>
      <w:r w:rsidRPr="00560C8F">
        <w:t xml:space="preserve"> decision</w:t>
      </w:r>
      <w:r w:rsidR="00711A44" w:rsidRPr="00560C8F">
        <w:t xml:space="preserve"> </w:t>
      </w:r>
      <w:r w:rsidRPr="00560C8F">
        <w:t xml:space="preserve">makers of </w:t>
      </w:r>
      <w:r w:rsidR="00711A44" w:rsidRPr="00560C8F">
        <w:t xml:space="preserve">the benefits of </w:t>
      </w:r>
      <w:r w:rsidR="00A35975" w:rsidRPr="00560C8F">
        <w:t>sound management of chemicals and waste</w:t>
      </w:r>
      <w:r w:rsidRPr="00560C8F">
        <w:t>.</w:t>
      </w:r>
    </w:p>
    <w:p w:rsidR="00517AD2" w:rsidRPr="00560C8F" w:rsidRDefault="00915D7C" w:rsidP="00915D7C">
      <w:pPr>
        <w:pStyle w:val="CH3"/>
      </w:pPr>
      <w:r w:rsidRPr="00560C8F">
        <w:tab/>
        <w:t>4.</w:t>
      </w:r>
      <w:r w:rsidRPr="00560C8F">
        <w:tab/>
      </w:r>
      <w:r w:rsidR="00517AD2" w:rsidRPr="00560C8F">
        <w:t xml:space="preserve">Linking </w:t>
      </w:r>
      <w:r w:rsidR="004D4A72" w:rsidRPr="00560C8F">
        <w:t>Sustainable Development Goal</w:t>
      </w:r>
      <w:r w:rsidR="00517AD2" w:rsidRPr="00560C8F">
        <w:t xml:space="preserve"> indicators with chemicals and waste indicators</w:t>
      </w:r>
    </w:p>
    <w:p w:rsidR="00517AD2" w:rsidRPr="00560C8F" w:rsidRDefault="00517AD2"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The workshop explored the interface </w:t>
      </w:r>
      <w:r w:rsidR="00D209DD" w:rsidRPr="00560C8F">
        <w:t xml:space="preserve">between </w:t>
      </w:r>
      <w:r w:rsidR="004D4A72" w:rsidRPr="00560C8F">
        <w:t>Goal</w:t>
      </w:r>
      <w:r w:rsidRPr="00560C8F">
        <w:t xml:space="preserve"> indicators, indicators deriving from international chemicals and waste agreements, and indicators used </w:t>
      </w:r>
      <w:r w:rsidR="007F4456">
        <w:t>by countries</w:t>
      </w:r>
      <w:r w:rsidRPr="00560C8F">
        <w:t xml:space="preserve"> to assess </w:t>
      </w:r>
      <w:r w:rsidR="007F4456">
        <w:t xml:space="preserve">their </w:t>
      </w:r>
      <w:r w:rsidRPr="00560C8F">
        <w:t xml:space="preserve">progress in achieving the 2020 </w:t>
      </w:r>
      <w:r w:rsidR="00711A44" w:rsidRPr="00560C8F">
        <w:t>goal of</w:t>
      </w:r>
      <w:r w:rsidR="00711A44" w:rsidRPr="00560C8F" w:rsidDel="00A35975">
        <w:t xml:space="preserve"> </w:t>
      </w:r>
      <w:r w:rsidR="00A35975" w:rsidRPr="00560C8F">
        <w:t>sound management of chemicals and waste</w:t>
      </w:r>
      <w:r w:rsidRPr="00560C8F">
        <w:t xml:space="preserve">. </w:t>
      </w:r>
    </w:p>
    <w:p w:rsidR="00517AD2" w:rsidRPr="009E51C2" w:rsidRDefault="00517AD2"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Participants agreed on the importance of global </w:t>
      </w:r>
      <w:r w:rsidR="00290ADB">
        <w:t xml:space="preserve">indicators for </w:t>
      </w:r>
      <w:r w:rsidR="00A35975" w:rsidRPr="00560C8F">
        <w:t>sound management of chemicals and waste</w:t>
      </w:r>
      <w:r w:rsidRPr="00560C8F">
        <w:t xml:space="preserve"> </w:t>
      </w:r>
      <w:r w:rsidR="00290ADB">
        <w:t>that</w:t>
      </w:r>
      <w:r w:rsidRPr="00560C8F">
        <w:t xml:space="preserve"> fe</w:t>
      </w:r>
      <w:r w:rsidR="00290ADB">
        <w:t>d</w:t>
      </w:r>
      <w:r w:rsidRPr="00560C8F">
        <w:t xml:space="preserve"> into the </w:t>
      </w:r>
      <w:r w:rsidR="004D4A72" w:rsidRPr="00560C8F">
        <w:t>Goals</w:t>
      </w:r>
      <w:r w:rsidRPr="00560C8F">
        <w:t xml:space="preserve">. Additional efforts may be </w:t>
      </w:r>
      <w:r w:rsidR="00B64A6A">
        <w:t>needed</w:t>
      </w:r>
      <w:r w:rsidR="00B64A6A" w:rsidRPr="00560C8F">
        <w:t xml:space="preserve"> </w:t>
      </w:r>
      <w:r w:rsidRPr="00560C8F">
        <w:t xml:space="preserve">to address </w:t>
      </w:r>
      <w:r w:rsidR="007F4456">
        <w:t>any</w:t>
      </w:r>
      <w:r w:rsidRPr="00560C8F">
        <w:t xml:space="preserve"> gaps in the </w:t>
      </w:r>
      <w:r w:rsidRPr="00B64A6A">
        <w:t xml:space="preserve">international indicators </w:t>
      </w:r>
      <w:r w:rsidR="00D209DD" w:rsidRPr="00B64A6A">
        <w:t xml:space="preserve">for </w:t>
      </w:r>
      <w:r w:rsidRPr="00B64A6A">
        <w:t>measur</w:t>
      </w:r>
      <w:r w:rsidR="00D209DD" w:rsidRPr="00B64A6A">
        <w:t>ing</w:t>
      </w:r>
      <w:r w:rsidRPr="00B64A6A">
        <w:t xml:space="preserve"> the </w:t>
      </w:r>
      <w:r w:rsidRPr="009E51C2">
        <w:t xml:space="preserve">2020 goal. The basic elements agreed </w:t>
      </w:r>
      <w:r w:rsidR="007F4456" w:rsidRPr="009E51C2">
        <w:t xml:space="preserve">on </w:t>
      </w:r>
      <w:r w:rsidRPr="009E51C2">
        <w:t xml:space="preserve">under </w:t>
      </w:r>
      <w:r w:rsidR="003612A4" w:rsidRPr="009E51C2">
        <w:t>SAICM</w:t>
      </w:r>
      <w:r w:rsidR="00711A44" w:rsidRPr="009E51C2">
        <w:t>,</w:t>
      </w:r>
      <w:r w:rsidRPr="009E51C2">
        <w:t xml:space="preserve"> as well as the indicators developed by the </w:t>
      </w:r>
      <w:r w:rsidR="00A35975" w:rsidRPr="009E51C2">
        <w:t>Inter</w:t>
      </w:r>
      <w:r w:rsidR="00A35975" w:rsidRPr="009E51C2">
        <w:noBreakHyphen/>
        <w:t>Organization Programme for the Sound Management of Chemicals</w:t>
      </w:r>
      <w:r w:rsidR="00D209DD" w:rsidRPr="009E51C2">
        <w:t>,</w:t>
      </w:r>
      <w:r w:rsidRPr="009E51C2">
        <w:t xml:space="preserve"> could be considered.</w:t>
      </w:r>
    </w:p>
    <w:p w:rsidR="00517AD2" w:rsidRPr="00560C8F" w:rsidRDefault="00517AD2"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More work is needed to </w:t>
      </w:r>
      <w:r w:rsidR="007F4456">
        <w:t>help</w:t>
      </w:r>
      <w:r w:rsidR="00D209DD" w:rsidRPr="00560C8F">
        <w:t xml:space="preserve"> </w:t>
      </w:r>
      <w:r w:rsidRPr="00560C8F">
        <w:t xml:space="preserve">countries develop more specific benchmarks </w:t>
      </w:r>
      <w:r w:rsidR="007F4456">
        <w:t>for</w:t>
      </w:r>
      <w:r w:rsidRPr="00560C8F">
        <w:t xml:space="preserve"> </w:t>
      </w:r>
      <w:r w:rsidR="00F91F97" w:rsidRPr="00560C8F">
        <w:t>assess</w:t>
      </w:r>
      <w:r w:rsidR="007F4456">
        <w:t>ing their</w:t>
      </w:r>
      <w:r w:rsidR="00F91F97" w:rsidRPr="00560C8F">
        <w:t xml:space="preserve"> </w:t>
      </w:r>
      <w:r w:rsidRPr="00560C8F">
        <w:t>progress on specific instruments considered of universal value</w:t>
      </w:r>
      <w:r w:rsidR="0015648A">
        <w:t xml:space="preserve">, such as </w:t>
      </w:r>
      <w:r w:rsidRPr="00560C8F">
        <w:t>the Globally Harmoni</w:t>
      </w:r>
      <w:r w:rsidR="00D209DD" w:rsidRPr="00560C8F">
        <w:t>z</w:t>
      </w:r>
      <w:r w:rsidRPr="00560C8F">
        <w:t xml:space="preserve">ed System of Classification and Labelling of Chemicals. A suite of indicators </w:t>
      </w:r>
      <w:r w:rsidR="00F91F97" w:rsidRPr="00560C8F">
        <w:t xml:space="preserve">that can be </w:t>
      </w:r>
      <w:r w:rsidRPr="00560C8F">
        <w:t>adapted to</w:t>
      </w:r>
      <w:r w:rsidR="005A635C" w:rsidRPr="00560C8F">
        <w:t xml:space="preserve"> national needs</w:t>
      </w:r>
      <w:r w:rsidRPr="00560C8F">
        <w:t xml:space="preserve"> and serv</w:t>
      </w:r>
      <w:r w:rsidR="00D209DD" w:rsidRPr="00560C8F">
        <w:t>e</w:t>
      </w:r>
      <w:r w:rsidRPr="00560C8F">
        <w:t xml:space="preserve"> national purposes would</w:t>
      </w:r>
      <w:r w:rsidR="00F91F97" w:rsidRPr="00560C8F">
        <w:t xml:space="preserve"> allow </w:t>
      </w:r>
      <w:r w:rsidRPr="00560C8F">
        <w:t xml:space="preserve">countries </w:t>
      </w:r>
      <w:r w:rsidR="00D209DD" w:rsidRPr="00560C8F">
        <w:t xml:space="preserve">to </w:t>
      </w:r>
      <w:r w:rsidRPr="00560C8F">
        <w:t xml:space="preserve">choose </w:t>
      </w:r>
      <w:r w:rsidR="00D209DD" w:rsidRPr="00560C8F">
        <w:t xml:space="preserve">indicators </w:t>
      </w:r>
      <w:r w:rsidRPr="00560C8F">
        <w:t xml:space="preserve">tailored </w:t>
      </w:r>
      <w:r w:rsidR="00BE2F73" w:rsidRPr="00560C8F">
        <w:t xml:space="preserve">to their </w:t>
      </w:r>
      <w:r w:rsidR="00F91F97" w:rsidRPr="00560C8F">
        <w:t xml:space="preserve">specific </w:t>
      </w:r>
      <w:r w:rsidRPr="00560C8F">
        <w:t xml:space="preserve">needs, priorities and national circumstances. </w:t>
      </w:r>
    </w:p>
    <w:p w:rsidR="00107C5C" w:rsidRPr="00560C8F" w:rsidRDefault="00915D7C" w:rsidP="00915D7C">
      <w:pPr>
        <w:pStyle w:val="CH3"/>
      </w:pPr>
      <w:r w:rsidRPr="00560C8F">
        <w:tab/>
        <w:t>5.</w:t>
      </w:r>
      <w:r w:rsidRPr="00560C8F">
        <w:tab/>
      </w:r>
      <w:r w:rsidR="00107C5C" w:rsidRPr="00560C8F">
        <w:t xml:space="preserve">Scaling up </w:t>
      </w:r>
      <w:r w:rsidR="00050669" w:rsidRPr="00560C8F">
        <w:t>i</w:t>
      </w:r>
      <w:r w:rsidR="00107C5C" w:rsidRPr="00560C8F">
        <w:t xml:space="preserve">ntegrated and </w:t>
      </w:r>
      <w:r w:rsidR="00050669" w:rsidRPr="00560C8F">
        <w:t>i</w:t>
      </w:r>
      <w:r w:rsidR="00107C5C" w:rsidRPr="00560C8F">
        <w:t xml:space="preserve">nnovative </w:t>
      </w:r>
      <w:r w:rsidR="00050669" w:rsidRPr="00560C8F">
        <w:t>a</w:t>
      </w:r>
      <w:r w:rsidR="00107C5C" w:rsidRPr="00560C8F">
        <w:t>pproaches</w:t>
      </w:r>
    </w:p>
    <w:p w:rsidR="00107C5C" w:rsidRPr="00560C8F" w:rsidRDefault="00D209DD"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A </w:t>
      </w:r>
      <w:r w:rsidR="00107C5C" w:rsidRPr="00560C8F">
        <w:t xml:space="preserve">number of innovative approaches and initiatives implemented by </w:t>
      </w:r>
      <w:r w:rsidR="00CE0585" w:rsidRPr="00560C8F">
        <w:t>G</w:t>
      </w:r>
      <w:r w:rsidR="00107C5C" w:rsidRPr="00560C8F">
        <w:t xml:space="preserve">overnments, the private sector and civil society that </w:t>
      </w:r>
      <w:r w:rsidR="00F91F97" w:rsidRPr="00560C8F">
        <w:t xml:space="preserve">already </w:t>
      </w:r>
      <w:r w:rsidR="00107C5C" w:rsidRPr="00560C8F">
        <w:t>succe</w:t>
      </w:r>
      <w:r w:rsidR="007F4456">
        <w:t>ssfully</w:t>
      </w:r>
      <w:r w:rsidR="00107C5C" w:rsidRPr="00560C8F">
        <w:t xml:space="preserve"> integrat</w:t>
      </w:r>
      <w:r w:rsidR="007F4456">
        <w:t>e</w:t>
      </w:r>
      <w:r w:rsidR="00107C5C" w:rsidRPr="00560C8F">
        <w:t xml:space="preserve"> the social, economic and environmental pillars</w:t>
      </w:r>
      <w:r w:rsidRPr="00560C8F">
        <w:t xml:space="preserve"> were discussed during the workshop</w:t>
      </w:r>
      <w:r w:rsidR="00107C5C" w:rsidRPr="00560C8F">
        <w:t xml:space="preserve">. Such initiatives need to be scaled up and replicated. New integrated approaches would not mean that countries renounce efforts to develop and strengthen their national chemicals and waste management programmes. In fact, such programmes can support and feed into the </w:t>
      </w:r>
      <w:r w:rsidR="004D4A72" w:rsidRPr="00560C8F">
        <w:t>Sustainable Development Goals</w:t>
      </w:r>
      <w:r w:rsidR="00107C5C" w:rsidRPr="00560C8F">
        <w:t xml:space="preserve"> and sectoral implementation.</w:t>
      </w:r>
    </w:p>
    <w:p w:rsidR="00107C5C" w:rsidRPr="009D53FE" w:rsidRDefault="00107C5C"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The chemical industry is a key player in advancing innovation and providing safer chemicals to downstream users and markets</w:t>
      </w:r>
      <w:r w:rsidR="001F20A6">
        <w:t>, and i</w:t>
      </w:r>
      <w:r w:rsidRPr="00560C8F">
        <w:t>nnovative solutions may include a shift to provid</w:t>
      </w:r>
      <w:r w:rsidR="007F4456">
        <w:t>ing</w:t>
      </w:r>
      <w:r w:rsidRPr="00560C8F">
        <w:t xml:space="preserve"> broader services</w:t>
      </w:r>
      <w:r w:rsidR="00D209DD" w:rsidRPr="00560C8F">
        <w:t xml:space="preserve">, such as </w:t>
      </w:r>
      <w:r w:rsidRPr="00560C8F">
        <w:t xml:space="preserve">chemical leasing. </w:t>
      </w:r>
      <w:r w:rsidR="00BD3138" w:rsidRPr="00560C8F">
        <w:t>Following a holistic approach, sustainable chemistry can make a</w:t>
      </w:r>
      <w:r w:rsidR="001F20A6">
        <w:t xml:space="preserve"> major </w:t>
      </w:r>
      <w:r w:rsidR="00BD3138" w:rsidRPr="00560C8F">
        <w:t xml:space="preserve">contribution to </w:t>
      </w:r>
      <w:r w:rsidR="00A35975" w:rsidRPr="00560C8F">
        <w:t>sound management of chemicals and waste</w:t>
      </w:r>
      <w:r w:rsidR="00BD3138" w:rsidRPr="00560C8F">
        <w:t xml:space="preserve"> </w:t>
      </w:r>
      <w:r w:rsidR="00D209DD" w:rsidRPr="00560C8F">
        <w:t xml:space="preserve">and </w:t>
      </w:r>
      <w:r w:rsidR="00BD3138" w:rsidRPr="00560C8F">
        <w:t xml:space="preserve">the achievement of </w:t>
      </w:r>
      <w:r w:rsidR="00D209DD" w:rsidRPr="00560C8F">
        <w:t xml:space="preserve">the </w:t>
      </w:r>
      <w:r w:rsidR="004D4A72" w:rsidRPr="00560C8F">
        <w:t>Goals</w:t>
      </w:r>
      <w:r w:rsidR="00BD3138" w:rsidRPr="00560C8F">
        <w:t xml:space="preserve">. </w:t>
      </w:r>
      <w:r w:rsidR="001F20A6">
        <w:t>As</w:t>
      </w:r>
      <w:r w:rsidR="001F20A6" w:rsidRPr="00560C8F">
        <w:t xml:space="preserve"> a major user of chemicals</w:t>
      </w:r>
      <w:r w:rsidR="001F20A6">
        <w:t>, the d</w:t>
      </w:r>
      <w:r w:rsidRPr="00560C8F">
        <w:t xml:space="preserve">ownstream industry is equally important given its closeness to the market and </w:t>
      </w:r>
      <w:r w:rsidR="001F20A6">
        <w:t xml:space="preserve">its major </w:t>
      </w:r>
      <w:r w:rsidRPr="00560C8F">
        <w:t xml:space="preserve">role in creating demand for cleaner products. Both </w:t>
      </w:r>
      <w:r w:rsidR="001F20A6">
        <w:t xml:space="preserve">industries </w:t>
      </w:r>
      <w:r w:rsidRPr="00560C8F">
        <w:t xml:space="preserve">need to be included in international </w:t>
      </w:r>
      <w:r w:rsidR="00F91F97" w:rsidRPr="00560C8F">
        <w:t xml:space="preserve">and national </w:t>
      </w:r>
      <w:r w:rsidRPr="00560C8F">
        <w:t>dialogues and</w:t>
      </w:r>
      <w:r w:rsidR="009742C3" w:rsidRPr="00560C8F">
        <w:t xml:space="preserve"> initiatives. Changes in consumer behaviour, including through incentive structures, can </w:t>
      </w:r>
      <w:r w:rsidR="00F91F97" w:rsidRPr="00560C8F">
        <w:t xml:space="preserve">also </w:t>
      </w:r>
      <w:r w:rsidR="009742C3" w:rsidRPr="00560C8F">
        <w:t xml:space="preserve">be an important driver of change towards </w:t>
      </w:r>
      <w:r w:rsidR="00A35975" w:rsidRPr="00560C8F">
        <w:t xml:space="preserve">sound management of </w:t>
      </w:r>
      <w:r w:rsidR="00A35975" w:rsidRPr="00560C8F">
        <w:lastRenderedPageBreak/>
        <w:t>chemicals and waste</w:t>
      </w:r>
      <w:r w:rsidR="009742C3" w:rsidRPr="00560C8F">
        <w:t xml:space="preserve">, in particular by minimizing waste generation and reducing the demand for products </w:t>
      </w:r>
      <w:r w:rsidR="009742C3" w:rsidRPr="00974228">
        <w:t>containing toxic chemicals</w:t>
      </w:r>
      <w:r w:rsidRPr="00974228">
        <w:t>.</w:t>
      </w:r>
    </w:p>
    <w:p w:rsidR="00107C5C" w:rsidRPr="00560C8F" w:rsidRDefault="00915D7C" w:rsidP="00915D7C">
      <w:pPr>
        <w:pStyle w:val="CH3"/>
      </w:pPr>
      <w:r w:rsidRPr="009D53FE">
        <w:tab/>
        <w:t>6.</w:t>
      </w:r>
      <w:r w:rsidRPr="009D53FE">
        <w:tab/>
      </w:r>
      <w:r w:rsidR="00107C5C" w:rsidRPr="009D53FE">
        <w:t xml:space="preserve">Communication and </w:t>
      </w:r>
      <w:r w:rsidR="00050669" w:rsidRPr="009D53FE">
        <w:t>k</w:t>
      </w:r>
      <w:r w:rsidR="00107C5C" w:rsidRPr="009D53FE">
        <w:t>nowledge</w:t>
      </w:r>
      <w:r w:rsidR="007F4456" w:rsidRPr="009E51C2">
        <w:t>-</w:t>
      </w:r>
      <w:r w:rsidR="00050669" w:rsidRPr="009D53FE">
        <w:t>s</w:t>
      </w:r>
      <w:r w:rsidR="00107C5C" w:rsidRPr="009D53FE">
        <w:t>haring</w:t>
      </w:r>
    </w:p>
    <w:p w:rsidR="00107C5C" w:rsidRPr="00974228" w:rsidRDefault="00107C5C"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B64A6A">
        <w:t xml:space="preserve">There is broad recognition of the importance of better communicating chemicals and waste issues to decision makers and change agents </w:t>
      </w:r>
      <w:r w:rsidRPr="00C90F0B">
        <w:t xml:space="preserve">at the international and national levels. </w:t>
      </w:r>
      <w:r w:rsidR="001F20A6" w:rsidRPr="00974228">
        <w:t>There is a need to develop a</w:t>
      </w:r>
      <w:r w:rsidRPr="00385B09">
        <w:t xml:space="preserve">n overarching communication strategy for chemicals and waste with a new narrative </w:t>
      </w:r>
      <w:r w:rsidR="001F20A6" w:rsidRPr="009E51C2">
        <w:t xml:space="preserve">relating </w:t>
      </w:r>
      <w:r w:rsidRPr="00B64A6A">
        <w:t xml:space="preserve">to the </w:t>
      </w:r>
      <w:r w:rsidR="004D4A72" w:rsidRPr="00B64A6A">
        <w:t>Sustainable Development Goals</w:t>
      </w:r>
      <w:r w:rsidRPr="00B64A6A">
        <w:t xml:space="preserve"> and </w:t>
      </w:r>
      <w:r w:rsidR="001F20A6" w:rsidRPr="009E51C2">
        <w:t xml:space="preserve">that speaks to </w:t>
      </w:r>
      <w:r w:rsidRPr="00B64A6A">
        <w:t>those who are not engaged in technical chemicals and waste issues</w:t>
      </w:r>
      <w:r w:rsidRPr="00C90F0B">
        <w:t xml:space="preserve">. </w:t>
      </w:r>
    </w:p>
    <w:p w:rsidR="00107C5C" w:rsidRPr="00560C8F" w:rsidRDefault="00107C5C"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A knowledge-sharing process is needed</w:t>
      </w:r>
      <w:r w:rsidR="00BE2F73" w:rsidRPr="00560C8F">
        <w:t>,</w:t>
      </w:r>
      <w:r w:rsidRPr="00560C8F">
        <w:t xml:space="preserve"> </w:t>
      </w:r>
      <w:r w:rsidR="008A395B" w:rsidRPr="00560C8F">
        <w:t>including</w:t>
      </w:r>
      <w:r w:rsidRPr="00560C8F">
        <w:t xml:space="preserve"> on the use of economic instruments, institutional strengthening</w:t>
      </w:r>
      <w:r w:rsidR="00C56059">
        <w:t>,</w:t>
      </w:r>
      <w:r w:rsidRPr="00560C8F">
        <w:t xml:space="preserve"> and mainstreaming of </w:t>
      </w:r>
      <w:r w:rsidR="00A35975" w:rsidRPr="00560C8F">
        <w:t>sound management of chemicals and waste</w:t>
      </w:r>
      <w:r w:rsidRPr="00560C8F">
        <w:t xml:space="preserve"> into national development agendas. Available information and tools relevant for </w:t>
      </w:r>
      <w:r w:rsidR="00C56059">
        <w:t xml:space="preserve">the </w:t>
      </w:r>
      <w:r w:rsidR="00A35975" w:rsidRPr="00560C8F">
        <w:t>sound management of chemicals and waste</w:t>
      </w:r>
      <w:r w:rsidRPr="00560C8F">
        <w:t xml:space="preserve"> should be consolidated and communicated effectively, ensuring that it is readable and usable </w:t>
      </w:r>
      <w:r w:rsidR="008A395B" w:rsidRPr="00560C8F">
        <w:t xml:space="preserve">by </w:t>
      </w:r>
      <w:r w:rsidRPr="00560C8F">
        <w:t>the target audience.</w:t>
      </w:r>
    </w:p>
    <w:p w:rsidR="00107C5C" w:rsidRPr="00560C8F" w:rsidRDefault="00915D7C" w:rsidP="00915D7C">
      <w:pPr>
        <w:pStyle w:val="CH3"/>
      </w:pPr>
      <w:r w:rsidRPr="00560C8F">
        <w:tab/>
        <w:t>7.</w:t>
      </w:r>
      <w:r w:rsidRPr="00560C8F">
        <w:tab/>
      </w:r>
      <w:r w:rsidR="00107C5C" w:rsidRPr="00560C8F">
        <w:t>Adj</w:t>
      </w:r>
      <w:r w:rsidR="00050669" w:rsidRPr="00560C8F">
        <w:t>usting p</w:t>
      </w:r>
      <w:r w:rsidR="00107C5C" w:rsidRPr="00560C8F">
        <w:t xml:space="preserve">artnerships and </w:t>
      </w:r>
      <w:r w:rsidR="00050669" w:rsidRPr="00560C8F">
        <w:t>d</w:t>
      </w:r>
      <w:r w:rsidR="00107C5C" w:rsidRPr="00560C8F">
        <w:t xml:space="preserve">evelopment </w:t>
      </w:r>
      <w:r w:rsidR="00050669" w:rsidRPr="00560C8F">
        <w:t>c</w:t>
      </w:r>
      <w:r w:rsidR="00107C5C" w:rsidRPr="00560C8F">
        <w:t>ooperation</w:t>
      </w:r>
    </w:p>
    <w:p w:rsidR="00944CDA" w:rsidRPr="00560C8F" w:rsidRDefault="00944CDA"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A</w:t>
      </w:r>
      <w:r w:rsidR="00107C5C" w:rsidRPr="00560C8F">
        <w:t xml:space="preserve"> </w:t>
      </w:r>
      <w:r w:rsidRPr="00560C8F">
        <w:t xml:space="preserve">number of development partners are shifting their resource allocation towards more integrated approaches and solutions with environmental, economic and social benefits. </w:t>
      </w:r>
      <w:r w:rsidR="008A395B" w:rsidRPr="00560C8F">
        <w:t>I</w:t>
      </w:r>
      <w:r w:rsidR="00A35975" w:rsidRPr="00560C8F">
        <w:t>ntergovernmental organizations</w:t>
      </w:r>
      <w:r w:rsidRPr="00560C8F">
        <w:t xml:space="preserve"> are responding by mainstreaming the </w:t>
      </w:r>
      <w:r w:rsidR="004D4A72" w:rsidRPr="00560C8F">
        <w:t>Goals</w:t>
      </w:r>
      <w:r w:rsidRPr="00560C8F">
        <w:t xml:space="preserve"> into their programme of work, thereby including key elements of </w:t>
      </w:r>
      <w:r w:rsidR="00A35975" w:rsidRPr="00560C8F">
        <w:t>sound management of chemicals and waste</w:t>
      </w:r>
      <w:r w:rsidRPr="00560C8F">
        <w:t xml:space="preserve">. This requires </w:t>
      </w:r>
      <w:r w:rsidR="00BD3138" w:rsidRPr="00560C8F">
        <w:t xml:space="preserve">programmes and </w:t>
      </w:r>
      <w:r w:rsidRPr="00560C8F">
        <w:t xml:space="preserve">projects </w:t>
      </w:r>
      <w:r w:rsidR="008A395B" w:rsidRPr="00560C8F">
        <w:t xml:space="preserve">to be designed </w:t>
      </w:r>
      <w:r w:rsidRPr="00560C8F">
        <w:t>in a more holistic manner, taking into account all dimensions of sustainable development.</w:t>
      </w:r>
    </w:p>
    <w:p w:rsidR="00107C5C" w:rsidRPr="00560C8F" w:rsidRDefault="00B2193E"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The </w:t>
      </w:r>
      <w:r w:rsidR="004D4A72" w:rsidRPr="00560C8F">
        <w:t>Goals</w:t>
      </w:r>
      <w:r w:rsidR="00107C5C" w:rsidRPr="00560C8F">
        <w:t xml:space="preserve"> provide an opportunity to focus and guide development work in the area of </w:t>
      </w:r>
      <w:r w:rsidR="00A35975" w:rsidRPr="00560C8F">
        <w:t>sound management of chemicals and waste</w:t>
      </w:r>
      <w:r w:rsidR="00107C5C" w:rsidRPr="00560C8F">
        <w:t xml:space="preserve">. The broader scope of the </w:t>
      </w:r>
      <w:r w:rsidR="004D4A72" w:rsidRPr="00560C8F">
        <w:t>Goals</w:t>
      </w:r>
      <w:r w:rsidR="00107C5C" w:rsidRPr="00560C8F">
        <w:t xml:space="preserve"> offers an opportunity to address the root causes beyond chemicals and waste issues, considering social, economic and financial aspects of development, and to set a higher level of ambition.</w:t>
      </w:r>
    </w:p>
    <w:p w:rsidR="00107C5C" w:rsidRPr="00385B09" w:rsidRDefault="00107C5C"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C07BFF">
        <w:t>Partnerships are essential to achiev</w:t>
      </w:r>
      <w:r w:rsidR="008A395B" w:rsidRPr="00C07BFF">
        <w:t>ing</w:t>
      </w:r>
      <w:r w:rsidRPr="00C10007">
        <w:t xml:space="preserve"> </w:t>
      </w:r>
      <w:r w:rsidR="004E20A1" w:rsidRPr="009E51C2">
        <w:t>the Goals</w:t>
      </w:r>
      <w:r w:rsidR="004E20A1" w:rsidRPr="009E51C2" w:rsidDel="00A35975">
        <w:t xml:space="preserve"> </w:t>
      </w:r>
      <w:r w:rsidR="004E20A1" w:rsidRPr="009E51C2">
        <w:t xml:space="preserve">and the </w:t>
      </w:r>
      <w:r w:rsidR="00A35975" w:rsidRPr="00C07BFF">
        <w:t>sound management of chemicals and waste</w:t>
      </w:r>
      <w:r w:rsidRPr="00B64A6A">
        <w:t>.</w:t>
      </w:r>
      <w:r w:rsidR="00FA20BA" w:rsidRPr="009E51C2">
        <w:t xml:space="preserve"> </w:t>
      </w:r>
      <w:r w:rsidRPr="00C07BFF">
        <w:t>In securing a critical mass, open and broad multisectoral and multi-stakeholder approaches at all levels are es</w:t>
      </w:r>
      <w:r w:rsidRPr="00B64A6A">
        <w:t xml:space="preserve">sential and will stimulate participation. </w:t>
      </w:r>
      <w:r w:rsidR="00FA20BA" w:rsidRPr="00153378">
        <w:t>Partnerships should complement and reinforce a robust regulatory framework, rather than serving as an alternative. They can help to implement relevant obligations but cannot shift relevant responsibilities</w:t>
      </w:r>
      <w:r w:rsidR="008A395B" w:rsidRPr="00C36705">
        <w:t>, and t</w:t>
      </w:r>
      <w:r w:rsidR="00FA20BA" w:rsidRPr="00974228">
        <w:t xml:space="preserve">hey are most effective if they have clearly defined goals and transparent operations. </w:t>
      </w:r>
      <w:r w:rsidRPr="00974228">
        <w:t>Actors across the value chain should be included.</w:t>
      </w:r>
    </w:p>
    <w:p w:rsidR="00972A75" w:rsidRPr="00560C8F" w:rsidRDefault="00915D7C" w:rsidP="00915D7C">
      <w:pPr>
        <w:pStyle w:val="CH2"/>
      </w:pPr>
      <w:r w:rsidRPr="00560C8F">
        <w:tab/>
        <w:t>C.</w:t>
      </w:r>
      <w:r w:rsidRPr="00560C8F">
        <w:tab/>
      </w:r>
      <w:r w:rsidR="00107C5C" w:rsidRPr="00560C8F">
        <w:t xml:space="preserve">Conclusion and </w:t>
      </w:r>
      <w:r w:rsidR="008A395B" w:rsidRPr="00560C8F">
        <w:t>f</w:t>
      </w:r>
      <w:r w:rsidR="00107C5C" w:rsidRPr="00560C8F">
        <w:t>ollow</w:t>
      </w:r>
      <w:r w:rsidR="00050669" w:rsidRPr="00560C8F">
        <w:t>-</w:t>
      </w:r>
      <w:r w:rsidR="00107C5C" w:rsidRPr="00560C8F">
        <w:t>up</w:t>
      </w:r>
    </w:p>
    <w:p w:rsidR="00107C5C" w:rsidRPr="00560C8F" w:rsidRDefault="00107C5C"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UNEP plans to use the momentum generated by the workshop to work with partners </w:t>
      </w:r>
      <w:r w:rsidR="00944CDA" w:rsidRPr="00560C8F">
        <w:t xml:space="preserve">in considering and </w:t>
      </w:r>
      <w:r w:rsidRPr="00560C8F">
        <w:t>implement</w:t>
      </w:r>
      <w:r w:rsidR="00944CDA" w:rsidRPr="00560C8F">
        <w:t xml:space="preserve">ing </w:t>
      </w:r>
      <w:r w:rsidRPr="00560C8F">
        <w:t>follow-up activities.</w:t>
      </w:r>
      <w:r w:rsidR="005A635C" w:rsidRPr="00560C8F">
        <w:t xml:space="preserve"> </w:t>
      </w:r>
      <w:r w:rsidR="00944CDA" w:rsidRPr="00560C8F">
        <w:t xml:space="preserve">Specifically, </w:t>
      </w:r>
      <w:r w:rsidRPr="00560C8F">
        <w:t>opportunities for knowled</w:t>
      </w:r>
      <w:r w:rsidR="005A635C" w:rsidRPr="00560C8F">
        <w:t xml:space="preserve">ge </w:t>
      </w:r>
      <w:r w:rsidR="00050669" w:rsidRPr="00560C8F">
        <w:t xml:space="preserve">creation, </w:t>
      </w:r>
      <w:r w:rsidR="005A635C" w:rsidRPr="00560C8F">
        <w:t>exchange and management will be explored</w:t>
      </w:r>
      <w:r w:rsidRPr="00560C8F">
        <w:t xml:space="preserve">, starting with a collection of innovative approaches </w:t>
      </w:r>
      <w:r w:rsidR="00050669" w:rsidRPr="00560C8F">
        <w:t xml:space="preserve">undertaken by countries and stakeholders </w:t>
      </w:r>
      <w:r w:rsidR="00FA20BA" w:rsidRPr="00560C8F">
        <w:t>that demonstrate integrated</w:t>
      </w:r>
      <w:r w:rsidRPr="00560C8F">
        <w:t xml:space="preserve"> </w:t>
      </w:r>
      <w:r w:rsidR="00FA20BA" w:rsidRPr="00560C8F">
        <w:t>approaches</w:t>
      </w:r>
      <w:r w:rsidR="00050669" w:rsidRPr="00560C8F">
        <w:t xml:space="preserve"> of </w:t>
      </w:r>
      <w:r w:rsidR="00A35975" w:rsidRPr="00560C8F">
        <w:t>sound management of chemicals and waste</w:t>
      </w:r>
      <w:r w:rsidR="00050669" w:rsidRPr="00560C8F">
        <w:t xml:space="preserve"> in a sustainable development context</w:t>
      </w:r>
      <w:r w:rsidRPr="00560C8F">
        <w:t xml:space="preserve">. </w:t>
      </w:r>
      <w:r w:rsidR="00944CDA" w:rsidRPr="00560C8F">
        <w:t xml:space="preserve">In addition, </w:t>
      </w:r>
      <w:r w:rsidR="005A635C" w:rsidRPr="00560C8F">
        <w:t>opportuni</w:t>
      </w:r>
      <w:r w:rsidR="00FA20BA" w:rsidRPr="00560C8F">
        <w:t>ti</w:t>
      </w:r>
      <w:r w:rsidR="005A635C" w:rsidRPr="00560C8F">
        <w:t xml:space="preserve">es exist to hold </w:t>
      </w:r>
      <w:r w:rsidR="00050669" w:rsidRPr="00560C8F">
        <w:t xml:space="preserve">more </w:t>
      </w:r>
      <w:r w:rsidR="005A635C" w:rsidRPr="00560C8F">
        <w:t xml:space="preserve">specific </w:t>
      </w:r>
      <w:r w:rsidRPr="00560C8F">
        <w:t xml:space="preserve">workshops and </w:t>
      </w:r>
      <w:r w:rsidR="005A635C" w:rsidRPr="00560C8F">
        <w:t xml:space="preserve">initiate </w:t>
      </w:r>
      <w:r w:rsidRPr="00560C8F">
        <w:t>pilot project</w:t>
      </w:r>
      <w:r w:rsidR="00E805C9" w:rsidRPr="00560C8F">
        <w:t>s</w:t>
      </w:r>
      <w:r w:rsidRPr="00560C8F">
        <w:t xml:space="preserve"> with interested regions and countries to c</w:t>
      </w:r>
      <w:r w:rsidR="00050669" w:rsidRPr="00560C8F">
        <w:t>apture, c</w:t>
      </w:r>
      <w:r w:rsidRPr="00560C8F">
        <w:t>atalyse</w:t>
      </w:r>
      <w:r w:rsidR="00050669" w:rsidRPr="00560C8F">
        <w:t xml:space="preserve"> and share </w:t>
      </w:r>
      <w:r w:rsidRPr="00560C8F">
        <w:t>innovative action.</w:t>
      </w:r>
      <w:r w:rsidR="00944CDA" w:rsidRPr="00560C8F">
        <w:t xml:space="preserve"> </w:t>
      </w:r>
      <w:r w:rsidR="008A395B" w:rsidRPr="00560C8F">
        <w:t xml:space="preserve">With regard to </w:t>
      </w:r>
      <w:r w:rsidR="00944CDA" w:rsidRPr="00560C8F">
        <w:t>communication, development of factsheets exploring the linkages between each G</w:t>
      </w:r>
      <w:r w:rsidR="000F4B30" w:rsidRPr="00560C8F">
        <w:t>oal</w:t>
      </w:r>
      <w:r w:rsidR="00944CDA" w:rsidRPr="00560C8F">
        <w:t xml:space="preserve"> and chemicals and waste will be initiated.</w:t>
      </w:r>
    </w:p>
    <w:p w:rsidR="00E2216B" w:rsidRPr="00560C8F" w:rsidRDefault="00915D7C" w:rsidP="00915D7C">
      <w:pPr>
        <w:pStyle w:val="CH1"/>
        <w:rPr>
          <w:sz w:val="32"/>
          <w:szCs w:val="32"/>
        </w:rPr>
      </w:pPr>
      <w:r w:rsidRPr="00560C8F">
        <w:tab/>
      </w:r>
      <w:r w:rsidR="00972A75" w:rsidRPr="00560C8F">
        <w:t>IV.</w:t>
      </w:r>
      <w:r w:rsidR="00972A75" w:rsidRPr="00560C8F">
        <w:tab/>
      </w:r>
      <w:r w:rsidR="00E2216B" w:rsidRPr="00560C8F">
        <w:t xml:space="preserve">Consultative </w:t>
      </w:r>
      <w:r w:rsidR="001E31D9">
        <w:t>me</w:t>
      </w:r>
      <w:r w:rsidR="001E31D9" w:rsidRPr="00560C8F">
        <w:t xml:space="preserve">eting </w:t>
      </w:r>
      <w:r w:rsidR="00E2216B" w:rsidRPr="00560C8F">
        <w:t xml:space="preserve">for the </w:t>
      </w:r>
      <w:r w:rsidR="001E31D9">
        <w:t>p</w:t>
      </w:r>
      <w:r w:rsidR="00E2216B" w:rsidRPr="00560C8F">
        <w:t xml:space="preserve">reparation of the </w:t>
      </w:r>
      <w:r w:rsidR="001E31D9">
        <w:t xml:space="preserve">second edition of </w:t>
      </w:r>
      <w:r w:rsidR="00E2216B" w:rsidRPr="009E51C2">
        <w:rPr>
          <w:i/>
        </w:rPr>
        <w:t>Global Chemicals Outlook</w:t>
      </w:r>
      <w:r w:rsidR="0049579A">
        <w:t xml:space="preserve"> –</w:t>
      </w:r>
      <w:r w:rsidR="00E2216B" w:rsidRPr="00560C8F">
        <w:t xml:space="preserve"> </w:t>
      </w:r>
      <w:r w:rsidR="001E31D9">
        <w:t>t</w:t>
      </w:r>
      <w:r w:rsidR="00E2216B" w:rsidRPr="00560C8F">
        <w:t xml:space="preserve">aking </w:t>
      </w:r>
      <w:r w:rsidR="001E31D9">
        <w:t>s</w:t>
      </w:r>
      <w:r w:rsidR="00E2216B" w:rsidRPr="00560C8F">
        <w:t xml:space="preserve">tock and </w:t>
      </w:r>
      <w:r w:rsidR="001E31D9">
        <w:t>e</w:t>
      </w:r>
      <w:r w:rsidR="00E2216B" w:rsidRPr="00560C8F">
        <w:t xml:space="preserve">xploring the </w:t>
      </w:r>
      <w:r w:rsidR="001E31D9">
        <w:t>f</w:t>
      </w:r>
      <w:r w:rsidR="00E2216B" w:rsidRPr="00560C8F">
        <w:t xml:space="preserve">uture of </w:t>
      </w:r>
      <w:r w:rsidR="001E31D9">
        <w:t>c</w:t>
      </w:r>
      <w:r w:rsidR="00E2216B" w:rsidRPr="00560C8F">
        <w:t xml:space="preserve">hemicals </w:t>
      </w:r>
      <w:r w:rsidR="001E31D9">
        <w:t>m</w:t>
      </w:r>
      <w:r w:rsidR="00E2216B" w:rsidRPr="00560C8F">
        <w:t xml:space="preserve">anagement in a </w:t>
      </w:r>
      <w:r w:rsidR="001E31D9">
        <w:t>s</w:t>
      </w:r>
      <w:r w:rsidR="00E2216B" w:rsidRPr="00560C8F">
        <w:t xml:space="preserve">ustainable </w:t>
      </w:r>
      <w:r w:rsidR="001E31D9">
        <w:t>d</w:t>
      </w:r>
      <w:r w:rsidR="00E2216B" w:rsidRPr="00560C8F">
        <w:t xml:space="preserve">evelopment </w:t>
      </w:r>
      <w:r w:rsidR="001E31D9">
        <w:t>c</w:t>
      </w:r>
      <w:r w:rsidR="00E2216B" w:rsidRPr="00560C8F">
        <w:t>ontext</w:t>
      </w:r>
    </w:p>
    <w:p w:rsidR="00E2216B" w:rsidRPr="00560C8F" w:rsidRDefault="00915D7C" w:rsidP="00915D7C">
      <w:pPr>
        <w:pStyle w:val="CH2"/>
        <w:rPr>
          <w:sz w:val="28"/>
          <w:szCs w:val="28"/>
        </w:rPr>
      </w:pPr>
      <w:r w:rsidRPr="00560C8F">
        <w:tab/>
        <w:t>A.</w:t>
      </w:r>
      <w:r w:rsidRPr="00560C8F">
        <w:tab/>
      </w:r>
      <w:r w:rsidR="00E2216B" w:rsidRPr="00560C8F">
        <w:t xml:space="preserve">Introduction and </w:t>
      </w:r>
      <w:r w:rsidR="0032171C" w:rsidRPr="00560C8F">
        <w:t>background</w:t>
      </w:r>
    </w:p>
    <w:p w:rsidR="00CF52E9" w:rsidRPr="009E51C2" w:rsidRDefault="00FA20BA"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The </w:t>
      </w:r>
      <w:r w:rsidR="0032171C" w:rsidRPr="00560C8F">
        <w:t xml:space="preserve">first edition of </w:t>
      </w:r>
      <w:r w:rsidRPr="009E51C2">
        <w:rPr>
          <w:i/>
        </w:rPr>
        <w:t>Global</w:t>
      </w:r>
      <w:r w:rsidR="00CF52E9" w:rsidRPr="009E51C2">
        <w:rPr>
          <w:i/>
        </w:rPr>
        <w:t xml:space="preserve"> Chemicals Outlook</w:t>
      </w:r>
      <w:r w:rsidR="00CF52E9" w:rsidRPr="00560C8F">
        <w:t xml:space="preserve"> was published in February 2013 as the first comprehensive global overview of issues and challenges related to the sound management of chemicals. It assessed the status of health, environmental, economic and institutional factors related to the production, use and disposal of chemicals, with a focus on issues relevant to developing countries and countries with economies in transition.</w:t>
      </w:r>
      <w:r w:rsidR="00977575" w:rsidRPr="00560C8F">
        <w:t xml:space="preserve"> </w:t>
      </w:r>
    </w:p>
    <w:p w:rsidR="00CF52E9" w:rsidRPr="00560C8F" w:rsidRDefault="00CF52E9"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The twenty-seventh session of the Governing Council/Global Ministerial Environment Forum</w:t>
      </w:r>
      <w:r w:rsidR="0032171C" w:rsidRPr="00560C8F">
        <w:t>,</w:t>
      </w:r>
      <w:r w:rsidRPr="00560C8F">
        <w:t xml:space="preserve"> held in Nairobi</w:t>
      </w:r>
      <w:r w:rsidR="0032171C" w:rsidRPr="00560C8F">
        <w:t xml:space="preserve"> from</w:t>
      </w:r>
      <w:r w:rsidRPr="00560C8F">
        <w:t xml:space="preserve"> 18</w:t>
      </w:r>
      <w:r w:rsidR="0032171C" w:rsidRPr="00560C8F">
        <w:t xml:space="preserve"> to </w:t>
      </w:r>
      <w:r w:rsidRPr="00560C8F">
        <w:t xml:space="preserve">22 February 2013, recognized the significance of the findings </w:t>
      </w:r>
      <w:r w:rsidR="008B4BC2" w:rsidRPr="00560C8F">
        <w:t xml:space="preserve">and recommendations </w:t>
      </w:r>
      <w:r w:rsidRPr="00560C8F">
        <w:t xml:space="preserve">of </w:t>
      </w:r>
      <w:r w:rsidR="00C10007">
        <w:t xml:space="preserve">the </w:t>
      </w:r>
      <w:r w:rsidR="0032171C" w:rsidRPr="009E51C2">
        <w:rPr>
          <w:i/>
        </w:rPr>
        <w:t>Global Chemicals Outlook</w:t>
      </w:r>
      <w:r w:rsidRPr="00560C8F">
        <w:t>.</w:t>
      </w:r>
      <w:r w:rsidR="00977575" w:rsidRPr="00560C8F">
        <w:t xml:space="preserve"> </w:t>
      </w:r>
      <w:r w:rsidRPr="00560C8F">
        <w:t xml:space="preserve">The Governing Council requested UNEP to continue its work on </w:t>
      </w:r>
      <w:r w:rsidR="00C10007">
        <w:t>the report</w:t>
      </w:r>
      <w:r w:rsidRPr="00560C8F">
        <w:t>, particularly in areas where data were found to be lacking or inadequate, and to enhance transparency through regionally balanced stakeholder involvement</w:t>
      </w:r>
      <w:r w:rsidR="0032171C" w:rsidRPr="00560C8F">
        <w:t xml:space="preserve"> </w:t>
      </w:r>
      <w:r w:rsidRPr="00560C8F">
        <w:t xml:space="preserve">with a view to developing a tool for assessing progress towards the achievement of the sound management of </w:t>
      </w:r>
      <w:r w:rsidRPr="00560C8F">
        <w:lastRenderedPageBreak/>
        <w:t>chemicals and hazardous waste, including the existing 2020 goal, taking into account and building on other existing information.</w:t>
      </w:r>
    </w:p>
    <w:p w:rsidR="00CF52E9" w:rsidRPr="00560C8F" w:rsidRDefault="00CF52E9"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In response to the request</w:t>
      </w:r>
      <w:r w:rsidR="00C10007" w:rsidRPr="00C10007">
        <w:t xml:space="preserve"> </w:t>
      </w:r>
      <w:r w:rsidR="00C10007">
        <w:t xml:space="preserve">of the </w:t>
      </w:r>
      <w:r w:rsidR="00C10007" w:rsidRPr="00560C8F">
        <w:t>Governing Council</w:t>
      </w:r>
      <w:r w:rsidRPr="00560C8F">
        <w:t xml:space="preserve">, UNEP has </w:t>
      </w:r>
      <w:r w:rsidR="00A75C13">
        <w:t>begun</w:t>
      </w:r>
      <w:r w:rsidRPr="00560C8F">
        <w:t xml:space="preserve"> work on </w:t>
      </w:r>
      <w:r w:rsidR="0032171C" w:rsidRPr="00560C8F">
        <w:t xml:space="preserve">the second edition of </w:t>
      </w:r>
      <w:r w:rsidR="0032171C" w:rsidRPr="009E51C2">
        <w:rPr>
          <w:i/>
        </w:rPr>
        <w:t>Global Chemicals Outlook</w:t>
      </w:r>
      <w:r w:rsidR="00B2193E" w:rsidRPr="00560C8F">
        <w:t>.</w:t>
      </w:r>
      <w:r w:rsidR="00E805C9" w:rsidRPr="00560C8F">
        <w:t xml:space="preserve"> As</w:t>
      </w:r>
      <w:r w:rsidR="006724B4" w:rsidRPr="00560C8F">
        <w:t xml:space="preserve"> </w:t>
      </w:r>
      <w:r w:rsidRPr="00560C8F">
        <w:t xml:space="preserve">a first step, </w:t>
      </w:r>
      <w:r w:rsidR="00E805C9" w:rsidRPr="00560C8F">
        <w:t xml:space="preserve">UNEP </w:t>
      </w:r>
      <w:r w:rsidRPr="00560C8F">
        <w:t xml:space="preserve">convened a consultative meeting, held </w:t>
      </w:r>
      <w:r w:rsidR="0032171C" w:rsidRPr="00560C8F">
        <w:t xml:space="preserve">in Geneva </w:t>
      </w:r>
      <w:r w:rsidRPr="00560C8F">
        <w:t>on 13</w:t>
      </w:r>
      <w:r w:rsidR="0032171C" w:rsidRPr="00560C8F">
        <w:t xml:space="preserve"> and </w:t>
      </w:r>
      <w:r w:rsidRPr="00560C8F">
        <w:t xml:space="preserve">14 April 2016, to discuss and provide advice on the development of </w:t>
      </w:r>
      <w:r w:rsidR="0032171C" w:rsidRPr="00560C8F">
        <w:t>the second edition</w:t>
      </w:r>
      <w:r w:rsidRPr="00560C8F">
        <w:t xml:space="preserve">. The consultative meeting was regionally </w:t>
      </w:r>
      <w:r w:rsidRPr="00974228">
        <w:t>balanced and multisectora</w:t>
      </w:r>
      <w:r w:rsidRPr="009D53FE">
        <w:t>l and</w:t>
      </w:r>
      <w:r w:rsidRPr="00560C8F">
        <w:t xml:space="preserve"> </w:t>
      </w:r>
      <w:r w:rsidR="00A75C13">
        <w:t xml:space="preserve">was </w:t>
      </w:r>
      <w:r w:rsidRPr="00560C8F">
        <w:t xml:space="preserve">attended by experts from </w:t>
      </w:r>
      <w:r w:rsidR="00CE0585" w:rsidRPr="00560C8F">
        <w:t>G</w:t>
      </w:r>
      <w:r w:rsidRPr="00560C8F">
        <w:t xml:space="preserve">overnments, </w:t>
      </w:r>
      <w:r w:rsidR="00B2193E" w:rsidRPr="00560C8F">
        <w:t xml:space="preserve">intergovernmental </w:t>
      </w:r>
      <w:r w:rsidRPr="00560C8F">
        <w:t>organizations, the private sector, civil society organizations and academia.</w:t>
      </w:r>
      <w:r w:rsidR="00977575" w:rsidRPr="00560C8F">
        <w:t xml:space="preserve"> </w:t>
      </w:r>
      <w:r w:rsidRPr="00560C8F">
        <w:t>The meeting gathered some</w:t>
      </w:r>
      <w:r w:rsidR="00CE0585" w:rsidRPr="00560C8F">
        <w:t xml:space="preserve"> 70 participants, including 27 </w:t>
      </w:r>
      <w:r w:rsidR="00A75C13">
        <w:t xml:space="preserve">representatives of </w:t>
      </w:r>
      <w:r w:rsidR="00CE0585" w:rsidRPr="00560C8F">
        <w:t>G</w:t>
      </w:r>
      <w:r w:rsidRPr="00560C8F">
        <w:t xml:space="preserve">overnments (15 from developed </w:t>
      </w:r>
      <w:r w:rsidR="0032171C" w:rsidRPr="00560C8F">
        <w:t xml:space="preserve">countries </w:t>
      </w:r>
      <w:r w:rsidRPr="00560C8F">
        <w:t>and 12 from developing countries)</w:t>
      </w:r>
      <w:r w:rsidR="00B2193E" w:rsidRPr="00560C8F">
        <w:t>,</w:t>
      </w:r>
      <w:r w:rsidRPr="00560C8F">
        <w:t xml:space="preserve"> 25 representatives from the private sector and </w:t>
      </w:r>
      <w:r w:rsidR="00B2193E" w:rsidRPr="00560C8F">
        <w:t>non</w:t>
      </w:r>
      <w:r w:rsidRPr="00560C8F">
        <w:t>-</w:t>
      </w:r>
      <w:r w:rsidR="0032171C" w:rsidRPr="00560C8F">
        <w:t>g</w:t>
      </w:r>
      <w:r w:rsidRPr="00560C8F">
        <w:t xml:space="preserve">overnmental </w:t>
      </w:r>
      <w:r w:rsidR="0032171C" w:rsidRPr="00560C8F">
        <w:t>o</w:t>
      </w:r>
      <w:r w:rsidRPr="00560C8F">
        <w:t>rganizations</w:t>
      </w:r>
      <w:r w:rsidR="0032171C" w:rsidRPr="00560C8F">
        <w:t xml:space="preserve"> </w:t>
      </w:r>
      <w:r w:rsidRPr="00560C8F">
        <w:t xml:space="preserve">and 14 representatives </w:t>
      </w:r>
      <w:r w:rsidR="00474EB5">
        <w:t>of</w:t>
      </w:r>
      <w:r w:rsidRPr="00560C8F">
        <w:t xml:space="preserve"> </w:t>
      </w:r>
      <w:r w:rsidR="00A35975" w:rsidRPr="00560C8F">
        <w:t>intergovernmental organizations</w:t>
      </w:r>
      <w:r w:rsidRPr="00560C8F">
        <w:t xml:space="preserve">. </w:t>
      </w:r>
    </w:p>
    <w:p w:rsidR="00C91713" w:rsidRPr="00560C8F" w:rsidRDefault="00E805C9"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Specific objectives of the consultation included</w:t>
      </w:r>
      <w:r w:rsidR="00B2193E" w:rsidRPr="00560C8F">
        <w:t xml:space="preserve"> </w:t>
      </w:r>
      <w:r w:rsidRPr="00560C8F">
        <w:t>review</w:t>
      </w:r>
      <w:r w:rsidR="00BA1898">
        <w:t>ing</w:t>
      </w:r>
      <w:r w:rsidRPr="00560C8F">
        <w:t xml:space="preserve"> </w:t>
      </w:r>
      <w:r w:rsidR="0032171C" w:rsidRPr="00560C8F">
        <w:t xml:space="preserve">the </w:t>
      </w:r>
      <w:r w:rsidRPr="00560C8F">
        <w:t>trend</w:t>
      </w:r>
      <w:r w:rsidR="00B2193E" w:rsidRPr="00560C8F">
        <w:t>s</w:t>
      </w:r>
      <w:r w:rsidRPr="00560C8F">
        <w:t xml:space="preserve"> affecting international chemicals management </w:t>
      </w:r>
      <w:r w:rsidR="0032171C" w:rsidRPr="00560C8F">
        <w:t xml:space="preserve">that </w:t>
      </w:r>
      <w:r w:rsidR="00474EB5">
        <w:t>were</w:t>
      </w:r>
      <w:r w:rsidR="0032171C" w:rsidRPr="00560C8F">
        <w:t xml:space="preserve"> </w:t>
      </w:r>
      <w:r w:rsidRPr="00560C8F">
        <w:t xml:space="preserve">relevant for updating </w:t>
      </w:r>
      <w:r w:rsidR="0032171C" w:rsidRPr="00560C8F">
        <w:t xml:space="preserve">the first edition of </w:t>
      </w:r>
      <w:r w:rsidR="0032171C" w:rsidRPr="009E51C2">
        <w:rPr>
          <w:i/>
        </w:rPr>
        <w:t>Global Chemicals Outlook</w:t>
      </w:r>
      <w:r w:rsidRPr="00560C8F">
        <w:t>; identif</w:t>
      </w:r>
      <w:r w:rsidR="0032171C" w:rsidRPr="00560C8F">
        <w:t>y</w:t>
      </w:r>
      <w:r w:rsidR="00BA1898">
        <w:t>ing</w:t>
      </w:r>
      <w:r w:rsidRPr="00560C8F">
        <w:t xml:space="preserve"> topics relevant for chemicals management </w:t>
      </w:r>
      <w:r w:rsidR="00BD5CFA" w:rsidRPr="00560C8F">
        <w:t xml:space="preserve">until and </w:t>
      </w:r>
      <w:r w:rsidRPr="00560C8F">
        <w:t>beyond 20</w:t>
      </w:r>
      <w:r w:rsidR="00BD5CFA" w:rsidRPr="00560C8F">
        <w:t xml:space="preserve">20 </w:t>
      </w:r>
      <w:r w:rsidR="0032171C" w:rsidRPr="00560C8F">
        <w:t xml:space="preserve">and </w:t>
      </w:r>
      <w:r w:rsidR="00BD5CFA" w:rsidRPr="00560C8F">
        <w:t>merit</w:t>
      </w:r>
      <w:r w:rsidR="00474EB5">
        <w:t>ing</w:t>
      </w:r>
      <w:r w:rsidR="00BD5CFA" w:rsidRPr="00560C8F">
        <w:t xml:space="preserve"> thematic review; p</w:t>
      </w:r>
      <w:r w:rsidRPr="00560C8F">
        <w:t>rovid</w:t>
      </w:r>
      <w:r w:rsidR="00BA1898">
        <w:t>ing</w:t>
      </w:r>
      <w:r w:rsidRPr="00560C8F">
        <w:t xml:space="preserve"> input to the development of terms of reference for thematic review papers; advi</w:t>
      </w:r>
      <w:r w:rsidR="0032171C" w:rsidRPr="00560C8F">
        <w:t>s</w:t>
      </w:r>
      <w:r w:rsidR="00BA1898">
        <w:t>ing</w:t>
      </w:r>
      <w:r w:rsidRPr="00560C8F">
        <w:t xml:space="preserve"> on modalities and procedures for preparing the </w:t>
      </w:r>
      <w:r w:rsidR="0032171C" w:rsidRPr="00560C8F">
        <w:t>second edition,</w:t>
      </w:r>
      <w:r w:rsidRPr="00560C8F">
        <w:t xml:space="preserve"> including its regional dimension; and identify</w:t>
      </w:r>
      <w:r w:rsidR="00BA1898">
        <w:t>ing</w:t>
      </w:r>
      <w:r w:rsidRPr="00560C8F">
        <w:t xml:space="preserve"> linkages with</w:t>
      </w:r>
      <w:r w:rsidR="0032171C" w:rsidRPr="00560C8F">
        <w:t>,</w:t>
      </w:r>
      <w:r w:rsidRPr="00560C8F">
        <w:t xml:space="preserve"> and opportunities </w:t>
      </w:r>
      <w:r w:rsidR="00BD5CFA" w:rsidRPr="00560C8F">
        <w:t xml:space="preserve">to </w:t>
      </w:r>
      <w:r w:rsidRPr="00560C8F">
        <w:t>feed into</w:t>
      </w:r>
      <w:r w:rsidR="0032171C" w:rsidRPr="00560C8F">
        <w:t>,</w:t>
      </w:r>
      <w:r w:rsidRPr="00560C8F">
        <w:t xml:space="preserve"> the beyond</w:t>
      </w:r>
      <w:r w:rsidR="00C07BFF">
        <w:t>-</w:t>
      </w:r>
      <w:r w:rsidRPr="00560C8F">
        <w:t>2020</w:t>
      </w:r>
      <w:r w:rsidR="00C07BFF" w:rsidRPr="00C07BFF">
        <w:t xml:space="preserve"> </w:t>
      </w:r>
      <w:r w:rsidR="00C07BFF" w:rsidRPr="00560C8F">
        <w:t>process</w:t>
      </w:r>
      <w:r w:rsidR="00C07BFF" w:rsidRPr="00C07BFF">
        <w:t xml:space="preserve"> </w:t>
      </w:r>
      <w:r w:rsidR="00C07BFF">
        <w:t xml:space="preserve">of </w:t>
      </w:r>
      <w:r w:rsidR="00385B09">
        <w:t>SAICM</w:t>
      </w:r>
      <w:r w:rsidRPr="00560C8F">
        <w:t>.</w:t>
      </w:r>
    </w:p>
    <w:p w:rsidR="00CF52E9" w:rsidRPr="009E51C2" w:rsidRDefault="00CF52E9"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The meeting was organized around </w:t>
      </w:r>
      <w:r w:rsidR="007227B9" w:rsidRPr="00560C8F">
        <w:t xml:space="preserve">five </w:t>
      </w:r>
      <w:r w:rsidRPr="00560C8F">
        <w:t xml:space="preserve">sessions. Session 1 introduced the proposed objectives of </w:t>
      </w:r>
      <w:r w:rsidR="007227B9" w:rsidRPr="00560C8F">
        <w:t xml:space="preserve">the second edition of </w:t>
      </w:r>
      <w:r w:rsidR="007227B9" w:rsidRPr="009E51C2">
        <w:rPr>
          <w:i/>
        </w:rPr>
        <w:t>Global Chemicals Outlook</w:t>
      </w:r>
      <w:r w:rsidR="007227B9" w:rsidRPr="00560C8F">
        <w:t xml:space="preserve"> </w:t>
      </w:r>
      <w:r w:rsidRPr="00560C8F">
        <w:t xml:space="preserve">and its contribution to discussions on the implementation of the 2020 goal and beyond, and </w:t>
      </w:r>
      <w:r w:rsidR="00B21BB6">
        <w:t xml:space="preserve">to </w:t>
      </w:r>
      <w:r w:rsidRPr="00560C8F">
        <w:t>chemicals management within the context of the 2030 Agenda.</w:t>
      </w:r>
      <w:r w:rsidR="00977575" w:rsidRPr="00560C8F">
        <w:t xml:space="preserve"> </w:t>
      </w:r>
      <w:r w:rsidRPr="00560C8F">
        <w:t>Session 2 provided initial feedback on the draft</w:t>
      </w:r>
      <w:r w:rsidR="00B21BB6">
        <w:t xml:space="preserve"> </w:t>
      </w:r>
      <w:r w:rsidRPr="00560C8F">
        <w:t>outline o</w:t>
      </w:r>
      <w:r w:rsidR="00B21BB6">
        <w:t>f</w:t>
      </w:r>
      <w:r w:rsidRPr="00560C8F">
        <w:t xml:space="preserve"> </w:t>
      </w:r>
      <w:r w:rsidR="007227B9" w:rsidRPr="00560C8F">
        <w:t xml:space="preserve">the second edition </w:t>
      </w:r>
      <w:r w:rsidRPr="00560C8F">
        <w:t xml:space="preserve">and </w:t>
      </w:r>
      <w:r w:rsidR="00B21BB6">
        <w:t>the</w:t>
      </w:r>
      <w:r w:rsidRPr="00560C8F">
        <w:t xml:space="preserve"> topics </w:t>
      </w:r>
      <w:r w:rsidR="00B21BB6">
        <w:t xml:space="preserve">selected </w:t>
      </w:r>
      <w:r w:rsidRPr="00560C8F">
        <w:t xml:space="preserve">for </w:t>
      </w:r>
      <w:r w:rsidRPr="009D53FE">
        <w:t>thematic review.</w:t>
      </w:r>
      <w:r w:rsidR="00977575" w:rsidRPr="00385B09">
        <w:t xml:space="preserve"> </w:t>
      </w:r>
      <w:r w:rsidRPr="00290ADB">
        <w:t xml:space="preserve">Session 3 focused on the </w:t>
      </w:r>
      <w:r w:rsidRPr="009E51C2">
        <w:t xml:space="preserve">process and on thematic review papers. Session 4 provided feedback on the </w:t>
      </w:r>
      <w:r w:rsidR="00B21BB6" w:rsidRPr="009E51C2">
        <w:t xml:space="preserve">proposed process and </w:t>
      </w:r>
      <w:r w:rsidRPr="009E51C2">
        <w:t xml:space="preserve">timeline for preparing the </w:t>
      </w:r>
      <w:r w:rsidR="007227B9" w:rsidRPr="009E51C2">
        <w:t>second edition</w:t>
      </w:r>
      <w:r w:rsidRPr="009E51C2">
        <w:t xml:space="preserve">. </w:t>
      </w:r>
      <w:r w:rsidR="00B21BB6" w:rsidRPr="009E51C2">
        <w:t>Session 5 focused on</w:t>
      </w:r>
      <w:r w:rsidR="007227B9" w:rsidRPr="009E51C2">
        <w:t xml:space="preserve"> follow-up actions</w:t>
      </w:r>
      <w:r w:rsidRPr="009E51C2">
        <w:t>.</w:t>
      </w:r>
      <w:r w:rsidR="008A3AB1" w:rsidRPr="009E51C2">
        <w:t xml:space="preserve"> The </w:t>
      </w:r>
      <w:hyperlink r:id="rId13" w:history="1">
        <w:r w:rsidR="008A3AB1" w:rsidRPr="009E51C2">
          <w:t>report</w:t>
        </w:r>
      </w:hyperlink>
      <w:r w:rsidR="008A3AB1" w:rsidRPr="009D53FE">
        <w:t xml:space="preserve"> </w:t>
      </w:r>
      <w:r w:rsidR="00B21BB6" w:rsidRPr="009D53FE">
        <w:t>of</w:t>
      </w:r>
      <w:r w:rsidR="008A3AB1" w:rsidRPr="009D53FE">
        <w:t xml:space="preserve"> the meeting </w:t>
      </w:r>
      <w:r w:rsidR="00BD5CFA" w:rsidRPr="00385B09">
        <w:t>is available</w:t>
      </w:r>
      <w:r w:rsidR="00BD5CFA" w:rsidRPr="00290ADB">
        <w:t xml:space="preserve"> on the UNEP website.</w:t>
      </w:r>
    </w:p>
    <w:p w:rsidR="00CF52E9" w:rsidRPr="009D53FE" w:rsidRDefault="00CF52E9"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9E51C2">
        <w:t xml:space="preserve">Recognizing the importance of the relationship between chemicals products and waste and the impact of chemicals at all stages of the product life cycle, a discussion was held via </w:t>
      </w:r>
      <w:r w:rsidR="007227B9" w:rsidRPr="009E51C2">
        <w:t>Skype</w:t>
      </w:r>
      <w:r w:rsidRPr="009E51C2">
        <w:t xml:space="preserve"> with the</w:t>
      </w:r>
      <w:r w:rsidR="00977575" w:rsidRPr="009E51C2">
        <w:t xml:space="preserve"> </w:t>
      </w:r>
      <w:r w:rsidRPr="009E51C2">
        <w:t xml:space="preserve">Director of the International Environmental Technology Centre, </w:t>
      </w:r>
      <w:r w:rsidR="00B653C4" w:rsidRPr="009E51C2">
        <w:t>Division of Technology, Industry and Economics</w:t>
      </w:r>
      <w:r w:rsidRPr="009E51C2">
        <w:t>,</w:t>
      </w:r>
      <w:r w:rsidR="00B2193E" w:rsidRPr="009E51C2">
        <w:t xml:space="preserve"> UNEP,</w:t>
      </w:r>
      <w:r w:rsidRPr="009E51C2">
        <w:t xml:space="preserve"> to examine potential linkages between the </w:t>
      </w:r>
      <w:r w:rsidRPr="009E51C2">
        <w:rPr>
          <w:i/>
        </w:rPr>
        <w:t>Global Chemicals Outlook</w:t>
      </w:r>
      <w:r w:rsidRPr="009D53FE">
        <w:t xml:space="preserve"> and </w:t>
      </w:r>
      <w:r w:rsidRPr="009E51C2">
        <w:rPr>
          <w:i/>
          <w:iCs/>
        </w:rPr>
        <w:t xml:space="preserve">Global Waste </w:t>
      </w:r>
      <w:r w:rsidR="003B025B" w:rsidRPr="009E51C2">
        <w:rPr>
          <w:i/>
          <w:iCs/>
        </w:rPr>
        <w:t xml:space="preserve">Management </w:t>
      </w:r>
      <w:r w:rsidRPr="009E51C2">
        <w:rPr>
          <w:i/>
          <w:iCs/>
        </w:rPr>
        <w:t>Outlook</w:t>
      </w:r>
      <w:r w:rsidRPr="009D53FE">
        <w:t xml:space="preserve"> exercises. </w:t>
      </w:r>
    </w:p>
    <w:p w:rsidR="00E2216B" w:rsidRPr="00560C8F" w:rsidRDefault="00915D7C" w:rsidP="00915D7C">
      <w:pPr>
        <w:pStyle w:val="CH2"/>
      </w:pPr>
      <w:r w:rsidRPr="00560C8F">
        <w:tab/>
        <w:t>B.</w:t>
      </w:r>
      <w:r w:rsidRPr="00560C8F">
        <w:tab/>
      </w:r>
      <w:r w:rsidR="00E2216B" w:rsidRPr="00560C8F">
        <w:t xml:space="preserve">Key </w:t>
      </w:r>
      <w:r w:rsidR="007227B9" w:rsidRPr="00560C8F">
        <w:t>o</w:t>
      </w:r>
      <w:r w:rsidR="00CF52E9" w:rsidRPr="00560C8F">
        <w:t>utcomes</w:t>
      </w:r>
    </w:p>
    <w:p w:rsidR="000F6068" w:rsidRPr="00560C8F" w:rsidRDefault="000F6068"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The adoption of the 2030 Agenda and the </w:t>
      </w:r>
      <w:r w:rsidR="004D4A72" w:rsidRPr="00560C8F">
        <w:t>Sustainable Development Goals</w:t>
      </w:r>
      <w:r w:rsidRPr="00560C8F">
        <w:t xml:space="preserve"> and the recognition of the importance of sound chemicals management for sustainable development, together with the outcome of the fourth session of the International Conference on Chemicals Management to initiate discussions on </w:t>
      </w:r>
      <w:r w:rsidR="00BD3138" w:rsidRPr="00560C8F">
        <w:t xml:space="preserve">the future of </w:t>
      </w:r>
      <w:r w:rsidRPr="00560C8F">
        <w:t>SAICM and chemicals and waste management beyond 2020</w:t>
      </w:r>
      <w:r w:rsidR="00BD5CFA" w:rsidRPr="00560C8F">
        <w:t>,</w:t>
      </w:r>
      <w:r w:rsidR="00977575" w:rsidRPr="00560C8F">
        <w:t xml:space="preserve"> </w:t>
      </w:r>
      <w:r w:rsidRPr="00560C8F">
        <w:t>have created a window of opportunity to inform, through scientific analysis, the future of chemicals management within the 2030 Agenda.</w:t>
      </w:r>
      <w:r w:rsidR="00977575" w:rsidRPr="00560C8F">
        <w:t xml:space="preserve"> </w:t>
      </w:r>
      <w:r w:rsidR="00C36705">
        <w:t>Designed</w:t>
      </w:r>
      <w:r w:rsidRPr="00560C8F">
        <w:t xml:space="preserve"> to be forward-looking and </w:t>
      </w:r>
      <w:r w:rsidR="007227B9" w:rsidRPr="00560C8F">
        <w:t>policy</w:t>
      </w:r>
      <w:r w:rsidR="007227B9" w:rsidRPr="00560C8F">
        <w:noBreakHyphen/>
      </w:r>
      <w:r w:rsidRPr="00560C8F">
        <w:t xml:space="preserve">relevant, </w:t>
      </w:r>
      <w:r w:rsidR="007227B9" w:rsidRPr="00560C8F">
        <w:t xml:space="preserve">the second edition of </w:t>
      </w:r>
      <w:r w:rsidR="007227B9" w:rsidRPr="009E51C2">
        <w:rPr>
          <w:i/>
        </w:rPr>
        <w:t>Global Chemicals Outlook</w:t>
      </w:r>
      <w:r w:rsidR="007227B9" w:rsidRPr="00560C8F">
        <w:t xml:space="preserve"> </w:t>
      </w:r>
      <w:r w:rsidRPr="00560C8F">
        <w:t xml:space="preserve">is expected to capture the state of scientific, management and policy knowledge </w:t>
      </w:r>
      <w:r w:rsidR="00C36705">
        <w:t xml:space="preserve">in order </w:t>
      </w:r>
      <w:r w:rsidRPr="00560C8F">
        <w:t>to support policymakers and stakeholders in assess</w:t>
      </w:r>
      <w:r w:rsidR="00C36705">
        <w:t>ing</w:t>
      </w:r>
      <w:r w:rsidRPr="00560C8F">
        <w:t xml:space="preserve"> the implementation of the 2020 goal and in deliberating </w:t>
      </w:r>
      <w:r w:rsidR="00C36705">
        <w:t xml:space="preserve">on </w:t>
      </w:r>
      <w:r w:rsidRPr="00560C8F">
        <w:t>the sound and sustainable management of chemicals and waste beyond 2020.</w:t>
      </w:r>
    </w:p>
    <w:p w:rsidR="00CF52E9" w:rsidRPr="00560C8F" w:rsidRDefault="00CF52E9"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Participants welcomed the UNEP initiative to continue its work on </w:t>
      </w:r>
      <w:r w:rsidR="007227B9" w:rsidRPr="009E51C2">
        <w:rPr>
          <w:i/>
        </w:rPr>
        <w:t>Global Chemicals Outlook</w:t>
      </w:r>
      <w:r w:rsidR="007227B9" w:rsidRPr="00560C8F">
        <w:t xml:space="preserve"> </w:t>
      </w:r>
      <w:r w:rsidRPr="00560C8F">
        <w:t xml:space="preserve">and expressed their support </w:t>
      </w:r>
      <w:r w:rsidR="00C36705">
        <w:t>for</w:t>
      </w:r>
      <w:r w:rsidRPr="00560C8F">
        <w:t xml:space="preserve"> building on </w:t>
      </w:r>
      <w:r w:rsidR="00C36705">
        <w:t xml:space="preserve">the first edition </w:t>
      </w:r>
      <w:r w:rsidRPr="00560C8F">
        <w:t xml:space="preserve">and filling </w:t>
      </w:r>
      <w:r w:rsidR="00C36705">
        <w:t xml:space="preserve">its </w:t>
      </w:r>
      <w:r w:rsidRPr="00560C8F">
        <w:t>data gaps while maintaining a forward-looking approach and being policy</w:t>
      </w:r>
      <w:r w:rsidR="007227B9" w:rsidRPr="00560C8F">
        <w:noBreakHyphen/>
      </w:r>
      <w:r w:rsidRPr="00560C8F">
        <w:t xml:space="preserve">relevant. </w:t>
      </w:r>
    </w:p>
    <w:p w:rsidR="00CF52E9" w:rsidRPr="00560C8F" w:rsidRDefault="00CF52E9"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Appreciation was expressed </w:t>
      </w:r>
      <w:r w:rsidR="00C36705">
        <w:t>for</w:t>
      </w:r>
      <w:r w:rsidRPr="00560C8F">
        <w:t xml:space="preserve"> the proposed structure of </w:t>
      </w:r>
      <w:r w:rsidR="007227B9" w:rsidRPr="00560C8F">
        <w:t>the second edition</w:t>
      </w:r>
      <w:r w:rsidRPr="00560C8F">
        <w:t xml:space="preserve"> and the use of back</w:t>
      </w:r>
      <w:r w:rsidR="007227B9" w:rsidRPr="00560C8F">
        <w:noBreakHyphen/>
      </w:r>
      <w:r w:rsidRPr="00560C8F">
        <w:t xml:space="preserve">casting as an analytical tool and planning method. Back-casting starts with defining a </w:t>
      </w:r>
      <w:r w:rsidR="00C36705">
        <w:t>goal</w:t>
      </w:r>
      <w:r w:rsidRPr="00560C8F">
        <w:t xml:space="preserve"> </w:t>
      </w:r>
      <w:r w:rsidR="00FA20BA" w:rsidRPr="00560C8F">
        <w:t xml:space="preserve">and </w:t>
      </w:r>
      <w:r w:rsidR="00C36705">
        <w:t xml:space="preserve">then </w:t>
      </w:r>
      <w:r w:rsidR="00FA20BA" w:rsidRPr="00560C8F">
        <w:t>explor</w:t>
      </w:r>
      <w:r w:rsidR="00C36705">
        <w:t>es</w:t>
      </w:r>
      <w:r w:rsidRPr="00560C8F">
        <w:t xml:space="preserve"> actions that need to be taken to attain </w:t>
      </w:r>
      <w:r w:rsidR="00C36705">
        <w:t>that</w:t>
      </w:r>
      <w:r w:rsidRPr="00560C8F">
        <w:t xml:space="preserve"> goal.</w:t>
      </w:r>
    </w:p>
    <w:p w:rsidR="00CF52E9" w:rsidRPr="00560C8F" w:rsidRDefault="00CF52E9"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In discussing the back-casting method, the consultation recognized a need to work </w:t>
      </w:r>
      <w:r w:rsidR="00C36705">
        <w:t xml:space="preserve">further </w:t>
      </w:r>
      <w:r w:rsidRPr="00560C8F">
        <w:t xml:space="preserve">on the vision and time horizon of </w:t>
      </w:r>
      <w:r w:rsidR="007227B9" w:rsidRPr="00560C8F">
        <w:t xml:space="preserve">the second edition of </w:t>
      </w:r>
      <w:r w:rsidR="007227B9" w:rsidRPr="009E51C2">
        <w:rPr>
          <w:i/>
        </w:rPr>
        <w:t>Global Chemicals Outlook</w:t>
      </w:r>
      <w:r w:rsidRPr="00560C8F">
        <w:t>. It</w:t>
      </w:r>
      <w:r w:rsidR="00C10007">
        <w:t xml:space="preserve">s </w:t>
      </w:r>
      <w:r w:rsidRPr="00560C8F">
        <w:t xml:space="preserve">starting point </w:t>
      </w:r>
      <w:r w:rsidR="00C10007">
        <w:t xml:space="preserve">was the </w:t>
      </w:r>
      <w:r w:rsidRPr="00560C8F">
        <w:t>vision developed through the country-led consultati</w:t>
      </w:r>
      <w:r w:rsidR="00B2193E" w:rsidRPr="00560C8F">
        <w:t>ve</w:t>
      </w:r>
      <w:r w:rsidRPr="00560C8F">
        <w:t xml:space="preserve"> process on enhancing cooperation and coordination within the chemicals and waste cluster (UNEP/EA.1/5/Add.2), </w:t>
      </w:r>
      <w:r w:rsidR="00C10007">
        <w:t xml:space="preserve">namely </w:t>
      </w:r>
      <w:r w:rsidRPr="00560C8F">
        <w:t xml:space="preserve">“to achieve the sound management of chemicals throughout their life cycle and of hazardous wastes in ways that lead to the prevention or minimization of significant adverse effects on human health and the environment, as an essential contribution to the three dimensions of sustainable development”. Also relevant is </w:t>
      </w:r>
      <w:r w:rsidR="00F603AF" w:rsidRPr="00560C8F">
        <w:t xml:space="preserve">the </w:t>
      </w:r>
      <w:r w:rsidRPr="00560C8F">
        <w:t xml:space="preserve">UNEP </w:t>
      </w:r>
      <w:r w:rsidR="00F603AF" w:rsidRPr="00560C8F">
        <w:t>m</w:t>
      </w:r>
      <w:r w:rsidRPr="00560C8F">
        <w:t>edium</w:t>
      </w:r>
      <w:r w:rsidR="00F603AF" w:rsidRPr="00560C8F">
        <w:t>-t</w:t>
      </w:r>
      <w:r w:rsidRPr="00560C8F">
        <w:t xml:space="preserve">erm </w:t>
      </w:r>
      <w:r w:rsidR="00F603AF" w:rsidRPr="00560C8F">
        <w:t>s</w:t>
      </w:r>
      <w:r w:rsidRPr="00560C8F">
        <w:t xml:space="preserve">trategy, which </w:t>
      </w:r>
      <w:r w:rsidR="00C36705">
        <w:t>use</w:t>
      </w:r>
      <w:r w:rsidRPr="00560C8F">
        <w:t xml:space="preserve">s the year 2030 as a reference point </w:t>
      </w:r>
      <w:r w:rsidR="00C36705">
        <w:t>for</w:t>
      </w:r>
      <w:r w:rsidRPr="00560C8F">
        <w:t xml:space="preserve"> achiev</w:t>
      </w:r>
      <w:r w:rsidR="00C36705">
        <w:t>ing</w:t>
      </w:r>
      <w:r w:rsidRPr="00560C8F">
        <w:t xml:space="preserve"> measurable impacts reduc</w:t>
      </w:r>
      <w:r w:rsidR="00C36705">
        <w:t>ing</w:t>
      </w:r>
      <w:r w:rsidRPr="00560C8F">
        <w:t xml:space="preserve"> the adverse effects of chemicals and waste. Finally, investment cycles in the industry</w:t>
      </w:r>
      <w:r w:rsidR="00C36705">
        <w:t>,</w:t>
      </w:r>
      <w:r w:rsidRPr="00560C8F">
        <w:t xml:space="preserve"> </w:t>
      </w:r>
      <w:r w:rsidR="00C36705">
        <w:t>which</w:t>
      </w:r>
      <w:r w:rsidR="00F603AF" w:rsidRPr="00560C8F">
        <w:t xml:space="preserve"> </w:t>
      </w:r>
      <w:r w:rsidRPr="00974228">
        <w:t xml:space="preserve">usually </w:t>
      </w:r>
      <w:r w:rsidR="00C36705" w:rsidRPr="00974228">
        <w:t xml:space="preserve">cover </w:t>
      </w:r>
      <w:r w:rsidRPr="009D53FE">
        <w:t>15</w:t>
      </w:r>
      <w:r w:rsidR="00C36705" w:rsidRPr="009D53FE">
        <w:t xml:space="preserve"> to </w:t>
      </w:r>
      <w:r w:rsidRPr="00290ADB">
        <w:t>20 years</w:t>
      </w:r>
      <w:r w:rsidR="00C36705" w:rsidRPr="009E51C2">
        <w:t xml:space="preserve">, </w:t>
      </w:r>
      <w:r w:rsidRPr="009E51C2">
        <w:t>will need to be taken into account.</w:t>
      </w:r>
      <w:r w:rsidR="00977575" w:rsidRPr="009E51C2">
        <w:t xml:space="preserve"> </w:t>
      </w:r>
      <w:r w:rsidRPr="009E51C2">
        <w:t>The beyond</w:t>
      </w:r>
      <w:r w:rsidR="00F603AF" w:rsidRPr="009E51C2">
        <w:noBreakHyphen/>
      </w:r>
      <w:r w:rsidRPr="009E51C2">
        <w:t>2020 and medium-term horizon used by</w:t>
      </w:r>
      <w:r w:rsidRPr="00560C8F">
        <w:t xml:space="preserve"> </w:t>
      </w:r>
      <w:r w:rsidR="007227B9" w:rsidRPr="00560C8F">
        <w:t xml:space="preserve">the second edition of </w:t>
      </w:r>
      <w:r w:rsidR="007227B9" w:rsidRPr="009E51C2">
        <w:rPr>
          <w:i/>
        </w:rPr>
        <w:t>Global Chemicals Outlook</w:t>
      </w:r>
      <w:r w:rsidR="007227B9" w:rsidRPr="00560C8F">
        <w:t xml:space="preserve"> </w:t>
      </w:r>
      <w:r w:rsidRPr="00560C8F">
        <w:t xml:space="preserve">for analysis needs to be contrasted with the vision and timelines of the document itself, which seeks to provide sound </w:t>
      </w:r>
      <w:r w:rsidRPr="00560C8F">
        <w:lastRenderedPageBreak/>
        <w:t xml:space="preserve">scientific analysis and insights to inform </w:t>
      </w:r>
      <w:r w:rsidR="00C36705">
        <w:t xml:space="preserve">the </w:t>
      </w:r>
      <w:r w:rsidRPr="00560C8F">
        <w:t>deliberation</w:t>
      </w:r>
      <w:r w:rsidR="00C36705">
        <w:t>s</w:t>
      </w:r>
      <w:r w:rsidRPr="00560C8F">
        <w:t xml:space="preserve"> </w:t>
      </w:r>
      <w:r w:rsidR="00C36705">
        <w:t xml:space="preserve">that </w:t>
      </w:r>
      <w:r w:rsidR="00186B98" w:rsidRPr="00560C8F">
        <w:t xml:space="preserve">the </w:t>
      </w:r>
      <w:r w:rsidR="00F603AF" w:rsidRPr="00560C8F">
        <w:t xml:space="preserve">Open-ended Working Group of the </w:t>
      </w:r>
      <w:r w:rsidR="00CA6045" w:rsidRPr="00560C8F">
        <w:t>Strategic Approach to International Chemicals Management</w:t>
      </w:r>
      <w:r w:rsidR="00C36705">
        <w:t xml:space="preserve"> intends to hold</w:t>
      </w:r>
      <w:r w:rsidRPr="00560C8F">
        <w:t xml:space="preserve"> in 2018 to discuss an approach for the sound management of chemicals and waste beyond 2020.</w:t>
      </w:r>
    </w:p>
    <w:p w:rsidR="00CF52E9" w:rsidRPr="00560C8F" w:rsidRDefault="00CF52E9"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The proposed structure of the </w:t>
      </w:r>
      <w:r w:rsidR="007227B9" w:rsidRPr="00560C8F">
        <w:t xml:space="preserve">second edition of </w:t>
      </w:r>
      <w:r w:rsidR="007227B9" w:rsidRPr="009E51C2">
        <w:rPr>
          <w:i/>
        </w:rPr>
        <w:t>Global Chemicals Outlook</w:t>
      </w:r>
      <w:r w:rsidR="007227B9" w:rsidRPr="00560C8F">
        <w:t xml:space="preserve"> </w:t>
      </w:r>
      <w:r w:rsidRPr="00560C8F">
        <w:t>divides the document into three complementary building blocks:</w:t>
      </w:r>
    </w:p>
    <w:p w:rsidR="00CF52E9" w:rsidRPr="00560C8F" w:rsidRDefault="00CF52E9" w:rsidP="009E51C2">
      <w:pPr>
        <w:pStyle w:val="Normalnumber"/>
        <w:numPr>
          <w:ilvl w:val="0"/>
          <w:numId w:val="19"/>
        </w:numPr>
        <w:tabs>
          <w:tab w:val="clear" w:pos="1247"/>
          <w:tab w:val="clear" w:pos="1814"/>
          <w:tab w:val="clear" w:pos="2381"/>
          <w:tab w:val="clear" w:pos="2948"/>
          <w:tab w:val="clear" w:pos="3515"/>
          <w:tab w:val="clear" w:pos="4082"/>
        </w:tabs>
        <w:ind w:left="1247" w:firstLine="624"/>
      </w:pPr>
      <w:r w:rsidRPr="00560C8F">
        <w:t xml:space="preserve">Part I: Global </w:t>
      </w:r>
      <w:r w:rsidR="002A219B">
        <w:t>c</w:t>
      </w:r>
      <w:r w:rsidRPr="00560C8F">
        <w:t xml:space="preserve">ontext, </w:t>
      </w:r>
      <w:r w:rsidR="002A219B">
        <w:t>t</w:t>
      </w:r>
      <w:r w:rsidRPr="00560C8F">
        <w:t xml:space="preserve">rends and </w:t>
      </w:r>
      <w:r w:rsidR="002A219B">
        <w:t>d</w:t>
      </w:r>
      <w:r w:rsidRPr="00560C8F">
        <w:t>evelopments</w:t>
      </w:r>
    </w:p>
    <w:p w:rsidR="00CF52E9" w:rsidRPr="00560C8F" w:rsidRDefault="00CF52E9" w:rsidP="009E51C2">
      <w:pPr>
        <w:pStyle w:val="Normalnumber"/>
        <w:numPr>
          <w:ilvl w:val="0"/>
          <w:numId w:val="19"/>
        </w:numPr>
        <w:tabs>
          <w:tab w:val="clear" w:pos="1247"/>
          <w:tab w:val="clear" w:pos="1814"/>
          <w:tab w:val="clear" w:pos="2381"/>
          <w:tab w:val="clear" w:pos="2948"/>
          <w:tab w:val="clear" w:pos="3515"/>
          <w:tab w:val="clear" w:pos="4082"/>
        </w:tabs>
        <w:ind w:left="1247" w:firstLine="624"/>
      </w:pPr>
      <w:r w:rsidRPr="00560C8F">
        <w:t xml:space="preserve">Part II: Review of </w:t>
      </w:r>
      <w:r w:rsidR="002A219B">
        <w:t>c</w:t>
      </w:r>
      <w:r w:rsidRPr="00560C8F">
        <w:t xml:space="preserve">hemical </w:t>
      </w:r>
      <w:r w:rsidR="002A219B">
        <w:t>m</w:t>
      </w:r>
      <w:r w:rsidRPr="00560C8F">
        <w:t xml:space="preserve">anagement </w:t>
      </w:r>
      <w:r w:rsidR="002A219B">
        <w:t>a</w:t>
      </w:r>
      <w:r w:rsidRPr="00560C8F">
        <w:t xml:space="preserve">reas of </w:t>
      </w:r>
      <w:r w:rsidR="002A219B">
        <w:t>r</w:t>
      </w:r>
      <w:r w:rsidRPr="00560C8F">
        <w:t xml:space="preserve">elevance </w:t>
      </w:r>
      <w:r w:rsidR="002A219B">
        <w:t>u</w:t>
      </w:r>
      <w:r w:rsidRPr="00560C8F">
        <w:t xml:space="preserve">ntil and </w:t>
      </w:r>
      <w:r w:rsidR="002A219B">
        <w:t>b</w:t>
      </w:r>
      <w:r w:rsidRPr="00560C8F">
        <w:t>eyond 2020</w:t>
      </w:r>
    </w:p>
    <w:p w:rsidR="00CF52E9" w:rsidRPr="00560C8F" w:rsidRDefault="00CF52E9" w:rsidP="009E51C2">
      <w:pPr>
        <w:pStyle w:val="Normalnumber"/>
        <w:numPr>
          <w:ilvl w:val="0"/>
          <w:numId w:val="19"/>
        </w:numPr>
        <w:tabs>
          <w:tab w:val="clear" w:pos="1247"/>
          <w:tab w:val="clear" w:pos="1814"/>
          <w:tab w:val="clear" w:pos="2381"/>
          <w:tab w:val="clear" w:pos="2948"/>
          <w:tab w:val="clear" w:pos="3515"/>
          <w:tab w:val="clear" w:pos="4082"/>
        </w:tabs>
        <w:ind w:left="1247" w:firstLine="624"/>
      </w:pPr>
      <w:r w:rsidRPr="00560C8F">
        <w:t xml:space="preserve">Part III: Policy </w:t>
      </w:r>
      <w:r w:rsidR="002A219B">
        <w:t>m</w:t>
      </w:r>
      <w:r w:rsidRPr="00560C8F">
        <w:t xml:space="preserve">easures and </w:t>
      </w:r>
      <w:r w:rsidR="002A219B">
        <w:t>a</w:t>
      </w:r>
      <w:r w:rsidRPr="00560C8F">
        <w:t xml:space="preserve">ction for </w:t>
      </w:r>
      <w:r w:rsidR="002A219B">
        <w:t>c</w:t>
      </w:r>
      <w:r w:rsidRPr="00560C8F">
        <w:t xml:space="preserve">reating an </w:t>
      </w:r>
      <w:r w:rsidR="002A219B">
        <w:t>e</w:t>
      </w:r>
      <w:r w:rsidRPr="00560C8F">
        <w:t xml:space="preserve">nabling </w:t>
      </w:r>
      <w:r w:rsidR="002A219B">
        <w:t>e</w:t>
      </w:r>
      <w:r w:rsidRPr="00560C8F">
        <w:t>nvironment</w:t>
      </w:r>
    </w:p>
    <w:p w:rsidR="00CF52E9" w:rsidRPr="00560C8F" w:rsidRDefault="00CF52E9"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9E51C2">
        <w:rPr>
          <w:bCs/>
        </w:rPr>
        <w:t>Part I</w:t>
      </w:r>
      <w:r w:rsidRPr="00560C8F">
        <w:t xml:space="preserve"> will provide updated scientific data and evidence related to the global context, trends and developments relevant for chemicals and waste management. </w:t>
      </w:r>
      <w:r w:rsidR="00C36705">
        <w:t>It will</w:t>
      </w:r>
      <w:r w:rsidRPr="00560C8F">
        <w:t xml:space="preserve"> include an analysis </w:t>
      </w:r>
      <w:r w:rsidR="00FA20BA" w:rsidRPr="00560C8F">
        <w:t>of recent</w:t>
      </w:r>
      <w:r w:rsidRPr="00560C8F">
        <w:t xml:space="preserve"> international policy agreements</w:t>
      </w:r>
      <w:r w:rsidR="00F603AF" w:rsidRPr="00560C8F">
        <w:t xml:space="preserve">, such as </w:t>
      </w:r>
      <w:r w:rsidRPr="00560C8F">
        <w:t>the 2030 Agenda</w:t>
      </w:r>
      <w:r w:rsidR="000C4657" w:rsidRPr="00560C8F">
        <w:t xml:space="preserve"> and</w:t>
      </w:r>
      <w:r w:rsidRPr="00560C8F">
        <w:t xml:space="preserve"> Paris </w:t>
      </w:r>
      <w:r w:rsidR="000C4657" w:rsidRPr="00560C8F">
        <w:t>Agreement,</w:t>
      </w:r>
      <w:r w:rsidRPr="00560C8F">
        <w:t xml:space="preserve"> as well as policy and management concepts and initiatives relevant for the management of chemicals</w:t>
      </w:r>
      <w:r w:rsidR="000C4657" w:rsidRPr="00560C8F">
        <w:t xml:space="preserve">, such as </w:t>
      </w:r>
      <w:r w:rsidRPr="00560C8F">
        <w:t>sustainable consumption and production.</w:t>
      </w:r>
      <w:r w:rsidR="00977575" w:rsidRPr="00560C8F">
        <w:t xml:space="preserve"> </w:t>
      </w:r>
      <w:r w:rsidRPr="00560C8F">
        <w:t xml:space="preserve">It will also seek to shed light </w:t>
      </w:r>
      <w:r w:rsidR="00186B98" w:rsidRPr="00560C8F">
        <w:t>o</w:t>
      </w:r>
      <w:r w:rsidRPr="00560C8F">
        <w:t xml:space="preserve">n the dynamics of </w:t>
      </w:r>
      <w:r w:rsidR="000C4657" w:rsidRPr="00560C8F">
        <w:t xml:space="preserve">the </w:t>
      </w:r>
      <w:r w:rsidRPr="00560C8F">
        <w:t xml:space="preserve">chemicals production and consumption system, changes and trends </w:t>
      </w:r>
      <w:r w:rsidR="00FA20BA" w:rsidRPr="00560C8F">
        <w:t>in demographics</w:t>
      </w:r>
      <w:r w:rsidRPr="00560C8F">
        <w:t xml:space="preserve"> and </w:t>
      </w:r>
      <w:r w:rsidR="00FA20BA" w:rsidRPr="00560C8F">
        <w:t>consumer</w:t>
      </w:r>
      <w:r w:rsidRPr="00560C8F">
        <w:t xml:space="preserve"> behaviour, </w:t>
      </w:r>
      <w:r w:rsidR="000C4657" w:rsidRPr="00560C8F">
        <w:t xml:space="preserve">and </w:t>
      </w:r>
      <w:r w:rsidRPr="00560C8F">
        <w:t>the composition and structure of the industry, including related global value chains and trade of chemicals and products containing chemicals.</w:t>
      </w:r>
      <w:r w:rsidR="00977575" w:rsidRPr="00560C8F">
        <w:t xml:space="preserve"> </w:t>
      </w:r>
      <w:r w:rsidRPr="00560C8F">
        <w:t>Part I will also update data on trends in markets, production and consumption, chemicals releases and waste, and environmental, health and social effects.</w:t>
      </w:r>
      <w:r w:rsidR="00977575" w:rsidRPr="00560C8F">
        <w:t xml:space="preserve"> </w:t>
      </w:r>
    </w:p>
    <w:p w:rsidR="00CF52E9" w:rsidRPr="00560C8F" w:rsidRDefault="00CF52E9"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9E51C2">
        <w:rPr>
          <w:bCs/>
        </w:rPr>
        <w:t>Part II</w:t>
      </w:r>
      <w:r w:rsidRPr="00560C8F">
        <w:t xml:space="preserve"> </w:t>
      </w:r>
      <w:r w:rsidRPr="002A219B">
        <w:t xml:space="preserve">will </w:t>
      </w:r>
      <w:r w:rsidRPr="00517DF0">
        <w:t xml:space="preserve">provide </w:t>
      </w:r>
      <w:r w:rsidR="000C4657" w:rsidRPr="00B64A6A">
        <w:t xml:space="preserve">the </w:t>
      </w:r>
      <w:r w:rsidRPr="00153378">
        <w:t>latest knowledge on, and</w:t>
      </w:r>
      <w:r w:rsidRPr="00C36705">
        <w:t xml:space="preserve"> assess key chemicals management topics considered relevant for</w:t>
      </w:r>
      <w:r w:rsidR="000C4657" w:rsidRPr="00C90F0B">
        <w:t>,</w:t>
      </w:r>
      <w:r w:rsidRPr="00974228">
        <w:t xml:space="preserve"> the</w:t>
      </w:r>
      <w:r w:rsidRPr="00560C8F">
        <w:t xml:space="preserve"> implementation of the 2020 goal and beyond. Consistent with</w:t>
      </w:r>
      <w:r w:rsidR="008D20DD" w:rsidRPr="00560C8F">
        <w:t xml:space="preserve"> </w:t>
      </w:r>
      <w:r w:rsidRPr="00560C8F">
        <w:t xml:space="preserve">and taking into account the </w:t>
      </w:r>
      <w:r w:rsidR="002A219B">
        <w:t>o</w:t>
      </w:r>
      <w:r w:rsidR="002A219B" w:rsidRPr="00560C8F">
        <w:t xml:space="preserve">verall </w:t>
      </w:r>
      <w:r w:rsidR="002A219B">
        <w:t>o</w:t>
      </w:r>
      <w:r w:rsidRPr="00560C8F">
        <w:t xml:space="preserve">rientation and </w:t>
      </w:r>
      <w:r w:rsidR="002A219B">
        <w:t>g</w:t>
      </w:r>
      <w:r w:rsidRPr="00560C8F">
        <w:t xml:space="preserve">uidance for </w:t>
      </w:r>
      <w:r w:rsidR="002A219B">
        <w:t>a</w:t>
      </w:r>
      <w:r w:rsidRPr="00560C8F">
        <w:t xml:space="preserve">chieving the 2020 </w:t>
      </w:r>
      <w:r w:rsidR="002A219B">
        <w:t>g</w:t>
      </w:r>
      <w:r w:rsidRPr="00560C8F">
        <w:t xml:space="preserve">oal of </w:t>
      </w:r>
      <w:r w:rsidR="002A219B">
        <w:t>s</w:t>
      </w:r>
      <w:r w:rsidRPr="00560C8F">
        <w:t xml:space="preserve">ound </w:t>
      </w:r>
      <w:r w:rsidR="002A219B">
        <w:t>m</w:t>
      </w:r>
      <w:r w:rsidRPr="00560C8F">
        <w:t xml:space="preserve">anagement of </w:t>
      </w:r>
      <w:r w:rsidR="002A219B">
        <w:t>c</w:t>
      </w:r>
      <w:r w:rsidRPr="00560C8F">
        <w:t>hemicals</w:t>
      </w:r>
      <w:r w:rsidR="0002610C" w:rsidRPr="00560C8F">
        <w:t xml:space="preserve"> (see </w:t>
      </w:r>
      <w:r w:rsidRPr="00560C8F">
        <w:t>SAICM/ICCM.4/6</w:t>
      </w:r>
      <w:r w:rsidR="0002610C" w:rsidRPr="00560C8F">
        <w:t>)</w:t>
      </w:r>
      <w:r w:rsidRPr="00560C8F">
        <w:t>, Part II covers topics such as</w:t>
      </w:r>
      <w:r w:rsidR="0002610C" w:rsidRPr="00560C8F">
        <w:t xml:space="preserve"> the</w:t>
      </w:r>
      <w:r w:rsidRPr="00560C8F">
        <w:t xml:space="preserve"> state of classification, labelling and chemical safety information; chemicals risk assessment </w:t>
      </w:r>
      <w:r w:rsidRPr="00290ADB">
        <w:t xml:space="preserve">and </w:t>
      </w:r>
      <w:r w:rsidRPr="009E51C2">
        <w:t>management: review of</w:t>
      </w:r>
      <w:r w:rsidRPr="00560C8F">
        <w:t xml:space="preserve"> initiatives to identify chemicals of emerging concern; greening research and development; and the interface </w:t>
      </w:r>
      <w:r w:rsidR="0002610C" w:rsidRPr="00560C8F">
        <w:t xml:space="preserve">between </w:t>
      </w:r>
      <w:r w:rsidRPr="00560C8F">
        <w:t xml:space="preserve">chemicals, pollution and waste. For key topics included in Part II, </w:t>
      </w:r>
      <w:r w:rsidR="00864ADB">
        <w:t xml:space="preserve">in-depth </w:t>
      </w:r>
      <w:r w:rsidRPr="00560C8F">
        <w:t xml:space="preserve">thematic review papers will be commissioned </w:t>
      </w:r>
      <w:r w:rsidR="00864ADB">
        <w:t>in</w:t>
      </w:r>
      <w:r w:rsidRPr="00560C8F">
        <w:t xml:space="preserve"> 2016 and 2017 as a basis </w:t>
      </w:r>
      <w:r w:rsidR="0007561A" w:rsidRPr="00560C8F">
        <w:t xml:space="preserve">for </w:t>
      </w:r>
      <w:r w:rsidRPr="00560C8F">
        <w:t>generating policy insights.</w:t>
      </w:r>
      <w:r w:rsidR="00977575" w:rsidRPr="00560C8F">
        <w:t xml:space="preserve"> </w:t>
      </w:r>
      <w:r w:rsidRPr="00560C8F">
        <w:t xml:space="preserve">Discussions are </w:t>
      </w:r>
      <w:proofErr w:type="spellStart"/>
      <w:r w:rsidR="00864ADB">
        <w:t>ongoing</w:t>
      </w:r>
      <w:proofErr w:type="spellEnd"/>
      <w:r w:rsidRPr="00560C8F">
        <w:t xml:space="preserve"> to </w:t>
      </w:r>
      <w:r w:rsidR="00BD5CFA" w:rsidRPr="00560C8F">
        <w:t xml:space="preserve">ensure </w:t>
      </w:r>
      <w:r w:rsidR="00FA20BA" w:rsidRPr="00560C8F">
        <w:t>that thematic</w:t>
      </w:r>
      <w:r w:rsidRPr="00560C8F">
        <w:t xml:space="preserve"> review papers </w:t>
      </w:r>
      <w:r w:rsidR="00BD5CFA" w:rsidRPr="00560C8F">
        <w:t xml:space="preserve">are published </w:t>
      </w:r>
      <w:r w:rsidRPr="00560C8F">
        <w:t>in a scientific journal.</w:t>
      </w:r>
    </w:p>
    <w:p w:rsidR="00CF52E9" w:rsidRPr="00560C8F" w:rsidRDefault="00CF52E9"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9E51C2">
        <w:rPr>
          <w:bCs/>
        </w:rPr>
        <w:t>Part III</w:t>
      </w:r>
      <w:r w:rsidRPr="00560C8F">
        <w:t xml:space="preserve"> focuses on the policy, institutional and economic conditions necessary to provide an enabling environment. It will review the state of chemical policies, legislation and regulatory infrastructures and assess their achievements, efficiency and effectiveness in responding to the trends and challenges covered in Part I and </w:t>
      </w:r>
      <w:r w:rsidR="0002610C" w:rsidRPr="00560C8F">
        <w:t xml:space="preserve">Part </w:t>
      </w:r>
      <w:r w:rsidRPr="00560C8F">
        <w:t>II. Part II</w:t>
      </w:r>
      <w:r w:rsidR="007F48DA">
        <w:t>I</w:t>
      </w:r>
      <w:r w:rsidRPr="00560C8F">
        <w:t xml:space="preserve"> will give attention to fiscal incentives, innovative financing and business models, and social entrepreneurship and innovation. It will also address the question of capacity development and effective partnership. Finally, it </w:t>
      </w:r>
      <w:r w:rsidR="007F48DA">
        <w:t>will</w:t>
      </w:r>
      <w:r w:rsidRPr="00560C8F">
        <w:t xml:space="preserve"> assess the state of indicators and </w:t>
      </w:r>
      <w:r w:rsidR="0002610C" w:rsidRPr="00560C8F">
        <w:t xml:space="preserve">the </w:t>
      </w:r>
      <w:r w:rsidRPr="00560C8F">
        <w:t>review mechanism to measure progress in the sound management of chemicals until and beyond 2020.</w:t>
      </w:r>
    </w:p>
    <w:p w:rsidR="00BD5CFA" w:rsidRPr="00560C8F" w:rsidRDefault="00CF52E9"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Participants provided specific comments on the three proposed parts </w:t>
      </w:r>
      <w:r w:rsidR="00FA20BA" w:rsidRPr="00560C8F">
        <w:t>and</w:t>
      </w:r>
      <w:r w:rsidRPr="00560C8F">
        <w:t xml:space="preserve"> suggested several additional themes and topics to enhance the </w:t>
      </w:r>
      <w:r w:rsidR="007F48DA">
        <w:t xml:space="preserve">work’s </w:t>
      </w:r>
      <w:r w:rsidRPr="00560C8F">
        <w:t>comprehensiveness, credibility and legitimacy.</w:t>
      </w:r>
      <w:r w:rsidR="00977575" w:rsidRPr="00560C8F">
        <w:t xml:space="preserve"> </w:t>
      </w:r>
      <w:r w:rsidRPr="00560C8F">
        <w:t>Working gro</w:t>
      </w:r>
      <w:r w:rsidR="00BD5CFA" w:rsidRPr="00560C8F">
        <w:t>ups were established to discuss specific aspects of the outline.</w:t>
      </w:r>
    </w:p>
    <w:p w:rsidR="00CF52E9" w:rsidRPr="00560C8F" w:rsidRDefault="00CF52E9"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Participants provided feedback concerning governance and implementation arrangements, including the criteria for selecting a </w:t>
      </w:r>
      <w:r w:rsidR="0002610C" w:rsidRPr="00560C8F">
        <w:t>s</w:t>
      </w:r>
      <w:r w:rsidRPr="00560C8F">
        <w:t xml:space="preserve">teering </w:t>
      </w:r>
      <w:r w:rsidR="0002610C" w:rsidRPr="00560C8F">
        <w:t>c</w:t>
      </w:r>
      <w:r w:rsidRPr="00560C8F">
        <w:t>ommittee</w:t>
      </w:r>
      <w:r w:rsidR="004F6BCA">
        <w:t xml:space="preserve"> balanced with regard to regional and sectoral distribution, gender representation and competences and skills,</w:t>
      </w:r>
      <w:r w:rsidRPr="00560C8F">
        <w:t xml:space="preserve"> to be established by June 2016. The </w:t>
      </w:r>
      <w:r w:rsidR="0002610C" w:rsidRPr="00560C8F">
        <w:t>s</w:t>
      </w:r>
      <w:r w:rsidRPr="00560C8F">
        <w:t xml:space="preserve">teering </w:t>
      </w:r>
      <w:r w:rsidR="0002610C" w:rsidRPr="00560C8F">
        <w:t>c</w:t>
      </w:r>
      <w:r w:rsidRPr="00560C8F">
        <w:t xml:space="preserve">ommittee will provide oversight and advice concerning </w:t>
      </w:r>
      <w:r w:rsidR="007227B9" w:rsidRPr="00560C8F">
        <w:t xml:space="preserve">the second edition of the </w:t>
      </w:r>
      <w:r w:rsidR="007227B9" w:rsidRPr="009E51C2">
        <w:rPr>
          <w:i/>
        </w:rPr>
        <w:t>Global Chemicals Outlook</w:t>
      </w:r>
      <w:r w:rsidR="007227B9" w:rsidRPr="00560C8F">
        <w:t xml:space="preserve"> </w:t>
      </w:r>
      <w:r w:rsidRPr="00560C8F">
        <w:t>on</w:t>
      </w:r>
      <w:r w:rsidR="00C85DA7">
        <w:t xml:space="preserve"> the basis of</w:t>
      </w:r>
      <w:r w:rsidRPr="00560C8F">
        <w:t xml:space="preserve"> clear </w:t>
      </w:r>
      <w:r w:rsidR="0032171C" w:rsidRPr="00560C8F">
        <w:t>terms of reference</w:t>
      </w:r>
      <w:r w:rsidRPr="00560C8F">
        <w:t>.</w:t>
      </w:r>
    </w:p>
    <w:p w:rsidR="00CF52E9" w:rsidRPr="00560C8F" w:rsidRDefault="00C85DA7" w:rsidP="009E51C2">
      <w:pPr>
        <w:pStyle w:val="Normalnumber"/>
        <w:numPr>
          <w:ilvl w:val="0"/>
          <w:numId w:val="17"/>
        </w:numPr>
        <w:tabs>
          <w:tab w:val="clear" w:pos="1247"/>
          <w:tab w:val="clear" w:pos="1814"/>
          <w:tab w:val="clear" w:pos="2381"/>
          <w:tab w:val="clear" w:pos="2948"/>
          <w:tab w:val="clear" w:pos="3515"/>
          <w:tab w:val="clear" w:pos="4082"/>
        </w:tabs>
        <w:ind w:left="1247" w:firstLine="0"/>
      </w:pPr>
      <w:r>
        <w:t>R</w:t>
      </w:r>
      <w:r w:rsidR="00CF52E9" w:rsidRPr="00560C8F">
        <w:t xml:space="preserve">egional perspectives will be considered throughout the preparation of the thematic review papers. Regions will also have the opportunity to provide insights on their priorities related to the chemical management topics examined by </w:t>
      </w:r>
      <w:r w:rsidR="007227B9" w:rsidRPr="00560C8F">
        <w:t xml:space="preserve">the second edition of </w:t>
      </w:r>
      <w:r w:rsidR="007227B9" w:rsidRPr="009E51C2">
        <w:rPr>
          <w:i/>
        </w:rPr>
        <w:t>Global Chemicals Outlook</w:t>
      </w:r>
      <w:r w:rsidR="00CF52E9" w:rsidRPr="00560C8F">
        <w:t>.</w:t>
      </w:r>
    </w:p>
    <w:p w:rsidR="00CF52E9" w:rsidRPr="00560C8F" w:rsidRDefault="00CF52E9"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Considering </w:t>
      </w:r>
      <w:r w:rsidRPr="009D53FE">
        <w:t>the multidisciplinary and multisectoral scope</w:t>
      </w:r>
      <w:r w:rsidRPr="00560C8F">
        <w:t xml:space="preserve"> of </w:t>
      </w:r>
      <w:r w:rsidR="007227B9" w:rsidRPr="00560C8F">
        <w:t>the second edition</w:t>
      </w:r>
      <w:r w:rsidRPr="00560C8F">
        <w:t xml:space="preserve">, close collaboration will be developed with </w:t>
      </w:r>
      <w:r w:rsidR="0002610C" w:rsidRPr="00560C8F">
        <w:t xml:space="preserve">organizations belonging to the </w:t>
      </w:r>
      <w:r w:rsidR="00A35975" w:rsidRPr="00560C8F">
        <w:t>Inter</w:t>
      </w:r>
      <w:r w:rsidR="00A35975" w:rsidRPr="00560C8F">
        <w:noBreakHyphen/>
        <w:t>Organization Programme for the Sound Management of Chemicals</w:t>
      </w:r>
      <w:r w:rsidRPr="00560C8F">
        <w:t>, many of which participated in the consultation. Given existing work</w:t>
      </w:r>
      <w:r w:rsidR="006C7DF7">
        <w:t xml:space="preserve"> –</w:t>
      </w:r>
      <w:r w:rsidR="0002610C" w:rsidRPr="00560C8F">
        <w:t xml:space="preserve"> for example</w:t>
      </w:r>
      <w:r w:rsidR="006C7DF7">
        <w:t>,</w:t>
      </w:r>
      <w:r w:rsidR="0002610C" w:rsidRPr="00560C8F">
        <w:t xml:space="preserve"> by the World </w:t>
      </w:r>
      <w:r w:rsidRPr="00560C8F">
        <w:t>H</w:t>
      </w:r>
      <w:r w:rsidR="0002610C" w:rsidRPr="00560C8F">
        <w:t xml:space="preserve">ealth </w:t>
      </w:r>
      <w:r w:rsidRPr="00560C8F">
        <w:t>O</w:t>
      </w:r>
      <w:r w:rsidR="0002610C" w:rsidRPr="00560C8F">
        <w:t>rganization</w:t>
      </w:r>
      <w:r w:rsidRPr="00560C8F">
        <w:t xml:space="preserve"> </w:t>
      </w:r>
      <w:r w:rsidR="006C7DF7">
        <w:t xml:space="preserve">– </w:t>
      </w:r>
      <w:r w:rsidRPr="00560C8F">
        <w:t>o</w:t>
      </w:r>
      <w:r w:rsidR="006C7DF7">
        <w:t>n</w:t>
      </w:r>
      <w:r w:rsidRPr="00560C8F">
        <w:t xml:space="preserve"> health effects</w:t>
      </w:r>
      <w:r w:rsidR="0002610C" w:rsidRPr="00560C8F">
        <w:t>,</w:t>
      </w:r>
      <w:r w:rsidRPr="00560C8F">
        <w:t xml:space="preserve"> emphasis will be placed on ensuring that </w:t>
      </w:r>
      <w:r w:rsidR="007227B9" w:rsidRPr="00560C8F">
        <w:t>the second edition of the report</w:t>
      </w:r>
      <w:r w:rsidRPr="00560C8F">
        <w:t xml:space="preserve"> creates complementary knowledge while refer</w:t>
      </w:r>
      <w:r w:rsidR="006C7DF7">
        <w:t>ring</w:t>
      </w:r>
      <w:r w:rsidRPr="00560C8F">
        <w:t xml:space="preserve"> to existing knowledge as appropriate.</w:t>
      </w:r>
    </w:p>
    <w:p w:rsidR="00CF52E9" w:rsidRPr="00560C8F" w:rsidRDefault="000B6090" w:rsidP="009E51C2">
      <w:pPr>
        <w:pStyle w:val="Normalnumber"/>
        <w:numPr>
          <w:ilvl w:val="0"/>
          <w:numId w:val="17"/>
        </w:numPr>
        <w:tabs>
          <w:tab w:val="clear" w:pos="1247"/>
          <w:tab w:val="clear" w:pos="1814"/>
          <w:tab w:val="clear" w:pos="2381"/>
          <w:tab w:val="clear" w:pos="2948"/>
          <w:tab w:val="clear" w:pos="3515"/>
          <w:tab w:val="clear" w:pos="4082"/>
        </w:tabs>
        <w:ind w:left="1247" w:firstLine="0"/>
      </w:pPr>
      <w:r>
        <w:t>As</w:t>
      </w:r>
      <w:r w:rsidR="00CF52E9" w:rsidRPr="00560C8F">
        <w:t xml:space="preserve"> </w:t>
      </w:r>
      <w:r w:rsidR="007227B9" w:rsidRPr="00560C8F">
        <w:t xml:space="preserve">the second edition of </w:t>
      </w:r>
      <w:r w:rsidR="007227B9" w:rsidRPr="009E51C2">
        <w:rPr>
          <w:i/>
        </w:rPr>
        <w:t>Global Chemicals Outlook</w:t>
      </w:r>
      <w:r w:rsidR="007227B9" w:rsidRPr="00560C8F">
        <w:t xml:space="preserve"> </w:t>
      </w:r>
      <w:r>
        <w:t xml:space="preserve">is meant </w:t>
      </w:r>
      <w:r w:rsidR="00CF52E9" w:rsidRPr="00560C8F">
        <w:t xml:space="preserve">to be </w:t>
      </w:r>
      <w:r w:rsidR="0002610C" w:rsidRPr="00560C8F">
        <w:t>policy</w:t>
      </w:r>
      <w:r w:rsidR="0002610C" w:rsidRPr="00560C8F">
        <w:noBreakHyphen/>
      </w:r>
      <w:r w:rsidR="00CF52E9" w:rsidRPr="00560C8F">
        <w:t xml:space="preserve">relevant, participants also discussed the need to develop a robust communication strategy. A number of recommendations were made, including the need for a dedicated website, press releases </w:t>
      </w:r>
      <w:r>
        <w:t>and the like</w:t>
      </w:r>
      <w:r w:rsidR="00CF52E9" w:rsidRPr="00560C8F">
        <w:t>. In th</w:t>
      </w:r>
      <w:r w:rsidR="005D06CD">
        <w:t>at</w:t>
      </w:r>
      <w:r w:rsidR="00CF52E9" w:rsidRPr="00560C8F">
        <w:t xml:space="preserve"> regard, the </w:t>
      </w:r>
      <w:r w:rsidR="00CF52E9" w:rsidRPr="00560C8F">
        <w:lastRenderedPageBreak/>
        <w:t xml:space="preserve">experience of communication experts from </w:t>
      </w:r>
      <w:r>
        <w:t>the private and public sectors</w:t>
      </w:r>
      <w:r w:rsidRPr="00560C8F">
        <w:t>,</w:t>
      </w:r>
      <w:r w:rsidR="00CF52E9" w:rsidRPr="00560C8F">
        <w:t xml:space="preserve"> </w:t>
      </w:r>
      <w:r w:rsidR="00A35975" w:rsidRPr="00560C8F">
        <w:t xml:space="preserve">intergovernmental </w:t>
      </w:r>
      <w:r>
        <w:t xml:space="preserve">and non-governmental </w:t>
      </w:r>
      <w:r w:rsidR="00A35975" w:rsidRPr="00560C8F">
        <w:t>organizations</w:t>
      </w:r>
      <w:r w:rsidR="0002610C" w:rsidRPr="00560C8F">
        <w:t xml:space="preserve"> </w:t>
      </w:r>
      <w:r w:rsidR="00CF52E9" w:rsidRPr="00560C8F">
        <w:t>and regional offices should be utilized.</w:t>
      </w:r>
    </w:p>
    <w:p w:rsidR="00E2216B" w:rsidRPr="00560C8F" w:rsidRDefault="00915D7C" w:rsidP="00915D7C">
      <w:pPr>
        <w:pStyle w:val="CH2"/>
      </w:pPr>
      <w:r w:rsidRPr="00560C8F">
        <w:tab/>
        <w:t>C.</w:t>
      </w:r>
      <w:r w:rsidRPr="00560C8F">
        <w:tab/>
      </w:r>
      <w:r w:rsidR="00050669" w:rsidRPr="00560C8F">
        <w:t xml:space="preserve">Next </w:t>
      </w:r>
      <w:r w:rsidR="0002610C" w:rsidRPr="00560C8F">
        <w:t xml:space="preserve">steps </w:t>
      </w:r>
      <w:r w:rsidR="00050669" w:rsidRPr="00560C8F">
        <w:t xml:space="preserve">and </w:t>
      </w:r>
      <w:r w:rsidR="0002610C" w:rsidRPr="00560C8F">
        <w:t>f</w:t>
      </w:r>
      <w:r w:rsidR="00050669" w:rsidRPr="00560C8F">
        <w:t>ollow-up</w:t>
      </w:r>
    </w:p>
    <w:p w:rsidR="005802C9" w:rsidRPr="00560C8F" w:rsidRDefault="00CF52E9"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 xml:space="preserve">The </w:t>
      </w:r>
      <w:r w:rsidR="000B6090">
        <w:t xml:space="preserve">following table shows the expected schedule for </w:t>
      </w:r>
      <w:r w:rsidRPr="00560C8F">
        <w:t xml:space="preserve">developing </w:t>
      </w:r>
      <w:r w:rsidR="007227B9" w:rsidRPr="00560C8F">
        <w:t xml:space="preserve">the second edition of </w:t>
      </w:r>
      <w:r w:rsidR="007227B9" w:rsidRPr="009E51C2">
        <w:rPr>
          <w:i/>
        </w:rPr>
        <w:t>Global Chemicals Outlook</w:t>
      </w:r>
      <w:r w:rsidRPr="00560C8F">
        <w:t xml:space="preserve">, including </w:t>
      </w:r>
      <w:r w:rsidR="000B6090">
        <w:t>coordination with</w:t>
      </w:r>
      <w:r w:rsidRPr="00560C8F">
        <w:t xml:space="preserve"> the intersessional process</w:t>
      </w:r>
      <w:r w:rsidR="00FA20BA" w:rsidRPr="00560C8F">
        <w:t xml:space="preserve"> on SAICM and sound management of chemicals and waste beyond 2020</w:t>
      </w:r>
      <w:r w:rsidRPr="00560C8F">
        <w:t xml:space="preserve">. </w:t>
      </w:r>
    </w:p>
    <w:tbl>
      <w:tblPr>
        <w:tblW w:w="9389" w:type="dxa"/>
        <w:tblInd w:w="578" w:type="dxa"/>
        <w:tblLayout w:type="fixed"/>
        <w:tblCellMar>
          <w:left w:w="0" w:type="dxa"/>
          <w:right w:w="0" w:type="dxa"/>
        </w:tblCellMar>
        <w:tblLook w:val="04A0" w:firstRow="1" w:lastRow="0" w:firstColumn="1" w:lastColumn="0" w:noHBand="0" w:noVBand="1"/>
      </w:tblPr>
      <w:tblGrid>
        <w:gridCol w:w="1341"/>
        <w:gridCol w:w="1341"/>
        <w:gridCol w:w="1341"/>
        <w:gridCol w:w="1342"/>
        <w:gridCol w:w="1341"/>
        <w:gridCol w:w="1341"/>
        <w:gridCol w:w="1342"/>
      </w:tblGrid>
      <w:tr w:rsidR="00CF52E9" w:rsidRPr="0049579A" w:rsidTr="009E51C2">
        <w:tc>
          <w:tcPr>
            <w:tcW w:w="1341" w:type="dxa"/>
            <w:tcBorders>
              <w:top w:val="single" w:sz="8" w:space="0" w:color="FFFFFF"/>
              <w:left w:val="single" w:sz="8" w:space="0" w:color="FFFFFF"/>
              <w:bottom w:val="single" w:sz="24" w:space="0" w:color="FFFFFF"/>
              <w:right w:val="single" w:sz="8" w:space="0" w:color="FFFFFF"/>
            </w:tcBorders>
            <w:shd w:val="clear" w:color="auto" w:fill="4F81BD"/>
          </w:tcPr>
          <w:p w:rsidR="00CF52E9" w:rsidRPr="009E51C2" w:rsidRDefault="00CF52E9" w:rsidP="009E51C2">
            <w:pPr>
              <w:keepNext/>
              <w:keepLines/>
              <w:spacing w:before="40" w:after="40"/>
              <w:ind w:left="57"/>
              <w:rPr>
                <w:b/>
                <w:bCs/>
                <w:color w:val="FFFFFF"/>
                <w:kern w:val="24"/>
                <w:sz w:val="18"/>
                <w:szCs w:val="18"/>
                <w:lang w:val="en-GB"/>
              </w:rPr>
            </w:pPr>
          </w:p>
        </w:tc>
        <w:tc>
          <w:tcPr>
            <w:tcW w:w="1341"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
          <w:p w:rsidR="00CF52E9" w:rsidRPr="009E51C2" w:rsidRDefault="00CF52E9" w:rsidP="009E51C2">
            <w:pPr>
              <w:keepNext/>
              <w:keepLines/>
              <w:spacing w:before="40" w:after="40"/>
              <w:jc w:val="center"/>
              <w:rPr>
                <w:sz w:val="18"/>
                <w:szCs w:val="18"/>
                <w:lang w:val="en-GB"/>
              </w:rPr>
            </w:pPr>
            <w:r w:rsidRPr="009E51C2">
              <w:rPr>
                <w:b/>
                <w:bCs/>
                <w:color w:val="FFFFFF"/>
                <w:kern w:val="24"/>
                <w:sz w:val="18"/>
                <w:szCs w:val="18"/>
                <w:lang w:val="en-GB"/>
              </w:rPr>
              <w:t>Jun</w:t>
            </w:r>
            <w:r w:rsidR="0049579A">
              <w:rPr>
                <w:b/>
                <w:bCs/>
                <w:color w:val="FFFFFF"/>
                <w:kern w:val="24"/>
                <w:sz w:val="18"/>
                <w:szCs w:val="18"/>
                <w:lang w:val="en-GB"/>
              </w:rPr>
              <w:t>e</w:t>
            </w:r>
            <w:r w:rsidR="006C7F32" w:rsidRPr="00560C8F">
              <w:rPr>
                <w:b/>
                <w:bCs/>
                <w:color w:val="FFFFFF"/>
                <w:kern w:val="24"/>
                <w:sz w:val="18"/>
                <w:szCs w:val="18"/>
                <w:lang w:val="en-GB"/>
              </w:rPr>
              <w:br/>
            </w:r>
            <w:r w:rsidRPr="009E51C2">
              <w:rPr>
                <w:b/>
                <w:bCs/>
                <w:color w:val="FFFFFF"/>
                <w:kern w:val="24"/>
                <w:sz w:val="18"/>
                <w:szCs w:val="18"/>
                <w:lang w:val="en-GB"/>
              </w:rPr>
              <w:t>2016</w:t>
            </w:r>
          </w:p>
        </w:tc>
        <w:tc>
          <w:tcPr>
            <w:tcW w:w="1341"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
          <w:p w:rsidR="00CF52E9" w:rsidRPr="009E51C2" w:rsidRDefault="00CF52E9" w:rsidP="009E51C2">
            <w:pPr>
              <w:keepNext/>
              <w:keepLines/>
              <w:spacing w:before="40" w:after="40"/>
              <w:jc w:val="center"/>
              <w:rPr>
                <w:sz w:val="18"/>
                <w:szCs w:val="18"/>
                <w:lang w:val="en-GB"/>
              </w:rPr>
            </w:pPr>
            <w:r w:rsidRPr="009E51C2">
              <w:rPr>
                <w:b/>
                <w:bCs/>
                <w:color w:val="FFFFFF"/>
                <w:kern w:val="24"/>
                <w:sz w:val="18"/>
                <w:szCs w:val="18"/>
                <w:lang w:val="en-GB"/>
              </w:rPr>
              <w:t>Dec</w:t>
            </w:r>
            <w:r w:rsidR="0049579A">
              <w:rPr>
                <w:b/>
                <w:bCs/>
                <w:color w:val="FFFFFF"/>
                <w:kern w:val="24"/>
                <w:sz w:val="18"/>
                <w:szCs w:val="18"/>
                <w:lang w:val="en-GB"/>
              </w:rPr>
              <w:t>.</w:t>
            </w:r>
            <w:r w:rsidR="006C7F32" w:rsidRPr="00560C8F">
              <w:rPr>
                <w:b/>
                <w:bCs/>
                <w:color w:val="FFFFFF"/>
                <w:kern w:val="24"/>
                <w:sz w:val="18"/>
                <w:szCs w:val="18"/>
                <w:lang w:val="en-GB"/>
              </w:rPr>
              <w:br/>
            </w:r>
            <w:r w:rsidRPr="009E51C2">
              <w:rPr>
                <w:b/>
                <w:bCs/>
                <w:color w:val="FFFFFF"/>
                <w:kern w:val="24"/>
                <w:sz w:val="18"/>
                <w:szCs w:val="18"/>
                <w:lang w:val="en-GB"/>
              </w:rPr>
              <w:t>2016</w:t>
            </w:r>
          </w:p>
        </w:tc>
        <w:tc>
          <w:tcPr>
            <w:tcW w:w="1342"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
          <w:p w:rsidR="00CF52E9" w:rsidRPr="009E51C2" w:rsidRDefault="00CF52E9" w:rsidP="009E51C2">
            <w:pPr>
              <w:keepNext/>
              <w:keepLines/>
              <w:spacing w:before="40" w:after="40"/>
              <w:jc w:val="center"/>
              <w:rPr>
                <w:sz w:val="18"/>
                <w:szCs w:val="18"/>
                <w:lang w:val="en-GB"/>
              </w:rPr>
            </w:pPr>
            <w:r w:rsidRPr="009E51C2">
              <w:rPr>
                <w:b/>
                <w:bCs/>
                <w:color w:val="FFFFFF"/>
                <w:kern w:val="24"/>
                <w:sz w:val="18"/>
                <w:szCs w:val="18"/>
                <w:lang w:val="en-GB"/>
              </w:rPr>
              <w:t>Jan</w:t>
            </w:r>
            <w:r w:rsidR="0049579A">
              <w:rPr>
                <w:b/>
                <w:bCs/>
                <w:color w:val="FFFFFF"/>
                <w:kern w:val="24"/>
                <w:sz w:val="18"/>
                <w:szCs w:val="18"/>
                <w:lang w:val="en-GB"/>
              </w:rPr>
              <w:t>.</w:t>
            </w:r>
            <w:r w:rsidR="005D06CD">
              <w:rPr>
                <w:b/>
                <w:bCs/>
                <w:color w:val="FFFFFF"/>
                <w:kern w:val="24"/>
                <w:sz w:val="18"/>
                <w:szCs w:val="18"/>
                <w:lang w:val="en-GB"/>
              </w:rPr>
              <w:t>–</w:t>
            </w:r>
            <w:r w:rsidRPr="009E51C2">
              <w:rPr>
                <w:b/>
                <w:bCs/>
                <w:color w:val="FFFFFF"/>
                <w:kern w:val="24"/>
                <w:sz w:val="18"/>
                <w:szCs w:val="18"/>
                <w:lang w:val="en-GB"/>
              </w:rPr>
              <w:t>Jun</w:t>
            </w:r>
            <w:r w:rsidR="0049579A">
              <w:rPr>
                <w:b/>
                <w:bCs/>
                <w:color w:val="FFFFFF"/>
                <w:kern w:val="24"/>
                <w:sz w:val="18"/>
                <w:szCs w:val="18"/>
                <w:lang w:val="en-GB"/>
              </w:rPr>
              <w:t>e</w:t>
            </w:r>
            <w:r w:rsidR="006C7F32" w:rsidRPr="00560C8F">
              <w:rPr>
                <w:b/>
                <w:bCs/>
                <w:color w:val="FFFFFF"/>
                <w:kern w:val="24"/>
                <w:sz w:val="18"/>
                <w:szCs w:val="18"/>
                <w:lang w:val="en-GB"/>
              </w:rPr>
              <w:br/>
            </w:r>
            <w:r w:rsidRPr="009E51C2">
              <w:rPr>
                <w:b/>
                <w:bCs/>
                <w:color w:val="FFFFFF"/>
                <w:kern w:val="24"/>
                <w:sz w:val="18"/>
                <w:szCs w:val="18"/>
                <w:lang w:val="en-GB"/>
              </w:rPr>
              <w:t>2017</w:t>
            </w:r>
          </w:p>
        </w:tc>
        <w:tc>
          <w:tcPr>
            <w:tcW w:w="1341"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
          <w:p w:rsidR="00CF52E9" w:rsidRPr="009E51C2" w:rsidRDefault="00CF52E9" w:rsidP="009E51C2">
            <w:pPr>
              <w:keepNext/>
              <w:keepLines/>
              <w:spacing w:before="40" w:after="40"/>
              <w:jc w:val="center"/>
              <w:rPr>
                <w:sz w:val="18"/>
                <w:szCs w:val="18"/>
                <w:lang w:val="en-GB"/>
              </w:rPr>
            </w:pPr>
            <w:r w:rsidRPr="009E51C2">
              <w:rPr>
                <w:b/>
                <w:bCs/>
                <w:color w:val="FFFFFF"/>
                <w:kern w:val="24"/>
                <w:sz w:val="18"/>
                <w:szCs w:val="18"/>
                <w:lang w:val="en-GB"/>
              </w:rPr>
              <w:t>Jul</w:t>
            </w:r>
            <w:r w:rsidR="0049579A">
              <w:rPr>
                <w:b/>
                <w:bCs/>
                <w:color w:val="FFFFFF"/>
                <w:kern w:val="24"/>
                <w:sz w:val="18"/>
                <w:szCs w:val="18"/>
                <w:lang w:val="en-GB"/>
              </w:rPr>
              <w:t>y</w:t>
            </w:r>
            <w:r w:rsidR="005D06CD">
              <w:rPr>
                <w:b/>
                <w:bCs/>
                <w:color w:val="FFFFFF"/>
                <w:kern w:val="24"/>
                <w:sz w:val="18"/>
                <w:szCs w:val="18"/>
                <w:lang w:val="en-GB"/>
              </w:rPr>
              <w:t>–</w:t>
            </w:r>
            <w:r w:rsidRPr="009E51C2">
              <w:rPr>
                <w:b/>
                <w:bCs/>
                <w:color w:val="FFFFFF"/>
                <w:kern w:val="24"/>
                <w:sz w:val="18"/>
                <w:szCs w:val="18"/>
                <w:lang w:val="en-GB"/>
              </w:rPr>
              <w:t>Dec</w:t>
            </w:r>
            <w:r w:rsidR="0049579A">
              <w:rPr>
                <w:b/>
                <w:bCs/>
                <w:color w:val="FFFFFF"/>
                <w:kern w:val="24"/>
                <w:sz w:val="18"/>
                <w:szCs w:val="18"/>
                <w:lang w:val="en-GB"/>
              </w:rPr>
              <w:t>.</w:t>
            </w:r>
            <w:r w:rsidR="006C7F32" w:rsidRPr="00560C8F">
              <w:rPr>
                <w:sz w:val="18"/>
                <w:szCs w:val="18"/>
                <w:lang w:val="en-GB"/>
              </w:rPr>
              <w:br/>
            </w:r>
            <w:r w:rsidRPr="009E51C2">
              <w:rPr>
                <w:b/>
                <w:bCs/>
                <w:color w:val="FFFFFF"/>
                <w:kern w:val="24"/>
                <w:sz w:val="18"/>
                <w:szCs w:val="18"/>
                <w:lang w:val="en-GB"/>
              </w:rPr>
              <w:t>2017</w:t>
            </w:r>
          </w:p>
        </w:tc>
        <w:tc>
          <w:tcPr>
            <w:tcW w:w="1341"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
          <w:p w:rsidR="00CF52E9" w:rsidRPr="009E51C2" w:rsidRDefault="00CF52E9" w:rsidP="009E51C2">
            <w:pPr>
              <w:keepNext/>
              <w:keepLines/>
              <w:spacing w:before="40" w:after="40"/>
              <w:jc w:val="center"/>
              <w:rPr>
                <w:sz w:val="18"/>
                <w:szCs w:val="18"/>
                <w:lang w:val="en-GB"/>
              </w:rPr>
            </w:pPr>
            <w:r w:rsidRPr="009E51C2">
              <w:rPr>
                <w:b/>
                <w:bCs/>
                <w:color w:val="FFFFFF"/>
                <w:kern w:val="24"/>
                <w:sz w:val="18"/>
                <w:szCs w:val="18"/>
                <w:lang w:val="en-GB"/>
              </w:rPr>
              <w:t>Jan</w:t>
            </w:r>
            <w:r w:rsidR="0049579A">
              <w:rPr>
                <w:b/>
                <w:bCs/>
                <w:color w:val="FFFFFF"/>
                <w:kern w:val="24"/>
                <w:sz w:val="18"/>
                <w:szCs w:val="18"/>
                <w:lang w:val="en-GB"/>
              </w:rPr>
              <w:t>.</w:t>
            </w:r>
            <w:r w:rsidR="005D06CD">
              <w:rPr>
                <w:b/>
                <w:bCs/>
                <w:color w:val="FFFFFF"/>
                <w:kern w:val="24"/>
                <w:sz w:val="18"/>
                <w:szCs w:val="18"/>
                <w:lang w:val="en-GB"/>
              </w:rPr>
              <w:t>–</w:t>
            </w:r>
            <w:r w:rsidR="006C7F32" w:rsidRPr="009E51C2">
              <w:rPr>
                <w:b/>
                <w:bCs/>
                <w:color w:val="FFFFFF"/>
                <w:kern w:val="24"/>
                <w:sz w:val="18"/>
                <w:szCs w:val="18"/>
                <w:lang w:val="en-GB"/>
              </w:rPr>
              <w:t>Jun</w:t>
            </w:r>
            <w:r w:rsidR="0049579A">
              <w:rPr>
                <w:b/>
                <w:bCs/>
                <w:color w:val="FFFFFF"/>
                <w:kern w:val="24"/>
                <w:sz w:val="18"/>
                <w:szCs w:val="18"/>
                <w:lang w:val="en-GB"/>
              </w:rPr>
              <w:t>e</w:t>
            </w:r>
            <w:r w:rsidR="006C7F32" w:rsidRPr="00560C8F">
              <w:rPr>
                <w:b/>
                <w:bCs/>
                <w:color w:val="FFFFFF"/>
                <w:kern w:val="24"/>
                <w:sz w:val="18"/>
                <w:szCs w:val="18"/>
                <w:lang w:val="en-GB"/>
              </w:rPr>
              <w:br/>
            </w:r>
            <w:r w:rsidRPr="009E51C2">
              <w:rPr>
                <w:b/>
                <w:bCs/>
                <w:color w:val="FFFFFF"/>
                <w:kern w:val="24"/>
                <w:sz w:val="18"/>
                <w:szCs w:val="18"/>
                <w:lang w:val="en-GB"/>
              </w:rPr>
              <w:t>2018</w:t>
            </w:r>
          </w:p>
        </w:tc>
        <w:tc>
          <w:tcPr>
            <w:tcW w:w="1342" w:type="dxa"/>
            <w:tcBorders>
              <w:top w:val="single" w:sz="8" w:space="0" w:color="FFFFFF"/>
              <w:left w:val="single" w:sz="8" w:space="0" w:color="FFFFFF"/>
              <w:bottom w:val="single" w:sz="24" w:space="0" w:color="FFFFFF"/>
              <w:right w:val="single" w:sz="8" w:space="0" w:color="FFFFFF"/>
            </w:tcBorders>
            <w:shd w:val="clear" w:color="auto" w:fill="4F81BD"/>
            <w:tcMar>
              <w:top w:w="15" w:type="dxa"/>
              <w:left w:w="108" w:type="dxa"/>
              <w:bottom w:w="0" w:type="dxa"/>
              <w:right w:w="108" w:type="dxa"/>
            </w:tcMar>
            <w:hideMark/>
          </w:tcPr>
          <w:p w:rsidR="00CF52E9" w:rsidRPr="009E51C2" w:rsidRDefault="00CF52E9" w:rsidP="009E51C2">
            <w:pPr>
              <w:keepNext/>
              <w:keepLines/>
              <w:spacing w:before="40" w:after="40"/>
              <w:jc w:val="center"/>
              <w:rPr>
                <w:sz w:val="18"/>
                <w:szCs w:val="18"/>
                <w:lang w:val="en-GB"/>
              </w:rPr>
            </w:pPr>
            <w:r w:rsidRPr="009E51C2">
              <w:rPr>
                <w:b/>
                <w:bCs/>
                <w:color w:val="FFFFFF"/>
                <w:kern w:val="24"/>
                <w:sz w:val="18"/>
                <w:szCs w:val="18"/>
                <w:lang w:val="en-GB"/>
              </w:rPr>
              <w:t>Jul</w:t>
            </w:r>
            <w:r w:rsidR="0049579A">
              <w:rPr>
                <w:b/>
                <w:bCs/>
                <w:color w:val="FFFFFF"/>
                <w:kern w:val="24"/>
                <w:sz w:val="18"/>
                <w:szCs w:val="18"/>
                <w:lang w:val="en-GB"/>
              </w:rPr>
              <w:t>y</w:t>
            </w:r>
            <w:r w:rsidR="005D06CD">
              <w:rPr>
                <w:b/>
                <w:bCs/>
                <w:color w:val="FFFFFF"/>
                <w:kern w:val="24"/>
                <w:sz w:val="18"/>
                <w:szCs w:val="18"/>
                <w:lang w:val="en-GB"/>
              </w:rPr>
              <w:t>–</w:t>
            </w:r>
            <w:r w:rsidR="006C7F32" w:rsidRPr="009E51C2">
              <w:rPr>
                <w:b/>
                <w:bCs/>
                <w:color w:val="FFFFFF"/>
                <w:kern w:val="24"/>
                <w:sz w:val="18"/>
                <w:szCs w:val="18"/>
                <w:lang w:val="en-GB"/>
              </w:rPr>
              <w:t>Dec</w:t>
            </w:r>
            <w:r w:rsidR="0049579A">
              <w:rPr>
                <w:b/>
                <w:bCs/>
                <w:color w:val="FFFFFF"/>
                <w:kern w:val="24"/>
                <w:sz w:val="18"/>
                <w:szCs w:val="18"/>
                <w:lang w:val="en-GB"/>
              </w:rPr>
              <w:t>.</w:t>
            </w:r>
            <w:r w:rsidR="006C7F32" w:rsidRPr="00560C8F">
              <w:rPr>
                <w:b/>
                <w:bCs/>
                <w:color w:val="FFFFFF"/>
                <w:kern w:val="24"/>
                <w:sz w:val="18"/>
                <w:szCs w:val="18"/>
                <w:lang w:val="en-GB"/>
              </w:rPr>
              <w:br/>
            </w:r>
            <w:r w:rsidRPr="009E51C2">
              <w:rPr>
                <w:b/>
                <w:bCs/>
                <w:color w:val="FFFFFF"/>
                <w:kern w:val="24"/>
                <w:sz w:val="18"/>
                <w:szCs w:val="18"/>
                <w:lang w:val="en-GB"/>
              </w:rPr>
              <w:t>2018</w:t>
            </w:r>
          </w:p>
        </w:tc>
      </w:tr>
      <w:tr w:rsidR="00CF52E9" w:rsidRPr="00BF530A" w:rsidTr="009E51C2">
        <w:tc>
          <w:tcPr>
            <w:tcW w:w="1341" w:type="dxa"/>
            <w:tcBorders>
              <w:top w:val="single" w:sz="24" w:space="0" w:color="FFFFFF"/>
              <w:left w:val="single" w:sz="8" w:space="0" w:color="FFFFFF"/>
              <w:bottom w:val="single" w:sz="8" w:space="0" w:color="FFFFFF"/>
              <w:right w:val="single" w:sz="8" w:space="0" w:color="FFFFFF"/>
            </w:tcBorders>
            <w:shd w:val="clear" w:color="auto" w:fill="C6D9F1"/>
          </w:tcPr>
          <w:p w:rsidR="00CF52E9" w:rsidRPr="009E51C2" w:rsidRDefault="00CF52E9" w:rsidP="009E51C2">
            <w:pPr>
              <w:keepNext/>
              <w:keepLines/>
              <w:spacing w:before="40" w:after="40"/>
              <w:ind w:left="57"/>
              <w:rPr>
                <w:b/>
                <w:bCs/>
                <w:kern w:val="24"/>
                <w:sz w:val="18"/>
                <w:szCs w:val="18"/>
                <w:lang w:val="en-GB"/>
              </w:rPr>
            </w:pPr>
            <w:r w:rsidRPr="009E51C2">
              <w:rPr>
                <w:b/>
                <w:bCs/>
                <w:kern w:val="24"/>
                <w:sz w:val="18"/>
                <w:szCs w:val="18"/>
                <w:lang w:val="en-GB"/>
              </w:rPr>
              <w:t>Milestones</w:t>
            </w:r>
            <w:r w:rsidR="007227B9" w:rsidRPr="00560C8F">
              <w:rPr>
                <w:b/>
                <w:bCs/>
                <w:kern w:val="24"/>
                <w:sz w:val="18"/>
                <w:szCs w:val="18"/>
                <w:lang w:val="en-GB"/>
              </w:rPr>
              <w:t xml:space="preserve"> of </w:t>
            </w:r>
            <w:r w:rsidR="003612A4">
              <w:rPr>
                <w:b/>
                <w:bCs/>
                <w:kern w:val="24"/>
                <w:sz w:val="18"/>
                <w:szCs w:val="18"/>
                <w:lang w:val="en-GB"/>
              </w:rPr>
              <w:t xml:space="preserve">preparation of </w:t>
            </w:r>
            <w:r w:rsidR="007227B9" w:rsidRPr="009E51C2">
              <w:rPr>
                <w:b/>
                <w:bCs/>
                <w:kern w:val="24"/>
                <w:sz w:val="18"/>
                <w:szCs w:val="18"/>
                <w:lang w:val="en-GB"/>
              </w:rPr>
              <w:t xml:space="preserve">the second edition of </w:t>
            </w:r>
            <w:r w:rsidR="007227B9" w:rsidRPr="009E51C2">
              <w:rPr>
                <w:b/>
                <w:bCs/>
                <w:i/>
                <w:kern w:val="24"/>
                <w:sz w:val="18"/>
                <w:szCs w:val="18"/>
                <w:lang w:val="en-GB"/>
              </w:rPr>
              <w:t>Global Chemicals Outlook</w:t>
            </w:r>
          </w:p>
        </w:tc>
        <w:tc>
          <w:tcPr>
            <w:tcW w:w="1341" w:type="dxa"/>
            <w:tcBorders>
              <w:top w:val="single" w:sz="24" w:space="0" w:color="FFFFFF"/>
              <w:left w:val="single" w:sz="8" w:space="0" w:color="FFFFFF"/>
              <w:bottom w:val="single" w:sz="8" w:space="0" w:color="FFFFFF"/>
              <w:right w:val="single" w:sz="8" w:space="0" w:color="FFFFFF"/>
            </w:tcBorders>
            <w:shd w:val="clear" w:color="auto" w:fill="C6D9F1"/>
            <w:tcMar>
              <w:top w:w="15" w:type="dxa"/>
              <w:left w:w="108" w:type="dxa"/>
              <w:bottom w:w="0" w:type="dxa"/>
              <w:right w:w="108" w:type="dxa"/>
            </w:tcMar>
            <w:hideMark/>
          </w:tcPr>
          <w:p w:rsidR="00CF52E9" w:rsidRPr="009E51C2" w:rsidRDefault="00CF52E9" w:rsidP="009E51C2">
            <w:pPr>
              <w:keepNext/>
              <w:keepLines/>
              <w:spacing w:before="40" w:after="40"/>
              <w:rPr>
                <w:sz w:val="18"/>
                <w:szCs w:val="18"/>
                <w:lang w:val="en-GB"/>
              </w:rPr>
            </w:pPr>
            <w:r w:rsidRPr="009E51C2">
              <w:rPr>
                <w:bCs/>
                <w:kern w:val="24"/>
                <w:sz w:val="18"/>
                <w:szCs w:val="18"/>
                <w:lang w:val="en-GB"/>
              </w:rPr>
              <w:t>Steering committee established</w:t>
            </w:r>
          </w:p>
        </w:tc>
        <w:tc>
          <w:tcPr>
            <w:tcW w:w="1341"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p w:rsidR="00CF52E9" w:rsidRPr="009E51C2" w:rsidRDefault="0002610C" w:rsidP="009E51C2">
            <w:pPr>
              <w:keepNext/>
              <w:keepLines/>
              <w:spacing w:before="40" w:after="40"/>
              <w:rPr>
                <w:sz w:val="18"/>
                <w:szCs w:val="18"/>
                <w:lang w:val="en-GB"/>
              </w:rPr>
            </w:pPr>
            <w:r w:rsidRPr="00560C8F">
              <w:rPr>
                <w:color w:val="000000"/>
                <w:kern w:val="24"/>
                <w:sz w:val="18"/>
                <w:szCs w:val="18"/>
                <w:lang w:val="en-GB"/>
              </w:rPr>
              <w:t>Six</w:t>
            </w:r>
            <w:r w:rsidRPr="009E51C2">
              <w:rPr>
                <w:color w:val="000000"/>
                <w:kern w:val="24"/>
                <w:sz w:val="18"/>
                <w:szCs w:val="18"/>
                <w:lang w:val="en-GB"/>
              </w:rPr>
              <w:t xml:space="preserve"> </w:t>
            </w:r>
            <w:r w:rsidR="00CF52E9" w:rsidRPr="009E51C2">
              <w:rPr>
                <w:color w:val="000000"/>
                <w:kern w:val="24"/>
                <w:sz w:val="18"/>
                <w:szCs w:val="18"/>
                <w:lang w:val="en-GB"/>
              </w:rPr>
              <w:t>thematic review papers completed</w:t>
            </w:r>
          </w:p>
        </w:tc>
        <w:tc>
          <w:tcPr>
            <w:tcW w:w="1342"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p w:rsidR="00CF52E9" w:rsidRPr="009E51C2" w:rsidRDefault="0002610C" w:rsidP="009E51C2">
            <w:pPr>
              <w:keepNext/>
              <w:keepLines/>
              <w:spacing w:before="40" w:after="40"/>
              <w:rPr>
                <w:sz w:val="18"/>
                <w:szCs w:val="18"/>
                <w:lang w:val="en-GB"/>
              </w:rPr>
            </w:pPr>
            <w:r w:rsidRPr="00560C8F">
              <w:rPr>
                <w:color w:val="000000"/>
                <w:kern w:val="24"/>
                <w:sz w:val="18"/>
                <w:szCs w:val="18"/>
                <w:lang w:val="en-GB"/>
              </w:rPr>
              <w:t xml:space="preserve">Six </w:t>
            </w:r>
            <w:r w:rsidR="00CF52E9" w:rsidRPr="009E51C2">
              <w:rPr>
                <w:color w:val="000000"/>
                <w:kern w:val="24"/>
                <w:sz w:val="18"/>
                <w:szCs w:val="18"/>
                <w:lang w:val="en-GB"/>
              </w:rPr>
              <w:t>additional thematic review papers completed</w:t>
            </w:r>
          </w:p>
        </w:tc>
        <w:tc>
          <w:tcPr>
            <w:tcW w:w="1341"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p w:rsidR="00CF52E9" w:rsidRPr="009E51C2" w:rsidRDefault="00CF52E9" w:rsidP="009E51C2">
            <w:pPr>
              <w:keepNext/>
              <w:keepLines/>
              <w:spacing w:before="40" w:after="40"/>
              <w:rPr>
                <w:sz w:val="18"/>
                <w:szCs w:val="18"/>
                <w:lang w:val="en-GB"/>
              </w:rPr>
            </w:pPr>
            <w:r w:rsidRPr="009E51C2">
              <w:rPr>
                <w:color w:val="000000"/>
                <w:kern w:val="24"/>
                <w:sz w:val="18"/>
                <w:szCs w:val="18"/>
                <w:lang w:val="en-GB"/>
              </w:rPr>
              <w:t xml:space="preserve">Final </w:t>
            </w:r>
            <w:r w:rsidR="0002610C" w:rsidRPr="00560C8F">
              <w:rPr>
                <w:color w:val="000000"/>
                <w:kern w:val="24"/>
                <w:sz w:val="18"/>
                <w:szCs w:val="18"/>
                <w:lang w:val="en-GB"/>
              </w:rPr>
              <w:t>six</w:t>
            </w:r>
            <w:r w:rsidR="0002610C" w:rsidRPr="009E51C2">
              <w:rPr>
                <w:color w:val="000000"/>
                <w:kern w:val="24"/>
                <w:sz w:val="18"/>
                <w:szCs w:val="18"/>
                <w:lang w:val="en-GB"/>
              </w:rPr>
              <w:t xml:space="preserve"> </w:t>
            </w:r>
            <w:r w:rsidRPr="009E51C2">
              <w:rPr>
                <w:color w:val="000000"/>
                <w:kern w:val="24"/>
                <w:sz w:val="18"/>
                <w:szCs w:val="18"/>
                <w:lang w:val="en-GB"/>
              </w:rPr>
              <w:t>thematic review papers completed</w:t>
            </w:r>
          </w:p>
        </w:tc>
        <w:tc>
          <w:tcPr>
            <w:tcW w:w="1341"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p w:rsidR="00CF52E9" w:rsidRPr="009E51C2" w:rsidRDefault="00CF52E9" w:rsidP="009E51C2">
            <w:pPr>
              <w:keepNext/>
              <w:keepLines/>
              <w:spacing w:before="40" w:after="40"/>
              <w:rPr>
                <w:color w:val="000000"/>
                <w:kern w:val="24"/>
                <w:sz w:val="18"/>
                <w:szCs w:val="18"/>
                <w:lang w:val="en-GB"/>
              </w:rPr>
            </w:pPr>
            <w:r w:rsidRPr="009E51C2">
              <w:rPr>
                <w:i/>
                <w:color w:val="000000"/>
                <w:kern w:val="24"/>
                <w:sz w:val="18"/>
                <w:szCs w:val="18"/>
                <w:lang w:val="en-GB"/>
              </w:rPr>
              <w:t xml:space="preserve">Global </w:t>
            </w:r>
            <w:r w:rsidR="0002610C" w:rsidRPr="009E51C2">
              <w:rPr>
                <w:i/>
                <w:color w:val="000000"/>
                <w:kern w:val="24"/>
                <w:sz w:val="18"/>
                <w:szCs w:val="18"/>
                <w:lang w:val="en-GB"/>
              </w:rPr>
              <w:t>Chemicals Outlook</w:t>
            </w:r>
            <w:r w:rsidR="0002610C" w:rsidRPr="009E51C2">
              <w:rPr>
                <w:color w:val="000000"/>
                <w:kern w:val="24"/>
                <w:sz w:val="18"/>
                <w:szCs w:val="18"/>
                <w:lang w:val="en-GB"/>
              </w:rPr>
              <w:t xml:space="preserve"> </w:t>
            </w:r>
            <w:r w:rsidRPr="009E51C2">
              <w:rPr>
                <w:color w:val="000000"/>
                <w:kern w:val="24"/>
                <w:sz w:val="18"/>
                <w:szCs w:val="18"/>
                <w:lang w:val="en-GB"/>
              </w:rPr>
              <w:t>workshop/</w:t>
            </w:r>
            <w:r w:rsidR="00FA20BA" w:rsidRPr="009E51C2">
              <w:rPr>
                <w:color w:val="000000"/>
                <w:kern w:val="24"/>
                <w:sz w:val="18"/>
                <w:szCs w:val="18"/>
                <w:lang w:val="en-GB"/>
              </w:rPr>
              <w:t xml:space="preserve"> </w:t>
            </w:r>
            <w:r w:rsidRPr="009E51C2">
              <w:rPr>
                <w:color w:val="000000"/>
                <w:kern w:val="24"/>
                <w:sz w:val="18"/>
                <w:szCs w:val="18"/>
                <w:lang w:val="en-GB"/>
              </w:rPr>
              <w:t>consultation</w:t>
            </w:r>
          </w:p>
          <w:p w:rsidR="00CF52E9" w:rsidRPr="009E51C2" w:rsidRDefault="00CF52E9" w:rsidP="009E51C2">
            <w:pPr>
              <w:keepNext/>
              <w:keepLines/>
              <w:spacing w:before="40" w:after="40"/>
              <w:rPr>
                <w:color w:val="000000"/>
                <w:kern w:val="24"/>
                <w:sz w:val="18"/>
                <w:szCs w:val="18"/>
                <w:lang w:val="en-GB"/>
              </w:rPr>
            </w:pPr>
          </w:p>
          <w:p w:rsidR="00CF52E9" w:rsidRPr="009E51C2" w:rsidRDefault="0002610C" w:rsidP="009E51C2">
            <w:pPr>
              <w:keepNext/>
              <w:keepLines/>
              <w:spacing w:before="40" w:after="40"/>
              <w:rPr>
                <w:sz w:val="18"/>
                <w:szCs w:val="18"/>
                <w:lang w:val="en-GB"/>
              </w:rPr>
            </w:pPr>
            <w:r w:rsidRPr="009E51C2">
              <w:rPr>
                <w:i/>
                <w:color w:val="000000"/>
                <w:kern w:val="24"/>
                <w:sz w:val="18"/>
                <w:szCs w:val="18"/>
                <w:lang w:val="en-GB"/>
              </w:rPr>
              <w:t>Global Chemicals Outlook</w:t>
            </w:r>
            <w:r w:rsidRPr="00560C8F">
              <w:rPr>
                <w:color w:val="000000"/>
                <w:kern w:val="24"/>
                <w:sz w:val="18"/>
                <w:szCs w:val="18"/>
                <w:lang w:val="en-GB"/>
              </w:rPr>
              <w:t xml:space="preserve"> </w:t>
            </w:r>
            <w:r w:rsidR="00CF52E9" w:rsidRPr="009E51C2">
              <w:rPr>
                <w:color w:val="000000"/>
                <w:kern w:val="24"/>
                <w:sz w:val="18"/>
                <w:szCs w:val="18"/>
                <w:lang w:val="en-GB"/>
              </w:rPr>
              <w:t>summary report developed</w:t>
            </w:r>
          </w:p>
        </w:tc>
        <w:tc>
          <w:tcPr>
            <w:tcW w:w="1342"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tcPr>
          <w:p w:rsidR="00CF52E9" w:rsidRPr="009E51C2" w:rsidRDefault="00CF52E9" w:rsidP="009E51C2">
            <w:pPr>
              <w:keepNext/>
              <w:keepLines/>
              <w:spacing w:before="40" w:after="40"/>
              <w:rPr>
                <w:sz w:val="18"/>
                <w:szCs w:val="18"/>
                <w:lang w:val="en-GB"/>
              </w:rPr>
            </w:pPr>
            <w:r w:rsidRPr="009E51C2">
              <w:rPr>
                <w:sz w:val="18"/>
                <w:szCs w:val="18"/>
                <w:lang w:val="en-GB"/>
              </w:rPr>
              <w:t xml:space="preserve">Submission of summary report to </w:t>
            </w:r>
            <w:r w:rsidR="0002610C" w:rsidRPr="009E51C2">
              <w:rPr>
                <w:sz w:val="18"/>
                <w:szCs w:val="18"/>
                <w:lang w:val="en-GB"/>
              </w:rPr>
              <w:t>Open-ended Working Group</w:t>
            </w:r>
          </w:p>
        </w:tc>
      </w:tr>
      <w:tr w:rsidR="00CF52E9" w:rsidRPr="00385B09" w:rsidTr="009E51C2">
        <w:trPr>
          <w:trHeight w:val="1392"/>
        </w:trPr>
        <w:tc>
          <w:tcPr>
            <w:tcW w:w="1341" w:type="dxa"/>
            <w:tcBorders>
              <w:top w:val="single" w:sz="24" w:space="0" w:color="FFFFFF"/>
              <w:left w:val="single" w:sz="8" w:space="0" w:color="FFFFFF"/>
              <w:bottom w:val="single" w:sz="8" w:space="0" w:color="FFFFFF"/>
              <w:right w:val="single" w:sz="8" w:space="0" w:color="FFFFFF"/>
            </w:tcBorders>
            <w:shd w:val="clear" w:color="auto" w:fill="C6D9F1"/>
          </w:tcPr>
          <w:p w:rsidR="00CF52E9" w:rsidRPr="009E51C2" w:rsidRDefault="00CF52E9" w:rsidP="009E51C2">
            <w:pPr>
              <w:spacing w:before="40" w:after="40"/>
              <w:ind w:left="57"/>
              <w:rPr>
                <w:rFonts w:eastAsia="SimSun"/>
                <w:b/>
                <w:bCs/>
                <w:sz w:val="18"/>
                <w:szCs w:val="18"/>
                <w:lang w:val="en-GB"/>
              </w:rPr>
            </w:pPr>
            <w:r w:rsidRPr="009E51C2">
              <w:rPr>
                <w:rFonts w:eastAsia="SimSun"/>
                <w:b/>
                <w:bCs/>
                <w:sz w:val="18"/>
                <w:szCs w:val="18"/>
                <w:lang w:val="en-GB"/>
              </w:rPr>
              <w:t>SAICM</w:t>
            </w:r>
            <w:r w:rsidR="00CF1799" w:rsidRPr="009E51C2">
              <w:rPr>
                <w:rFonts w:eastAsia="SimSun"/>
                <w:b/>
                <w:bCs/>
                <w:sz w:val="18"/>
                <w:szCs w:val="18"/>
                <w:lang w:val="en-GB"/>
              </w:rPr>
              <w:t xml:space="preserve"> and </w:t>
            </w:r>
            <w:r w:rsidR="0002610C" w:rsidRPr="009E51C2">
              <w:rPr>
                <w:rFonts w:eastAsia="SimSun"/>
                <w:b/>
                <w:bCs/>
                <w:sz w:val="18"/>
                <w:szCs w:val="18"/>
                <w:lang w:val="en-GB"/>
              </w:rPr>
              <w:t>beyond</w:t>
            </w:r>
            <w:r w:rsidR="0002610C" w:rsidRPr="00560C8F">
              <w:rPr>
                <w:rFonts w:eastAsia="SimSun"/>
                <w:b/>
                <w:bCs/>
                <w:sz w:val="18"/>
                <w:szCs w:val="18"/>
                <w:lang w:val="en-GB"/>
              </w:rPr>
              <w:noBreakHyphen/>
            </w:r>
            <w:r w:rsidR="00CF1799" w:rsidRPr="009E51C2">
              <w:rPr>
                <w:rFonts w:eastAsia="SimSun"/>
                <w:b/>
                <w:bCs/>
                <w:sz w:val="18"/>
                <w:szCs w:val="18"/>
                <w:lang w:val="en-GB"/>
              </w:rPr>
              <w:t>2020 process</w:t>
            </w:r>
            <w:r w:rsidRPr="009E51C2">
              <w:rPr>
                <w:rFonts w:eastAsia="SimSun"/>
                <w:b/>
                <w:bCs/>
                <w:sz w:val="18"/>
                <w:szCs w:val="18"/>
                <w:lang w:val="en-GB"/>
              </w:rPr>
              <w:t xml:space="preserve"> </w:t>
            </w:r>
            <w:r w:rsidR="0002610C" w:rsidRPr="00560C8F">
              <w:rPr>
                <w:rFonts w:eastAsia="SimSun"/>
                <w:b/>
                <w:bCs/>
                <w:sz w:val="18"/>
                <w:szCs w:val="18"/>
                <w:lang w:val="en-GB"/>
              </w:rPr>
              <w:t>m</w:t>
            </w:r>
            <w:r w:rsidRPr="009E51C2">
              <w:rPr>
                <w:rFonts w:eastAsia="SimSun"/>
                <w:b/>
                <w:bCs/>
                <w:sz w:val="18"/>
                <w:szCs w:val="18"/>
                <w:lang w:val="en-GB"/>
              </w:rPr>
              <w:t>ilestones</w:t>
            </w:r>
          </w:p>
        </w:tc>
        <w:tc>
          <w:tcPr>
            <w:tcW w:w="1341" w:type="dxa"/>
            <w:tcBorders>
              <w:top w:val="single" w:sz="24" w:space="0" w:color="FFFFFF"/>
              <w:left w:val="single" w:sz="8" w:space="0" w:color="FFFFFF"/>
              <w:bottom w:val="single" w:sz="8" w:space="0" w:color="FFFFFF"/>
              <w:right w:val="single" w:sz="8" w:space="0" w:color="FFFFFF"/>
            </w:tcBorders>
            <w:shd w:val="clear" w:color="auto" w:fill="C6D9F1"/>
            <w:tcMar>
              <w:top w:w="15" w:type="dxa"/>
              <w:left w:w="108" w:type="dxa"/>
              <w:bottom w:w="0" w:type="dxa"/>
              <w:right w:w="108" w:type="dxa"/>
            </w:tcMar>
            <w:hideMark/>
          </w:tcPr>
          <w:p w:rsidR="00CF52E9" w:rsidRPr="009E51C2" w:rsidRDefault="00CF52E9" w:rsidP="009E51C2">
            <w:pPr>
              <w:spacing w:before="40" w:after="40"/>
              <w:rPr>
                <w:rFonts w:eastAsia="SimSun"/>
                <w:bCs/>
                <w:sz w:val="18"/>
                <w:szCs w:val="18"/>
                <w:lang w:val="en-GB"/>
              </w:rPr>
            </w:pPr>
            <w:r w:rsidRPr="009E51C2">
              <w:rPr>
                <w:rFonts w:eastAsia="SimSun"/>
                <w:bCs/>
                <w:sz w:val="18"/>
                <w:szCs w:val="18"/>
                <w:lang w:val="en-GB"/>
              </w:rPr>
              <w:t xml:space="preserve">SAICM </w:t>
            </w:r>
            <w:r w:rsidR="006C7F32" w:rsidRPr="009E51C2">
              <w:rPr>
                <w:rFonts w:eastAsia="SimSun"/>
                <w:bCs/>
                <w:sz w:val="18"/>
                <w:szCs w:val="18"/>
                <w:lang w:val="en-GB"/>
              </w:rPr>
              <w:t>evaluation</w:t>
            </w:r>
            <w:r w:rsidR="006C7F32" w:rsidRPr="00560C8F">
              <w:rPr>
                <w:rFonts w:eastAsia="SimSun"/>
                <w:bCs/>
                <w:sz w:val="18"/>
                <w:szCs w:val="18"/>
                <w:lang w:val="en-GB"/>
              </w:rPr>
              <w:br/>
            </w:r>
            <w:r w:rsidRPr="009E51C2">
              <w:rPr>
                <w:rFonts w:eastAsia="SimSun"/>
                <w:bCs/>
                <w:sz w:val="18"/>
                <w:szCs w:val="18"/>
                <w:lang w:val="en-GB"/>
              </w:rPr>
              <w:t>initiated</w:t>
            </w:r>
          </w:p>
        </w:tc>
        <w:tc>
          <w:tcPr>
            <w:tcW w:w="1341"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p w:rsidR="00CF52E9" w:rsidRPr="009E51C2" w:rsidRDefault="00CF52E9" w:rsidP="009E51C2">
            <w:pPr>
              <w:spacing w:before="40" w:after="40"/>
              <w:rPr>
                <w:rFonts w:eastAsia="SimSun"/>
                <w:sz w:val="18"/>
                <w:szCs w:val="18"/>
                <w:lang w:val="en-GB"/>
              </w:rPr>
            </w:pPr>
            <w:r w:rsidRPr="009E51C2">
              <w:rPr>
                <w:rFonts w:eastAsia="SimSun"/>
                <w:sz w:val="18"/>
                <w:szCs w:val="18"/>
                <w:lang w:val="en-GB"/>
              </w:rPr>
              <w:t> </w:t>
            </w:r>
          </w:p>
        </w:tc>
        <w:tc>
          <w:tcPr>
            <w:tcW w:w="1342"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p w:rsidR="00CF52E9" w:rsidRPr="009E51C2" w:rsidRDefault="0002610C" w:rsidP="009E51C2">
            <w:pPr>
              <w:spacing w:before="40" w:after="40"/>
              <w:rPr>
                <w:rFonts w:eastAsia="SimSun"/>
                <w:sz w:val="18"/>
                <w:szCs w:val="18"/>
                <w:lang w:val="en-GB"/>
              </w:rPr>
            </w:pPr>
            <w:r w:rsidRPr="00560C8F">
              <w:rPr>
                <w:rFonts w:eastAsia="SimSun"/>
                <w:sz w:val="18"/>
                <w:szCs w:val="18"/>
                <w:lang w:val="en-GB"/>
              </w:rPr>
              <w:t xml:space="preserve">First </w:t>
            </w:r>
            <w:r w:rsidR="00CF52E9" w:rsidRPr="009E51C2">
              <w:rPr>
                <w:rFonts w:eastAsia="SimSun"/>
                <w:sz w:val="18"/>
                <w:szCs w:val="18"/>
                <w:lang w:val="en-GB"/>
              </w:rPr>
              <w:t>intersessional</w:t>
            </w:r>
            <w:r w:rsidR="005802C9" w:rsidRPr="009E51C2">
              <w:rPr>
                <w:rFonts w:eastAsia="SimSun"/>
                <w:sz w:val="18"/>
                <w:szCs w:val="18"/>
                <w:lang w:val="en-GB"/>
              </w:rPr>
              <w:t xml:space="preserve"> </w:t>
            </w:r>
            <w:r w:rsidR="003612A4" w:rsidRPr="00290ADB">
              <w:rPr>
                <w:rFonts w:eastAsia="SimSun"/>
                <w:sz w:val="18"/>
                <w:szCs w:val="18"/>
                <w:lang w:val="en-GB"/>
              </w:rPr>
              <w:t xml:space="preserve">beyond-2020 </w:t>
            </w:r>
            <w:r w:rsidR="00CF52E9" w:rsidRPr="009E51C2">
              <w:rPr>
                <w:rFonts w:eastAsia="SimSun"/>
                <w:sz w:val="18"/>
                <w:szCs w:val="18"/>
                <w:lang w:val="en-GB"/>
              </w:rPr>
              <w:t>meeting</w:t>
            </w:r>
            <w:r w:rsidR="00CF52E9" w:rsidRPr="009E51C2">
              <w:rPr>
                <w:sz w:val="18"/>
                <w:szCs w:val="18"/>
                <w:lang w:val="en-GB"/>
              </w:rPr>
              <w:t xml:space="preserve">, </w:t>
            </w:r>
            <w:r w:rsidR="00CF52E9" w:rsidRPr="009E51C2">
              <w:rPr>
                <w:rFonts w:eastAsia="SimSun"/>
                <w:sz w:val="18"/>
                <w:szCs w:val="18"/>
                <w:lang w:val="en-GB"/>
              </w:rPr>
              <w:t>Feb</w:t>
            </w:r>
            <w:r w:rsidR="003612A4">
              <w:rPr>
                <w:rFonts w:eastAsia="SimSun"/>
                <w:sz w:val="18"/>
                <w:szCs w:val="18"/>
                <w:lang w:val="en-GB"/>
              </w:rPr>
              <w:t>.</w:t>
            </w:r>
            <w:r w:rsidR="00CF52E9" w:rsidRPr="009E51C2">
              <w:rPr>
                <w:rFonts w:eastAsia="SimSun"/>
                <w:sz w:val="18"/>
                <w:szCs w:val="18"/>
                <w:lang w:val="en-GB"/>
              </w:rPr>
              <w:t xml:space="preserve"> 2017</w:t>
            </w:r>
          </w:p>
        </w:tc>
        <w:tc>
          <w:tcPr>
            <w:tcW w:w="1341"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p w:rsidR="00CF52E9" w:rsidRPr="009E51C2" w:rsidRDefault="00CF52E9" w:rsidP="009E51C2">
            <w:pPr>
              <w:spacing w:before="40" w:after="40"/>
              <w:rPr>
                <w:rFonts w:eastAsia="SimSun"/>
                <w:sz w:val="18"/>
                <w:szCs w:val="18"/>
                <w:lang w:val="en-GB"/>
              </w:rPr>
            </w:pPr>
            <w:r w:rsidRPr="009E51C2">
              <w:rPr>
                <w:rFonts w:eastAsia="SimSun"/>
                <w:sz w:val="18"/>
                <w:szCs w:val="18"/>
                <w:lang w:val="en-GB"/>
              </w:rPr>
              <w:t> </w:t>
            </w:r>
          </w:p>
        </w:tc>
        <w:tc>
          <w:tcPr>
            <w:tcW w:w="1341"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p w:rsidR="00CF52E9" w:rsidRPr="009E51C2" w:rsidRDefault="0002610C" w:rsidP="009E51C2">
            <w:pPr>
              <w:spacing w:before="40" w:after="40"/>
              <w:rPr>
                <w:rFonts w:eastAsia="SimSun"/>
                <w:sz w:val="18"/>
                <w:szCs w:val="18"/>
                <w:lang w:val="en-GB"/>
              </w:rPr>
            </w:pPr>
            <w:r w:rsidRPr="00560C8F">
              <w:rPr>
                <w:rFonts w:eastAsia="SimSun"/>
                <w:sz w:val="18"/>
                <w:szCs w:val="18"/>
                <w:lang w:val="en-GB"/>
              </w:rPr>
              <w:t>Second</w:t>
            </w:r>
            <w:r w:rsidRPr="009E51C2">
              <w:rPr>
                <w:rFonts w:eastAsia="SimSun"/>
                <w:sz w:val="18"/>
                <w:szCs w:val="18"/>
                <w:lang w:val="en-GB"/>
              </w:rPr>
              <w:t xml:space="preserve"> </w:t>
            </w:r>
            <w:r w:rsidR="006C7F32" w:rsidRPr="00560C8F">
              <w:rPr>
                <w:rFonts w:eastAsia="SimSun"/>
                <w:sz w:val="18"/>
                <w:szCs w:val="18"/>
                <w:lang w:val="en-GB"/>
              </w:rPr>
              <w:br/>
            </w:r>
            <w:r w:rsidR="00CF52E9" w:rsidRPr="009E51C2">
              <w:rPr>
                <w:rFonts w:eastAsia="SimSun"/>
                <w:sz w:val="18"/>
                <w:szCs w:val="18"/>
                <w:lang w:val="en-GB"/>
              </w:rPr>
              <w:t xml:space="preserve">intersessional </w:t>
            </w:r>
            <w:r w:rsidR="003612A4" w:rsidRPr="00290ADB">
              <w:rPr>
                <w:rFonts w:eastAsia="SimSun"/>
                <w:sz w:val="18"/>
                <w:szCs w:val="18"/>
                <w:lang w:val="en-GB"/>
              </w:rPr>
              <w:t xml:space="preserve">beyond-2020 </w:t>
            </w:r>
            <w:r w:rsidR="00CF52E9" w:rsidRPr="009E51C2">
              <w:rPr>
                <w:rFonts w:eastAsia="SimSun"/>
                <w:sz w:val="18"/>
                <w:szCs w:val="18"/>
                <w:lang w:val="en-GB"/>
              </w:rPr>
              <w:t>meeting</w:t>
            </w:r>
            <w:r w:rsidR="00CF52E9" w:rsidRPr="009E51C2">
              <w:rPr>
                <w:sz w:val="18"/>
                <w:szCs w:val="18"/>
                <w:lang w:val="en-GB"/>
              </w:rPr>
              <w:t xml:space="preserve">, </w:t>
            </w:r>
            <w:r w:rsidR="00CF52E9" w:rsidRPr="009E51C2">
              <w:rPr>
                <w:rFonts w:eastAsia="SimSun"/>
                <w:sz w:val="18"/>
                <w:szCs w:val="18"/>
                <w:lang w:val="en-GB"/>
              </w:rPr>
              <w:t>Feb</w:t>
            </w:r>
            <w:r w:rsidR="003612A4">
              <w:rPr>
                <w:rFonts w:eastAsia="SimSun"/>
                <w:sz w:val="18"/>
                <w:szCs w:val="18"/>
                <w:lang w:val="en-GB"/>
              </w:rPr>
              <w:t>.</w:t>
            </w:r>
            <w:r w:rsidR="00CF52E9" w:rsidRPr="009E51C2">
              <w:rPr>
                <w:rFonts w:eastAsia="SimSun"/>
                <w:sz w:val="18"/>
                <w:szCs w:val="18"/>
                <w:lang w:val="en-GB"/>
              </w:rPr>
              <w:t xml:space="preserve"> 2018</w:t>
            </w:r>
            <w:r w:rsidR="002E6387" w:rsidRPr="009E51C2">
              <w:rPr>
                <w:rFonts w:eastAsia="SimSun"/>
                <w:sz w:val="18"/>
                <w:szCs w:val="18"/>
                <w:lang w:val="en-GB"/>
              </w:rPr>
              <w:t xml:space="preserve"> (</w:t>
            </w:r>
            <w:r w:rsidR="0049579A" w:rsidRPr="009E51C2">
              <w:rPr>
                <w:rFonts w:eastAsia="SimSun"/>
                <w:sz w:val="18"/>
                <w:szCs w:val="18"/>
                <w:lang w:val="en-GB"/>
              </w:rPr>
              <w:t>to be confirmed</w:t>
            </w:r>
            <w:r w:rsidR="002E6387" w:rsidRPr="009E51C2">
              <w:rPr>
                <w:rFonts w:eastAsia="SimSun"/>
                <w:sz w:val="18"/>
                <w:szCs w:val="18"/>
                <w:lang w:val="en-GB"/>
              </w:rPr>
              <w:t>)</w:t>
            </w:r>
          </w:p>
        </w:tc>
        <w:tc>
          <w:tcPr>
            <w:tcW w:w="1342" w:type="dxa"/>
            <w:tcBorders>
              <w:top w:val="single" w:sz="24" w:space="0" w:color="FFFFFF"/>
              <w:left w:val="single" w:sz="8" w:space="0" w:color="FFFFFF"/>
              <w:bottom w:val="single" w:sz="8" w:space="0" w:color="FFFFFF"/>
              <w:right w:val="single" w:sz="8" w:space="0" w:color="FFFFFF"/>
            </w:tcBorders>
            <w:shd w:val="clear" w:color="auto" w:fill="D0D8E8"/>
            <w:tcMar>
              <w:top w:w="15" w:type="dxa"/>
              <w:left w:w="108" w:type="dxa"/>
              <w:bottom w:w="0" w:type="dxa"/>
              <w:right w:w="108" w:type="dxa"/>
            </w:tcMar>
            <w:hideMark/>
          </w:tcPr>
          <w:p w:rsidR="00CF52E9" w:rsidRPr="009E51C2" w:rsidRDefault="00746918" w:rsidP="009E51C2">
            <w:pPr>
              <w:spacing w:before="40" w:after="40"/>
              <w:rPr>
                <w:rFonts w:eastAsia="SimSun"/>
                <w:sz w:val="18"/>
                <w:szCs w:val="18"/>
                <w:lang w:val="en-GB"/>
              </w:rPr>
            </w:pPr>
            <w:r w:rsidRPr="00560C8F">
              <w:rPr>
                <w:sz w:val="18"/>
                <w:szCs w:val="18"/>
                <w:lang w:val="en-GB"/>
              </w:rPr>
              <w:t>Open-ended Working Group</w:t>
            </w:r>
            <w:r w:rsidRPr="00560C8F">
              <w:rPr>
                <w:rFonts w:eastAsia="SimSun"/>
                <w:sz w:val="18"/>
                <w:szCs w:val="18"/>
                <w:lang w:val="en-GB"/>
              </w:rPr>
              <w:t xml:space="preserve"> </w:t>
            </w:r>
            <w:r w:rsidR="00CF52E9" w:rsidRPr="009E51C2">
              <w:rPr>
                <w:rFonts w:eastAsia="SimSun"/>
                <w:sz w:val="18"/>
                <w:szCs w:val="18"/>
                <w:lang w:val="en-GB"/>
              </w:rPr>
              <w:t>beyond</w:t>
            </w:r>
            <w:r w:rsidR="003612A4">
              <w:rPr>
                <w:rFonts w:eastAsia="SimSun"/>
                <w:sz w:val="18"/>
                <w:szCs w:val="18"/>
                <w:lang w:val="en-GB"/>
              </w:rPr>
              <w:t>-</w:t>
            </w:r>
            <w:r w:rsidR="00CF52E9" w:rsidRPr="009E51C2">
              <w:rPr>
                <w:rFonts w:eastAsia="SimSun"/>
                <w:sz w:val="18"/>
                <w:szCs w:val="18"/>
                <w:lang w:val="en-GB"/>
              </w:rPr>
              <w:t>2020</w:t>
            </w:r>
            <w:r w:rsidR="003612A4">
              <w:rPr>
                <w:rFonts w:eastAsia="SimSun"/>
                <w:sz w:val="18"/>
                <w:szCs w:val="18"/>
                <w:lang w:val="en-GB"/>
              </w:rPr>
              <w:t xml:space="preserve"> meeting</w:t>
            </w:r>
            <w:r w:rsidR="00CF52E9" w:rsidRPr="009E51C2">
              <w:rPr>
                <w:rFonts w:eastAsia="SimSun"/>
                <w:sz w:val="18"/>
                <w:szCs w:val="18"/>
                <w:lang w:val="en-GB"/>
              </w:rPr>
              <w:t>,</w:t>
            </w:r>
            <w:r w:rsidR="005802C9" w:rsidRPr="009E51C2">
              <w:rPr>
                <w:rFonts w:eastAsia="SimSun"/>
                <w:sz w:val="18"/>
                <w:szCs w:val="18"/>
                <w:lang w:val="en-GB"/>
              </w:rPr>
              <w:t xml:space="preserve"> </w:t>
            </w:r>
            <w:r w:rsidR="00CF52E9" w:rsidRPr="009E51C2">
              <w:rPr>
                <w:rFonts w:eastAsia="SimSun"/>
                <w:sz w:val="18"/>
                <w:szCs w:val="18"/>
                <w:lang w:val="en-GB"/>
              </w:rPr>
              <w:t>Nov</w:t>
            </w:r>
            <w:r w:rsidR="0049579A">
              <w:rPr>
                <w:rFonts w:eastAsia="SimSun"/>
                <w:sz w:val="18"/>
                <w:szCs w:val="18"/>
                <w:lang w:val="en-GB"/>
              </w:rPr>
              <w:t>.</w:t>
            </w:r>
            <w:r w:rsidR="00CF52E9" w:rsidRPr="009E51C2">
              <w:rPr>
                <w:rFonts w:eastAsia="SimSun"/>
                <w:sz w:val="18"/>
                <w:szCs w:val="18"/>
                <w:lang w:val="en-GB"/>
              </w:rPr>
              <w:t>/</w:t>
            </w:r>
            <w:r w:rsidR="0049579A">
              <w:rPr>
                <w:rFonts w:eastAsia="SimSun"/>
                <w:sz w:val="18"/>
                <w:szCs w:val="18"/>
                <w:lang w:val="en-GB"/>
              </w:rPr>
              <w:t xml:space="preserve"> </w:t>
            </w:r>
            <w:r w:rsidR="00CF52E9" w:rsidRPr="009E51C2">
              <w:rPr>
                <w:rFonts w:eastAsia="SimSun"/>
                <w:sz w:val="18"/>
                <w:szCs w:val="18"/>
                <w:lang w:val="en-GB"/>
              </w:rPr>
              <w:t>Dec</w:t>
            </w:r>
            <w:r w:rsidR="0049579A">
              <w:rPr>
                <w:rFonts w:eastAsia="SimSun"/>
                <w:sz w:val="18"/>
                <w:szCs w:val="18"/>
                <w:lang w:val="en-GB"/>
              </w:rPr>
              <w:t>.</w:t>
            </w:r>
            <w:r w:rsidR="003612A4">
              <w:rPr>
                <w:rFonts w:eastAsia="SimSun"/>
                <w:sz w:val="18"/>
                <w:szCs w:val="18"/>
                <w:lang w:val="en-GB"/>
              </w:rPr>
              <w:t xml:space="preserve"> </w:t>
            </w:r>
            <w:r w:rsidR="00CF52E9" w:rsidRPr="009E51C2">
              <w:rPr>
                <w:rFonts w:eastAsia="SimSun"/>
                <w:sz w:val="18"/>
                <w:szCs w:val="18"/>
                <w:lang w:val="en-GB"/>
              </w:rPr>
              <w:t>2018</w:t>
            </w:r>
            <w:r w:rsidR="002E6387" w:rsidRPr="009E51C2">
              <w:rPr>
                <w:rFonts w:eastAsia="SimSun"/>
                <w:sz w:val="18"/>
                <w:szCs w:val="18"/>
                <w:lang w:val="en-GB"/>
              </w:rPr>
              <w:t xml:space="preserve"> (</w:t>
            </w:r>
            <w:r w:rsidR="0049579A">
              <w:rPr>
                <w:rFonts w:eastAsia="SimSun"/>
                <w:sz w:val="18"/>
                <w:szCs w:val="18"/>
                <w:lang w:val="en-GB"/>
              </w:rPr>
              <w:t>to be confirmed</w:t>
            </w:r>
            <w:r w:rsidR="002E6387" w:rsidRPr="009E51C2">
              <w:rPr>
                <w:rFonts w:eastAsia="SimSun"/>
                <w:sz w:val="18"/>
                <w:szCs w:val="18"/>
                <w:lang w:val="en-GB"/>
              </w:rPr>
              <w:t>)</w:t>
            </w:r>
          </w:p>
        </w:tc>
      </w:tr>
    </w:tbl>
    <w:p w:rsidR="00E2216B" w:rsidRPr="00560C8F" w:rsidRDefault="00915D7C" w:rsidP="00915D7C">
      <w:pPr>
        <w:pStyle w:val="CH1"/>
      </w:pPr>
      <w:r w:rsidRPr="00560C8F">
        <w:tab/>
      </w:r>
      <w:r w:rsidR="00E2216B" w:rsidRPr="00560C8F">
        <w:t>V.</w:t>
      </w:r>
      <w:r w:rsidR="00E2216B" w:rsidRPr="00560C8F">
        <w:tab/>
        <w:t>Overall conclusions</w:t>
      </w:r>
    </w:p>
    <w:p w:rsidR="00BA3F87" w:rsidRPr="00560C8F" w:rsidRDefault="006B4012" w:rsidP="009E51C2">
      <w:pPr>
        <w:pStyle w:val="Normalnumber"/>
        <w:numPr>
          <w:ilvl w:val="0"/>
          <w:numId w:val="17"/>
        </w:numPr>
        <w:tabs>
          <w:tab w:val="clear" w:pos="1247"/>
          <w:tab w:val="clear" w:pos="1814"/>
          <w:tab w:val="clear" w:pos="2381"/>
          <w:tab w:val="clear" w:pos="2948"/>
          <w:tab w:val="clear" w:pos="3515"/>
          <w:tab w:val="clear" w:pos="4082"/>
        </w:tabs>
        <w:ind w:left="1247" w:firstLine="0"/>
      </w:pPr>
      <w:r w:rsidRPr="00560C8F">
        <w:t>A window of opportunity exist</w:t>
      </w:r>
      <w:r w:rsidR="00CE0585" w:rsidRPr="00560C8F">
        <w:t>s</w:t>
      </w:r>
      <w:r w:rsidRPr="00560C8F">
        <w:t xml:space="preserve"> between 2016</w:t>
      </w:r>
      <w:r w:rsidR="00746918" w:rsidRPr="00560C8F">
        <w:t xml:space="preserve"> and </w:t>
      </w:r>
      <w:r w:rsidRPr="00560C8F">
        <w:t>2018 to undertake sound scientific analysis and generate policy insights to feed into the implementation of the 2030 A</w:t>
      </w:r>
      <w:r w:rsidR="00BD5CFA" w:rsidRPr="00560C8F">
        <w:t>g</w:t>
      </w:r>
      <w:r w:rsidRPr="00560C8F">
        <w:t>enda and the intersessional process ini</w:t>
      </w:r>
      <w:r w:rsidR="00FA20BA" w:rsidRPr="00560C8F">
        <w:t>ti</w:t>
      </w:r>
      <w:r w:rsidRPr="00560C8F">
        <w:t xml:space="preserve">ated under SAICM. The three events organized by UNEP and </w:t>
      </w:r>
      <w:r w:rsidR="000466E1">
        <w:t>discussed here</w:t>
      </w:r>
      <w:r w:rsidRPr="00560C8F">
        <w:t xml:space="preserve"> have demonstrated </w:t>
      </w:r>
      <w:r w:rsidR="00746918" w:rsidRPr="00560C8F">
        <w:t xml:space="preserve">the </w:t>
      </w:r>
      <w:r w:rsidRPr="00560C8F">
        <w:t xml:space="preserve">interest </w:t>
      </w:r>
      <w:r w:rsidR="000466E1">
        <w:t xml:space="preserve">in </w:t>
      </w:r>
      <w:r w:rsidRPr="00560C8F">
        <w:t xml:space="preserve">and commitment of Governments and </w:t>
      </w:r>
      <w:r w:rsidR="00FA20BA" w:rsidRPr="00560C8F">
        <w:t xml:space="preserve">other </w:t>
      </w:r>
      <w:r w:rsidRPr="00560C8F">
        <w:t xml:space="preserve">stakeholders to </w:t>
      </w:r>
      <w:r w:rsidR="000466E1">
        <w:t xml:space="preserve">engaging </w:t>
      </w:r>
      <w:r w:rsidRPr="00560C8F">
        <w:t xml:space="preserve">actively in international activities </w:t>
      </w:r>
      <w:r w:rsidR="00517DF0">
        <w:t xml:space="preserve">in order </w:t>
      </w:r>
      <w:r w:rsidRPr="00560C8F">
        <w:t>to explo</w:t>
      </w:r>
      <w:r w:rsidR="00FA20BA" w:rsidRPr="00560C8F">
        <w:t>r</w:t>
      </w:r>
      <w:r w:rsidRPr="00560C8F">
        <w:t xml:space="preserve">e the future of </w:t>
      </w:r>
      <w:r w:rsidR="00FA20BA" w:rsidRPr="00560C8F">
        <w:t xml:space="preserve">sound </w:t>
      </w:r>
      <w:r w:rsidRPr="00560C8F">
        <w:t xml:space="preserve">chemicals and waste management in a sustainable development context. </w:t>
      </w:r>
      <w:r w:rsidR="00746918" w:rsidRPr="00517DF0">
        <w:t>Within its mandate</w:t>
      </w:r>
      <w:r w:rsidR="000466E1">
        <w:t>,</w:t>
      </w:r>
      <w:r w:rsidR="00746918" w:rsidRPr="00517DF0">
        <w:t xml:space="preserve"> and working closely with international, national and stakeholder par</w:t>
      </w:r>
      <w:r w:rsidR="00746918" w:rsidRPr="00B64A6A">
        <w:t xml:space="preserve">tners, </w:t>
      </w:r>
      <w:r w:rsidRPr="00C36705">
        <w:t>UNEP is ready</w:t>
      </w:r>
      <w:r w:rsidR="00BD5CFA" w:rsidRPr="00C90F0B">
        <w:t xml:space="preserve"> </w:t>
      </w:r>
      <w:r w:rsidRPr="00BF530A">
        <w:t xml:space="preserve">and </w:t>
      </w:r>
      <w:r w:rsidR="00FA20BA" w:rsidRPr="00974228">
        <w:t>committed to</w:t>
      </w:r>
      <w:r w:rsidRPr="009D53FE">
        <w:t xml:space="preserve"> </w:t>
      </w:r>
      <w:r w:rsidRPr="009E51C2">
        <w:t>carry</w:t>
      </w:r>
      <w:r w:rsidR="00746918" w:rsidRPr="009E51C2">
        <w:t>ing</w:t>
      </w:r>
      <w:r w:rsidRPr="009E51C2">
        <w:t xml:space="preserve"> out further action</w:t>
      </w:r>
      <w:r w:rsidR="00FA20BA" w:rsidRPr="009E51C2">
        <w:t>s</w:t>
      </w:r>
      <w:r w:rsidRPr="009E51C2">
        <w:t xml:space="preserve">, as appropriate. </w:t>
      </w:r>
      <w:r w:rsidR="00BA3F87" w:rsidRPr="009E51C2">
        <w:t>Governments and other sta</w:t>
      </w:r>
      <w:r w:rsidR="00BA3F87" w:rsidRPr="00560C8F">
        <w:t xml:space="preserve">keholders in a position to contribute financial and other resources </w:t>
      </w:r>
      <w:r w:rsidR="000466E1">
        <w:t xml:space="preserve">are encouraged to do so </w:t>
      </w:r>
      <w:r w:rsidR="00BA3F87" w:rsidRPr="00560C8F">
        <w:t xml:space="preserve">to enable the secretariat to perform its mandated functions. All potential donors are invited to consider </w:t>
      </w:r>
      <w:r w:rsidR="000466E1">
        <w:t>how</w:t>
      </w:r>
      <w:r w:rsidR="00BA3F87" w:rsidRPr="00560C8F">
        <w:t xml:space="preserve"> they might support these efforts. </w:t>
      </w:r>
      <w:r w:rsidRPr="00560C8F">
        <w:t xml:space="preserve">In addition, countries </w:t>
      </w:r>
      <w:r w:rsidR="00BA3F87" w:rsidRPr="00560C8F">
        <w:t xml:space="preserve">interested in hosting one of the meetings of the </w:t>
      </w:r>
      <w:r w:rsidRPr="00560C8F">
        <w:t>SAICM</w:t>
      </w:r>
      <w:r w:rsidR="009D53FE">
        <w:t xml:space="preserve"> </w:t>
      </w:r>
      <w:r w:rsidR="00BA3F87" w:rsidRPr="00560C8F">
        <w:t>intersessional process are invited to indicate their interest.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0"/>
        <w:gridCol w:w="1921"/>
        <w:gridCol w:w="1921"/>
        <w:gridCol w:w="1921"/>
        <w:gridCol w:w="1921"/>
      </w:tblGrid>
      <w:tr w:rsidR="00D502AE" w:rsidRPr="00BF530A" w:rsidTr="009E51C2">
        <w:tc>
          <w:tcPr>
            <w:tcW w:w="1920" w:type="dxa"/>
          </w:tcPr>
          <w:p w:rsidR="00D502AE" w:rsidRPr="00560C8F" w:rsidRDefault="00D502AE" w:rsidP="009E51C2">
            <w:pPr>
              <w:tabs>
                <w:tab w:val="clear" w:pos="1247"/>
                <w:tab w:val="clear" w:pos="1814"/>
                <w:tab w:val="left" w:pos="1276"/>
              </w:tabs>
              <w:spacing w:before="520"/>
              <w:rPr>
                <w:b/>
                <w:bCs/>
                <w:lang w:val="en-GB"/>
              </w:rPr>
            </w:pPr>
          </w:p>
        </w:tc>
        <w:tc>
          <w:tcPr>
            <w:tcW w:w="1921" w:type="dxa"/>
          </w:tcPr>
          <w:p w:rsidR="00D502AE" w:rsidRPr="00560C8F" w:rsidRDefault="00D502AE" w:rsidP="009E51C2">
            <w:pPr>
              <w:tabs>
                <w:tab w:val="clear" w:pos="1247"/>
                <w:tab w:val="clear" w:pos="1814"/>
                <w:tab w:val="left" w:pos="1276"/>
              </w:tabs>
              <w:spacing w:before="520"/>
              <w:rPr>
                <w:b/>
                <w:bCs/>
                <w:lang w:val="en-GB"/>
              </w:rPr>
            </w:pPr>
          </w:p>
        </w:tc>
        <w:tc>
          <w:tcPr>
            <w:tcW w:w="1921" w:type="dxa"/>
            <w:tcBorders>
              <w:bottom w:val="single" w:sz="4" w:space="0" w:color="auto"/>
            </w:tcBorders>
          </w:tcPr>
          <w:p w:rsidR="00D502AE" w:rsidRPr="00560C8F" w:rsidRDefault="00D502AE" w:rsidP="009E51C2">
            <w:pPr>
              <w:tabs>
                <w:tab w:val="clear" w:pos="1247"/>
                <w:tab w:val="clear" w:pos="1814"/>
                <w:tab w:val="left" w:pos="1276"/>
              </w:tabs>
              <w:spacing w:before="520"/>
              <w:rPr>
                <w:b/>
                <w:bCs/>
                <w:lang w:val="en-GB"/>
              </w:rPr>
            </w:pPr>
          </w:p>
        </w:tc>
        <w:tc>
          <w:tcPr>
            <w:tcW w:w="1921" w:type="dxa"/>
          </w:tcPr>
          <w:p w:rsidR="00D502AE" w:rsidRPr="00560C8F" w:rsidRDefault="00D502AE" w:rsidP="009E51C2">
            <w:pPr>
              <w:tabs>
                <w:tab w:val="clear" w:pos="1247"/>
                <w:tab w:val="clear" w:pos="1814"/>
                <w:tab w:val="left" w:pos="1276"/>
              </w:tabs>
              <w:spacing w:before="520"/>
              <w:rPr>
                <w:b/>
                <w:bCs/>
                <w:lang w:val="en-GB"/>
              </w:rPr>
            </w:pPr>
          </w:p>
        </w:tc>
        <w:tc>
          <w:tcPr>
            <w:tcW w:w="1921" w:type="dxa"/>
          </w:tcPr>
          <w:p w:rsidR="00D502AE" w:rsidRPr="00560C8F" w:rsidRDefault="00D502AE" w:rsidP="009E51C2">
            <w:pPr>
              <w:tabs>
                <w:tab w:val="clear" w:pos="1247"/>
                <w:tab w:val="clear" w:pos="1814"/>
                <w:tab w:val="left" w:pos="1276"/>
              </w:tabs>
              <w:spacing w:before="520"/>
              <w:rPr>
                <w:b/>
                <w:bCs/>
                <w:lang w:val="en-GB"/>
              </w:rPr>
            </w:pPr>
          </w:p>
        </w:tc>
      </w:tr>
    </w:tbl>
    <w:p w:rsidR="00BA3F87" w:rsidRPr="00560C8F" w:rsidRDefault="00BA3F87" w:rsidP="009E51C2">
      <w:pPr>
        <w:pStyle w:val="Normal-pool"/>
      </w:pPr>
    </w:p>
    <w:sectPr w:rsidR="00BA3F87" w:rsidRPr="00560C8F" w:rsidSect="001A6132">
      <w:headerReference w:type="even" r:id="rId14"/>
      <w:headerReference w:type="default" r:id="rId15"/>
      <w:footerReference w:type="even" r:id="rId16"/>
      <w:footerReference w:type="default" r:id="rId17"/>
      <w:headerReference w:type="first" r:id="rId18"/>
      <w:footerReference w:type="first" r:id="rId19"/>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D9E" w:rsidRDefault="00287D9E">
      <w:r>
        <w:separator/>
      </w:r>
    </w:p>
  </w:endnote>
  <w:endnote w:type="continuationSeparator" w:id="0">
    <w:p w:rsidR="00287D9E" w:rsidRDefault="00287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Helv">
    <w:altName w:val="Helvetica"/>
    <w:panose1 w:val="020B0604020202030204"/>
    <w:charset w:val="00"/>
    <w:family w:val="swiss"/>
    <w:notTrueType/>
    <w:pitch w:val="variable"/>
    <w:sig w:usb0="00000003" w:usb1="00000000" w:usb2="00000000" w:usb3="00000000" w:csb0="00000001" w:csb1="00000000"/>
  </w:font>
  <w:font w:name="Calibri Light">
    <w:altName w:val="Calibri"/>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ADB" w:rsidRDefault="00290ADB">
    <w:pPr>
      <w:pStyle w:val="Footer"/>
    </w:pPr>
    <w:r>
      <w:rPr>
        <w:rStyle w:val="PageNumber"/>
      </w:rPr>
      <w:fldChar w:fldCharType="begin"/>
    </w:r>
    <w:r>
      <w:rPr>
        <w:rStyle w:val="PageNumber"/>
      </w:rPr>
      <w:instrText xml:space="preserve"> PAGE </w:instrText>
    </w:r>
    <w:r>
      <w:rPr>
        <w:rStyle w:val="PageNumber"/>
      </w:rPr>
      <w:fldChar w:fldCharType="separate"/>
    </w:r>
    <w:r w:rsidR="00FA5121">
      <w:rPr>
        <w:rStyle w:val="PageNumber"/>
        <w:noProof/>
      </w:rPr>
      <w:t>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ADB" w:rsidRDefault="00290ADB"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FA5121">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ADB" w:rsidRPr="002A0031" w:rsidRDefault="00290ADB" w:rsidP="001A6132">
    <w:pPr>
      <w:pStyle w:val="Footer"/>
      <w:rPr>
        <w:sz w:val="20"/>
      </w:rPr>
    </w:pPr>
    <w:r>
      <w:rPr>
        <w:sz w:val="20"/>
      </w:rPr>
      <w:t>K1604575</w:t>
    </w:r>
    <w:r w:rsidRPr="002A0031">
      <w:rPr>
        <w:sz w:val="20"/>
      </w:rPr>
      <w:tab/>
    </w:r>
    <w:r w:rsidR="009E51C2">
      <w:rPr>
        <w:sz w:val="20"/>
      </w:rPr>
      <w:t>09</w:t>
    </w:r>
    <w:r>
      <w:rPr>
        <w:sz w:val="20"/>
      </w:rPr>
      <w:t>0</w:t>
    </w:r>
    <w:r w:rsidR="009E51C2">
      <w:rPr>
        <w:sz w:val="20"/>
      </w:rPr>
      <w:t>5</w:t>
    </w:r>
    <w:r>
      <w:rPr>
        <w:sz w:val="20"/>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D9E" w:rsidRPr="00B862E3" w:rsidRDefault="00287D9E" w:rsidP="009E51C2">
      <w:pPr>
        <w:tabs>
          <w:tab w:val="clear" w:pos="1247"/>
          <w:tab w:val="clear" w:pos="1814"/>
          <w:tab w:val="clear" w:pos="2381"/>
          <w:tab w:val="clear" w:pos="2948"/>
          <w:tab w:val="clear" w:pos="3515"/>
        </w:tabs>
        <w:spacing w:before="60"/>
        <w:ind w:left="624"/>
        <w:rPr>
          <w:sz w:val="18"/>
          <w:szCs w:val="18"/>
        </w:rPr>
      </w:pPr>
      <w:r w:rsidRPr="00B862E3">
        <w:rPr>
          <w:sz w:val="18"/>
          <w:szCs w:val="18"/>
        </w:rPr>
        <w:separator/>
      </w:r>
    </w:p>
  </w:footnote>
  <w:footnote w:type="continuationSeparator" w:id="0">
    <w:p w:rsidR="00287D9E" w:rsidRDefault="00287D9E">
      <w:r>
        <w:continuationSeparator/>
      </w:r>
    </w:p>
  </w:footnote>
  <w:footnote w:id="1">
    <w:p w:rsidR="00290ADB" w:rsidRPr="002C6B0D" w:rsidRDefault="00290ADB" w:rsidP="00C45FD4">
      <w:pPr>
        <w:pStyle w:val="FootnoteText"/>
        <w:tabs>
          <w:tab w:val="clear" w:pos="1247"/>
          <w:tab w:val="clear" w:pos="1814"/>
          <w:tab w:val="clear" w:pos="2381"/>
          <w:tab w:val="clear" w:pos="2948"/>
          <w:tab w:val="clear" w:pos="3515"/>
          <w:tab w:val="clear" w:pos="4082"/>
          <w:tab w:val="left" w:pos="624"/>
        </w:tabs>
        <w:rPr>
          <w:szCs w:val="18"/>
          <w:lang w:val="en-GB"/>
        </w:rPr>
      </w:pPr>
      <w:r w:rsidRPr="002C6B0D">
        <w:rPr>
          <w:rStyle w:val="FootnoteReference"/>
          <w:sz w:val="18"/>
          <w:vertAlign w:val="baseline"/>
          <w:lang w:val="en-US"/>
        </w:rPr>
        <w:t>* UNEP/EA.2/</w:t>
      </w:r>
      <w:r w:rsidRPr="002C6B0D">
        <w:rPr>
          <w:szCs w:val="18"/>
          <w:lang w:val="en-US"/>
        </w:rPr>
        <w:t xml:space="preserve">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ADB" w:rsidRPr="00E274B1" w:rsidRDefault="00290ADB" w:rsidP="00A549D9">
    <w:pPr>
      <w:pStyle w:val="Header"/>
      <w:rPr>
        <w:szCs w:val="18"/>
      </w:rPr>
    </w:pPr>
    <w:r w:rsidRPr="00E274B1">
      <w:rPr>
        <w:bCs/>
        <w:szCs w:val="18"/>
      </w:rPr>
      <w:t>UNEP</w:t>
    </w:r>
    <w:r w:rsidRPr="00E274B1">
      <w:rPr>
        <w:szCs w:val="18"/>
      </w:rPr>
      <w:t>/EA.</w:t>
    </w:r>
    <w:r>
      <w:rPr>
        <w:szCs w:val="18"/>
      </w:rPr>
      <w:t>2/INF/20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ADB" w:rsidRPr="00E274B1" w:rsidRDefault="00290ADB" w:rsidP="00A549D9">
    <w:pPr>
      <w:pStyle w:val="Header"/>
      <w:jc w:val="right"/>
      <w:rPr>
        <w:szCs w:val="18"/>
      </w:rPr>
    </w:pPr>
    <w:r w:rsidRPr="00E274B1">
      <w:rPr>
        <w:bCs/>
        <w:szCs w:val="18"/>
      </w:rPr>
      <w:t>UNEP</w:t>
    </w:r>
    <w:r w:rsidRPr="00E274B1">
      <w:rPr>
        <w:szCs w:val="18"/>
      </w:rPr>
      <w:t>/EA.</w:t>
    </w:r>
    <w:r>
      <w:rPr>
        <w:szCs w:val="18"/>
      </w:rPr>
      <w:t>2/INF/20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ADB" w:rsidRPr="00933939" w:rsidRDefault="00290ADB" w:rsidP="00933939">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5669"/>
    <w:multiLevelType w:val="hybridMultilevel"/>
    <w:tmpl w:val="61D8E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734556"/>
    <w:multiLevelType w:val="hybridMultilevel"/>
    <w:tmpl w:val="765C47E0"/>
    <w:lvl w:ilvl="0" w:tplc="08090019">
      <w:start w:val="1"/>
      <w:numFmt w:val="lowerLetter"/>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nsid w:val="1C423F41"/>
    <w:multiLevelType w:val="hybridMultilevel"/>
    <w:tmpl w:val="72F48C62"/>
    <w:lvl w:ilvl="0" w:tplc="3A0657CA">
      <w:start w:val="1"/>
      <w:numFmt w:val="upp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
    <w:nsid w:val="1EE165E6"/>
    <w:multiLevelType w:val="hybridMultilevel"/>
    <w:tmpl w:val="0ABC3338"/>
    <w:lvl w:ilvl="0" w:tplc="66786984">
      <w:start w:val="1"/>
      <w:numFmt w:val="decimal"/>
      <w:lvlText w:val="%1."/>
      <w:lvlJc w:val="left"/>
      <w:pPr>
        <w:ind w:left="720" w:hanging="360"/>
      </w:pPr>
      <w:rPr>
        <w:rFonts w:ascii="Times New Roman"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76241C"/>
    <w:multiLevelType w:val="hybridMultilevel"/>
    <w:tmpl w:val="41FE3F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3194034"/>
    <w:multiLevelType w:val="hybridMultilevel"/>
    <w:tmpl w:val="F3303B8A"/>
    <w:lvl w:ilvl="0" w:tplc="0346F69C">
      <w:start w:val="9"/>
      <w:numFmt w:val="decimal"/>
      <w:lvlText w:val="%1."/>
      <w:lvlJc w:val="left"/>
      <w:pPr>
        <w:ind w:left="1778"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7">
    <w:nsid w:val="243A7E6A"/>
    <w:multiLevelType w:val="hybridMultilevel"/>
    <w:tmpl w:val="54F6CA72"/>
    <w:lvl w:ilvl="0" w:tplc="EFAC3976">
      <w:start w:val="9"/>
      <w:numFmt w:val="decimal"/>
      <w:lvlText w:val="%1."/>
      <w:lvlJc w:val="left"/>
      <w:pPr>
        <w:ind w:left="1920" w:hanging="360"/>
      </w:pPr>
      <w:rPr>
        <w:rFonts w:hint="default"/>
        <w:b w:val="0"/>
      </w:rPr>
    </w:lvl>
    <w:lvl w:ilvl="1" w:tplc="08090019" w:tentative="1">
      <w:start w:val="1"/>
      <w:numFmt w:val="lowerLetter"/>
      <w:lvlText w:val="%2."/>
      <w:lvlJc w:val="left"/>
      <w:pPr>
        <w:ind w:left="2469" w:hanging="360"/>
      </w:pPr>
    </w:lvl>
    <w:lvl w:ilvl="2" w:tplc="0809001B" w:tentative="1">
      <w:start w:val="1"/>
      <w:numFmt w:val="lowerRoman"/>
      <w:lvlText w:val="%3."/>
      <w:lvlJc w:val="right"/>
      <w:pPr>
        <w:ind w:left="3189" w:hanging="180"/>
      </w:pPr>
    </w:lvl>
    <w:lvl w:ilvl="3" w:tplc="0809000F" w:tentative="1">
      <w:start w:val="1"/>
      <w:numFmt w:val="decimal"/>
      <w:lvlText w:val="%4."/>
      <w:lvlJc w:val="left"/>
      <w:pPr>
        <w:ind w:left="3909" w:hanging="360"/>
      </w:pPr>
    </w:lvl>
    <w:lvl w:ilvl="4" w:tplc="08090019" w:tentative="1">
      <w:start w:val="1"/>
      <w:numFmt w:val="lowerLetter"/>
      <w:lvlText w:val="%5."/>
      <w:lvlJc w:val="left"/>
      <w:pPr>
        <w:ind w:left="4629" w:hanging="360"/>
      </w:pPr>
    </w:lvl>
    <w:lvl w:ilvl="5" w:tplc="0809001B" w:tentative="1">
      <w:start w:val="1"/>
      <w:numFmt w:val="lowerRoman"/>
      <w:lvlText w:val="%6."/>
      <w:lvlJc w:val="right"/>
      <w:pPr>
        <w:ind w:left="5349" w:hanging="180"/>
      </w:pPr>
    </w:lvl>
    <w:lvl w:ilvl="6" w:tplc="0809000F" w:tentative="1">
      <w:start w:val="1"/>
      <w:numFmt w:val="decimal"/>
      <w:lvlText w:val="%7."/>
      <w:lvlJc w:val="left"/>
      <w:pPr>
        <w:ind w:left="6069" w:hanging="360"/>
      </w:pPr>
    </w:lvl>
    <w:lvl w:ilvl="7" w:tplc="08090019" w:tentative="1">
      <w:start w:val="1"/>
      <w:numFmt w:val="lowerLetter"/>
      <w:lvlText w:val="%8."/>
      <w:lvlJc w:val="left"/>
      <w:pPr>
        <w:ind w:left="6789" w:hanging="360"/>
      </w:pPr>
    </w:lvl>
    <w:lvl w:ilvl="8" w:tplc="0809001B" w:tentative="1">
      <w:start w:val="1"/>
      <w:numFmt w:val="lowerRoman"/>
      <w:lvlText w:val="%9."/>
      <w:lvlJc w:val="right"/>
      <w:pPr>
        <w:ind w:left="7509" w:hanging="180"/>
      </w:pPr>
    </w:lvl>
  </w:abstractNum>
  <w:abstractNum w:abstractNumId="8">
    <w:nsid w:val="2DE27F68"/>
    <w:multiLevelType w:val="hybridMultilevel"/>
    <w:tmpl w:val="F6162DB6"/>
    <w:lvl w:ilvl="0" w:tplc="14AED40A">
      <w:start w:val="4"/>
      <w:numFmt w:val="decimal"/>
      <w:lvlText w:val="%1."/>
      <w:lvlJc w:val="left"/>
      <w:pPr>
        <w:ind w:left="1996" w:hanging="360"/>
      </w:pPr>
      <w:rPr>
        <w:rFonts w:ascii="Times New Roman" w:hAnsi="Times New Roman" w:cs="Times New Roman"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34510B4"/>
    <w:multiLevelType w:val="hybridMultilevel"/>
    <w:tmpl w:val="03DEBFDE"/>
    <w:lvl w:ilvl="0" w:tplc="A8008E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1">
    <w:nsid w:val="3AC2656B"/>
    <w:multiLevelType w:val="hybridMultilevel"/>
    <w:tmpl w:val="1D720082"/>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CC576B7"/>
    <w:multiLevelType w:val="hybridMultilevel"/>
    <w:tmpl w:val="67D4C170"/>
    <w:lvl w:ilvl="0" w:tplc="8A126870">
      <w:start w:val="1"/>
      <w:numFmt w:val="upperLetter"/>
      <w:lvlText w:val="%1."/>
      <w:lvlJc w:val="left"/>
      <w:pPr>
        <w:ind w:left="984" w:hanging="360"/>
      </w:pPr>
      <w:rPr>
        <w:rFonts w:hint="default"/>
        <w:sz w:val="24"/>
        <w:szCs w:val="24"/>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13">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4">
    <w:nsid w:val="53482D39"/>
    <w:multiLevelType w:val="hybridMultilevel"/>
    <w:tmpl w:val="67D4C170"/>
    <w:lvl w:ilvl="0" w:tplc="8A126870">
      <w:start w:val="1"/>
      <w:numFmt w:val="upperLetter"/>
      <w:lvlText w:val="%1."/>
      <w:lvlJc w:val="left"/>
      <w:pPr>
        <w:ind w:left="984" w:hanging="360"/>
      </w:pPr>
      <w:rPr>
        <w:rFonts w:hint="default"/>
        <w:sz w:val="24"/>
        <w:szCs w:val="24"/>
      </w:rPr>
    </w:lvl>
    <w:lvl w:ilvl="1" w:tplc="08090019">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15">
    <w:nsid w:val="567D518C"/>
    <w:multiLevelType w:val="hybridMultilevel"/>
    <w:tmpl w:val="D97031A0"/>
    <w:lvl w:ilvl="0" w:tplc="08090019">
      <w:start w:val="1"/>
      <w:numFmt w:val="lowerLetter"/>
      <w:lvlText w:val="%1."/>
      <w:lvlJc w:val="left"/>
      <w:pPr>
        <w:ind w:left="3411" w:hanging="360"/>
      </w:pPr>
      <w:rPr>
        <w:rFonts w:hint="default"/>
      </w:rPr>
    </w:lvl>
    <w:lvl w:ilvl="1" w:tplc="08090019" w:tentative="1">
      <w:start w:val="1"/>
      <w:numFmt w:val="lowerLetter"/>
      <w:lvlText w:val="%2."/>
      <w:lvlJc w:val="left"/>
      <w:pPr>
        <w:ind w:left="4131" w:hanging="360"/>
      </w:pPr>
    </w:lvl>
    <w:lvl w:ilvl="2" w:tplc="0809001B" w:tentative="1">
      <w:start w:val="1"/>
      <w:numFmt w:val="lowerRoman"/>
      <w:lvlText w:val="%3."/>
      <w:lvlJc w:val="right"/>
      <w:pPr>
        <w:ind w:left="4851" w:hanging="180"/>
      </w:pPr>
    </w:lvl>
    <w:lvl w:ilvl="3" w:tplc="0809000F" w:tentative="1">
      <w:start w:val="1"/>
      <w:numFmt w:val="decimal"/>
      <w:lvlText w:val="%4."/>
      <w:lvlJc w:val="left"/>
      <w:pPr>
        <w:ind w:left="5571" w:hanging="360"/>
      </w:pPr>
    </w:lvl>
    <w:lvl w:ilvl="4" w:tplc="08090019" w:tentative="1">
      <w:start w:val="1"/>
      <w:numFmt w:val="lowerLetter"/>
      <w:lvlText w:val="%5."/>
      <w:lvlJc w:val="left"/>
      <w:pPr>
        <w:ind w:left="6291" w:hanging="360"/>
      </w:pPr>
    </w:lvl>
    <w:lvl w:ilvl="5" w:tplc="0809001B" w:tentative="1">
      <w:start w:val="1"/>
      <w:numFmt w:val="lowerRoman"/>
      <w:lvlText w:val="%6."/>
      <w:lvlJc w:val="right"/>
      <w:pPr>
        <w:ind w:left="7011" w:hanging="180"/>
      </w:pPr>
    </w:lvl>
    <w:lvl w:ilvl="6" w:tplc="0809000F" w:tentative="1">
      <w:start w:val="1"/>
      <w:numFmt w:val="decimal"/>
      <w:lvlText w:val="%7."/>
      <w:lvlJc w:val="left"/>
      <w:pPr>
        <w:ind w:left="7731" w:hanging="360"/>
      </w:pPr>
    </w:lvl>
    <w:lvl w:ilvl="7" w:tplc="08090019" w:tentative="1">
      <w:start w:val="1"/>
      <w:numFmt w:val="lowerLetter"/>
      <w:lvlText w:val="%8."/>
      <w:lvlJc w:val="left"/>
      <w:pPr>
        <w:ind w:left="8451" w:hanging="360"/>
      </w:pPr>
    </w:lvl>
    <w:lvl w:ilvl="8" w:tplc="0809001B" w:tentative="1">
      <w:start w:val="1"/>
      <w:numFmt w:val="lowerRoman"/>
      <w:lvlText w:val="%9."/>
      <w:lvlJc w:val="right"/>
      <w:pPr>
        <w:ind w:left="9171" w:hanging="180"/>
      </w:pPr>
    </w:lvl>
  </w:abstractNum>
  <w:abstractNum w:abstractNumId="16">
    <w:nsid w:val="60393989"/>
    <w:multiLevelType w:val="hybridMultilevel"/>
    <w:tmpl w:val="166C9B8C"/>
    <w:lvl w:ilvl="0" w:tplc="A8008E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282029"/>
    <w:multiLevelType w:val="multilevel"/>
    <w:tmpl w:val="28AA5CEE"/>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8">
    <w:nsid w:val="7DCE2800"/>
    <w:multiLevelType w:val="hybridMultilevel"/>
    <w:tmpl w:val="63786D02"/>
    <w:lvl w:ilvl="0" w:tplc="8DEE4C88">
      <w:start w:val="1"/>
      <w:numFmt w:val="decimal"/>
      <w:lvlText w:val="%1."/>
      <w:lvlJc w:val="left"/>
      <w:pPr>
        <w:ind w:left="1602" w:hanging="360"/>
      </w:pPr>
      <w:rPr>
        <w:rFonts w:hint="default"/>
        <w:b/>
        <w:i w:val="0"/>
      </w:rPr>
    </w:lvl>
    <w:lvl w:ilvl="1" w:tplc="08090019" w:tentative="1">
      <w:start w:val="1"/>
      <w:numFmt w:val="lowerLetter"/>
      <w:lvlText w:val="%2."/>
      <w:lvlJc w:val="left"/>
      <w:pPr>
        <w:ind w:left="2322" w:hanging="360"/>
      </w:pPr>
    </w:lvl>
    <w:lvl w:ilvl="2" w:tplc="0809001B" w:tentative="1">
      <w:start w:val="1"/>
      <w:numFmt w:val="lowerRoman"/>
      <w:lvlText w:val="%3."/>
      <w:lvlJc w:val="right"/>
      <w:pPr>
        <w:ind w:left="3042" w:hanging="180"/>
      </w:pPr>
    </w:lvl>
    <w:lvl w:ilvl="3" w:tplc="0809000F" w:tentative="1">
      <w:start w:val="1"/>
      <w:numFmt w:val="decimal"/>
      <w:lvlText w:val="%4."/>
      <w:lvlJc w:val="left"/>
      <w:pPr>
        <w:ind w:left="3762" w:hanging="360"/>
      </w:pPr>
    </w:lvl>
    <w:lvl w:ilvl="4" w:tplc="08090019" w:tentative="1">
      <w:start w:val="1"/>
      <w:numFmt w:val="lowerLetter"/>
      <w:lvlText w:val="%5."/>
      <w:lvlJc w:val="left"/>
      <w:pPr>
        <w:ind w:left="4482" w:hanging="360"/>
      </w:pPr>
    </w:lvl>
    <w:lvl w:ilvl="5" w:tplc="0809001B" w:tentative="1">
      <w:start w:val="1"/>
      <w:numFmt w:val="lowerRoman"/>
      <w:lvlText w:val="%6."/>
      <w:lvlJc w:val="right"/>
      <w:pPr>
        <w:ind w:left="5202" w:hanging="180"/>
      </w:pPr>
    </w:lvl>
    <w:lvl w:ilvl="6" w:tplc="0809000F" w:tentative="1">
      <w:start w:val="1"/>
      <w:numFmt w:val="decimal"/>
      <w:lvlText w:val="%7."/>
      <w:lvlJc w:val="left"/>
      <w:pPr>
        <w:ind w:left="5922" w:hanging="360"/>
      </w:pPr>
    </w:lvl>
    <w:lvl w:ilvl="7" w:tplc="08090019" w:tentative="1">
      <w:start w:val="1"/>
      <w:numFmt w:val="lowerLetter"/>
      <w:lvlText w:val="%8."/>
      <w:lvlJc w:val="left"/>
      <w:pPr>
        <w:ind w:left="6642" w:hanging="360"/>
      </w:pPr>
    </w:lvl>
    <w:lvl w:ilvl="8" w:tplc="0809001B" w:tentative="1">
      <w:start w:val="1"/>
      <w:numFmt w:val="lowerRoman"/>
      <w:lvlText w:val="%9."/>
      <w:lvlJc w:val="right"/>
      <w:pPr>
        <w:ind w:left="7362" w:hanging="180"/>
      </w:pPr>
    </w:lvl>
  </w:abstractNum>
  <w:num w:numId="1">
    <w:abstractNumId w:val="2"/>
  </w:num>
  <w:num w:numId="2">
    <w:abstractNumId w:val="10"/>
  </w:num>
  <w:num w:numId="3">
    <w:abstractNumId w:val="13"/>
  </w:num>
  <w:num w:numId="4">
    <w:abstractNumId w:val="3"/>
  </w:num>
  <w:num w:numId="5">
    <w:abstractNumId w:val="15"/>
  </w:num>
  <w:num w:numId="6">
    <w:abstractNumId w:val="5"/>
  </w:num>
  <w:num w:numId="7">
    <w:abstractNumId w:val="8"/>
  </w:num>
  <w:num w:numId="8">
    <w:abstractNumId w:val="14"/>
  </w:num>
  <w:num w:numId="9">
    <w:abstractNumId w:val="12"/>
  </w:num>
  <w:num w:numId="10">
    <w:abstractNumId w:val="7"/>
  </w:num>
  <w:num w:numId="11">
    <w:abstractNumId w:val="11"/>
  </w:num>
  <w:num w:numId="12">
    <w:abstractNumId w:val="1"/>
  </w:num>
  <w:num w:numId="13">
    <w:abstractNumId w:val="18"/>
  </w:num>
  <w:num w:numId="14">
    <w:abstractNumId w:val="6"/>
  </w:num>
  <w:num w:numId="15">
    <w:abstractNumId w:val="17"/>
  </w:num>
  <w:num w:numId="16">
    <w:abstractNumId w:val="0"/>
  </w:num>
  <w:num w:numId="17">
    <w:abstractNumId w:val="4"/>
  </w:num>
  <w:num w:numId="18">
    <w:abstractNumId w:val="16"/>
  </w:num>
  <w:num w:numId="1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n-PH"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C54"/>
    <w:rsid w:val="00002A98"/>
    <w:rsid w:val="000056FF"/>
    <w:rsid w:val="00011305"/>
    <w:rsid w:val="000149E6"/>
    <w:rsid w:val="00015B25"/>
    <w:rsid w:val="000161DE"/>
    <w:rsid w:val="00020F24"/>
    <w:rsid w:val="000247B0"/>
    <w:rsid w:val="0002610C"/>
    <w:rsid w:val="00026997"/>
    <w:rsid w:val="00031A4C"/>
    <w:rsid w:val="00031BC4"/>
    <w:rsid w:val="00033E0B"/>
    <w:rsid w:val="00035EDE"/>
    <w:rsid w:val="00042004"/>
    <w:rsid w:val="00042272"/>
    <w:rsid w:val="00043BA8"/>
    <w:rsid w:val="00044335"/>
    <w:rsid w:val="00044453"/>
    <w:rsid w:val="000466E1"/>
    <w:rsid w:val="00046DAF"/>
    <w:rsid w:val="00050669"/>
    <w:rsid w:val="000509B4"/>
    <w:rsid w:val="00052DE2"/>
    <w:rsid w:val="00053882"/>
    <w:rsid w:val="00054568"/>
    <w:rsid w:val="00055492"/>
    <w:rsid w:val="0005627C"/>
    <w:rsid w:val="0006035B"/>
    <w:rsid w:val="000629C2"/>
    <w:rsid w:val="00066489"/>
    <w:rsid w:val="00071169"/>
    <w:rsid w:val="00071886"/>
    <w:rsid w:val="000736D3"/>
    <w:rsid w:val="000742BC"/>
    <w:rsid w:val="0007550A"/>
    <w:rsid w:val="0007561A"/>
    <w:rsid w:val="00082A0C"/>
    <w:rsid w:val="00083504"/>
    <w:rsid w:val="0008440D"/>
    <w:rsid w:val="0009640C"/>
    <w:rsid w:val="00096845"/>
    <w:rsid w:val="000A4EFD"/>
    <w:rsid w:val="000B22A2"/>
    <w:rsid w:val="000B49EB"/>
    <w:rsid w:val="000B6090"/>
    <w:rsid w:val="000C27BF"/>
    <w:rsid w:val="000C2A52"/>
    <w:rsid w:val="000C4657"/>
    <w:rsid w:val="000D33C0"/>
    <w:rsid w:val="000D6941"/>
    <w:rsid w:val="000E2D21"/>
    <w:rsid w:val="000E75C6"/>
    <w:rsid w:val="000F0B32"/>
    <w:rsid w:val="000F4B30"/>
    <w:rsid w:val="000F6068"/>
    <w:rsid w:val="00102175"/>
    <w:rsid w:val="001038BB"/>
    <w:rsid w:val="00107633"/>
    <w:rsid w:val="0010794A"/>
    <w:rsid w:val="00107C5C"/>
    <w:rsid w:val="0011470D"/>
    <w:rsid w:val="001201B1"/>
    <w:rsid w:val="001202E3"/>
    <w:rsid w:val="00123699"/>
    <w:rsid w:val="001250AC"/>
    <w:rsid w:val="00126083"/>
    <w:rsid w:val="0012705B"/>
    <w:rsid w:val="0013059D"/>
    <w:rsid w:val="00131B72"/>
    <w:rsid w:val="00140E01"/>
    <w:rsid w:val="00141A55"/>
    <w:rsid w:val="001446A3"/>
    <w:rsid w:val="00153378"/>
    <w:rsid w:val="00153539"/>
    <w:rsid w:val="00153FDC"/>
    <w:rsid w:val="001540DB"/>
    <w:rsid w:val="00155395"/>
    <w:rsid w:val="0015648A"/>
    <w:rsid w:val="00160D74"/>
    <w:rsid w:val="00167280"/>
    <w:rsid w:val="00167391"/>
    <w:rsid w:val="00167D02"/>
    <w:rsid w:val="001763D0"/>
    <w:rsid w:val="00176F7A"/>
    <w:rsid w:val="001812D8"/>
    <w:rsid w:val="00181925"/>
    <w:rsid w:val="00181EC8"/>
    <w:rsid w:val="00184349"/>
    <w:rsid w:val="001844CA"/>
    <w:rsid w:val="00184918"/>
    <w:rsid w:val="00186B98"/>
    <w:rsid w:val="0019171E"/>
    <w:rsid w:val="00195F33"/>
    <w:rsid w:val="00197954"/>
    <w:rsid w:val="001A1859"/>
    <w:rsid w:val="001A2A33"/>
    <w:rsid w:val="001A30A3"/>
    <w:rsid w:val="001A6132"/>
    <w:rsid w:val="001B0D25"/>
    <w:rsid w:val="001B1617"/>
    <w:rsid w:val="001B504B"/>
    <w:rsid w:val="001B5067"/>
    <w:rsid w:val="001B6289"/>
    <w:rsid w:val="001C0912"/>
    <w:rsid w:val="001C6986"/>
    <w:rsid w:val="001D3874"/>
    <w:rsid w:val="001D67CC"/>
    <w:rsid w:val="001D7C60"/>
    <w:rsid w:val="001D7E75"/>
    <w:rsid w:val="001E0D4D"/>
    <w:rsid w:val="001E31D9"/>
    <w:rsid w:val="001E56D2"/>
    <w:rsid w:val="001E635B"/>
    <w:rsid w:val="001E7D56"/>
    <w:rsid w:val="001F20A6"/>
    <w:rsid w:val="001F2C27"/>
    <w:rsid w:val="001F75DE"/>
    <w:rsid w:val="00200D58"/>
    <w:rsid w:val="002013BE"/>
    <w:rsid w:val="00203291"/>
    <w:rsid w:val="002063A4"/>
    <w:rsid w:val="0021145B"/>
    <w:rsid w:val="00212148"/>
    <w:rsid w:val="0021334A"/>
    <w:rsid w:val="00224274"/>
    <w:rsid w:val="0022685F"/>
    <w:rsid w:val="00236099"/>
    <w:rsid w:val="002376AF"/>
    <w:rsid w:val="00243D36"/>
    <w:rsid w:val="002448AE"/>
    <w:rsid w:val="00247707"/>
    <w:rsid w:val="00252E90"/>
    <w:rsid w:val="0026018E"/>
    <w:rsid w:val="002610CD"/>
    <w:rsid w:val="00263C75"/>
    <w:rsid w:val="002645F7"/>
    <w:rsid w:val="00265346"/>
    <w:rsid w:val="00265551"/>
    <w:rsid w:val="00267C40"/>
    <w:rsid w:val="00271A43"/>
    <w:rsid w:val="002725E5"/>
    <w:rsid w:val="00286740"/>
    <w:rsid w:val="00287D9E"/>
    <w:rsid w:val="00290ADB"/>
    <w:rsid w:val="002922E7"/>
    <w:rsid w:val="002929D8"/>
    <w:rsid w:val="00292CB7"/>
    <w:rsid w:val="002A0031"/>
    <w:rsid w:val="002A219B"/>
    <w:rsid w:val="002A237D"/>
    <w:rsid w:val="002A4C53"/>
    <w:rsid w:val="002B0135"/>
    <w:rsid w:val="002B0672"/>
    <w:rsid w:val="002B138C"/>
    <w:rsid w:val="002B1742"/>
    <w:rsid w:val="002B247F"/>
    <w:rsid w:val="002B4F57"/>
    <w:rsid w:val="002C145D"/>
    <w:rsid w:val="002C2C3E"/>
    <w:rsid w:val="002C315C"/>
    <w:rsid w:val="002C4C33"/>
    <w:rsid w:val="002C533E"/>
    <w:rsid w:val="002C6B0D"/>
    <w:rsid w:val="002D027F"/>
    <w:rsid w:val="002D138C"/>
    <w:rsid w:val="002D18FF"/>
    <w:rsid w:val="002D6345"/>
    <w:rsid w:val="002D7A85"/>
    <w:rsid w:val="002D7B60"/>
    <w:rsid w:val="002E5225"/>
    <w:rsid w:val="002E6387"/>
    <w:rsid w:val="002F4761"/>
    <w:rsid w:val="002F48E6"/>
    <w:rsid w:val="002F5C79"/>
    <w:rsid w:val="0030164C"/>
    <w:rsid w:val="003019E2"/>
    <w:rsid w:val="003050A3"/>
    <w:rsid w:val="00307663"/>
    <w:rsid w:val="003076B9"/>
    <w:rsid w:val="0031413F"/>
    <w:rsid w:val="003148BB"/>
    <w:rsid w:val="00315521"/>
    <w:rsid w:val="003167FA"/>
    <w:rsid w:val="00317976"/>
    <w:rsid w:val="0032171C"/>
    <w:rsid w:val="00321A1F"/>
    <w:rsid w:val="00337A5B"/>
    <w:rsid w:val="00340EEA"/>
    <w:rsid w:val="0034521E"/>
    <w:rsid w:val="00355EA9"/>
    <w:rsid w:val="003578DE"/>
    <w:rsid w:val="003612A4"/>
    <w:rsid w:val="00362BAF"/>
    <w:rsid w:val="003652F6"/>
    <w:rsid w:val="0036570E"/>
    <w:rsid w:val="00380AB5"/>
    <w:rsid w:val="00382497"/>
    <w:rsid w:val="0038446B"/>
    <w:rsid w:val="00384C7B"/>
    <w:rsid w:val="00385B09"/>
    <w:rsid w:val="00392D30"/>
    <w:rsid w:val="00393472"/>
    <w:rsid w:val="00396257"/>
    <w:rsid w:val="00397EB8"/>
    <w:rsid w:val="003A0EAB"/>
    <w:rsid w:val="003A16B5"/>
    <w:rsid w:val="003A4FD0"/>
    <w:rsid w:val="003A69D1"/>
    <w:rsid w:val="003A710A"/>
    <w:rsid w:val="003A7705"/>
    <w:rsid w:val="003A77F1"/>
    <w:rsid w:val="003B025B"/>
    <w:rsid w:val="003B0C39"/>
    <w:rsid w:val="003B1545"/>
    <w:rsid w:val="003B5CEC"/>
    <w:rsid w:val="003C15AE"/>
    <w:rsid w:val="003C409D"/>
    <w:rsid w:val="003C5BA6"/>
    <w:rsid w:val="003D2966"/>
    <w:rsid w:val="003E0079"/>
    <w:rsid w:val="003E1CCD"/>
    <w:rsid w:val="003E4350"/>
    <w:rsid w:val="003E7FE5"/>
    <w:rsid w:val="003F0E85"/>
    <w:rsid w:val="003F2D2D"/>
    <w:rsid w:val="00400B47"/>
    <w:rsid w:val="00400B70"/>
    <w:rsid w:val="004101E1"/>
    <w:rsid w:val="00410C55"/>
    <w:rsid w:val="004130D2"/>
    <w:rsid w:val="004152C7"/>
    <w:rsid w:val="00416854"/>
    <w:rsid w:val="00417725"/>
    <w:rsid w:val="00422A0A"/>
    <w:rsid w:val="004323D1"/>
    <w:rsid w:val="00432EB6"/>
    <w:rsid w:val="0043514C"/>
    <w:rsid w:val="00435741"/>
    <w:rsid w:val="00437F26"/>
    <w:rsid w:val="00440E1F"/>
    <w:rsid w:val="00444097"/>
    <w:rsid w:val="00445487"/>
    <w:rsid w:val="0045007E"/>
    <w:rsid w:val="00450548"/>
    <w:rsid w:val="0045061E"/>
    <w:rsid w:val="00454769"/>
    <w:rsid w:val="00454874"/>
    <w:rsid w:val="004548EA"/>
    <w:rsid w:val="00456F3B"/>
    <w:rsid w:val="00457927"/>
    <w:rsid w:val="00461F5D"/>
    <w:rsid w:val="004622CA"/>
    <w:rsid w:val="00466991"/>
    <w:rsid w:val="0047064C"/>
    <w:rsid w:val="00474292"/>
    <w:rsid w:val="00474EB5"/>
    <w:rsid w:val="00476566"/>
    <w:rsid w:val="00480690"/>
    <w:rsid w:val="004916D0"/>
    <w:rsid w:val="0049579A"/>
    <w:rsid w:val="004A2126"/>
    <w:rsid w:val="004A2D9A"/>
    <w:rsid w:val="004A42E1"/>
    <w:rsid w:val="004A6852"/>
    <w:rsid w:val="004B162C"/>
    <w:rsid w:val="004B1671"/>
    <w:rsid w:val="004C3DBE"/>
    <w:rsid w:val="004C5C96"/>
    <w:rsid w:val="004D06A4"/>
    <w:rsid w:val="004D4A72"/>
    <w:rsid w:val="004D52B4"/>
    <w:rsid w:val="004D52FF"/>
    <w:rsid w:val="004E20A1"/>
    <w:rsid w:val="004E31E7"/>
    <w:rsid w:val="004F1A81"/>
    <w:rsid w:val="004F2242"/>
    <w:rsid w:val="004F2B79"/>
    <w:rsid w:val="004F552A"/>
    <w:rsid w:val="004F5555"/>
    <w:rsid w:val="004F6BCA"/>
    <w:rsid w:val="005063E2"/>
    <w:rsid w:val="00506929"/>
    <w:rsid w:val="00507A1E"/>
    <w:rsid w:val="00507B4F"/>
    <w:rsid w:val="00515B07"/>
    <w:rsid w:val="00517AD2"/>
    <w:rsid w:val="00517DF0"/>
    <w:rsid w:val="005218D9"/>
    <w:rsid w:val="00527801"/>
    <w:rsid w:val="0052788B"/>
    <w:rsid w:val="0053299D"/>
    <w:rsid w:val="0053312E"/>
    <w:rsid w:val="00534948"/>
    <w:rsid w:val="00536186"/>
    <w:rsid w:val="00537D7A"/>
    <w:rsid w:val="00544CBB"/>
    <w:rsid w:val="00551F8D"/>
    <w:rsid w:val="0055249A"/>
    <w:rsid w:val="00553429"/>
    <w:rsid w:val="0055638F"/>
    <w:rsid w:val="00560C8F"/>
    <w:rsid w:val="00561F50"/>
    <w:rsid w:val="005635F6"/>
    <w:rsid w:val="0057315F"/>
    <w:rsid w:val="00575A6F"/>
    <w:rsid w:val="00576104"/>
    <w:rsid w:val="005802C9"/>
    <w:rsid w:val="00581043"/>
    <w:rsid w:val="00582538"/>
    <w:rsid w:val="0058287F"/>
    <w:rsid w:val="0059169A"/>
    <w:rsid w:val="00593EF6"/>
    <w:rsid w:val="00594678"/>
    <w:rsid w:val="005A18F6"/>
    <w:rsid w:val="005A635C"/>
    <w:rsid w:val="005A6F7E"/>
    <w:rsid w:val="005B0C45"/>
    <w:rsid w:val="005B3626"/>
    <w:rsid w:val="005B6526"/>
    <w:rsid w:val="005B67E2"/>
    <w:rsid w:val="005C37F6"/>
    <w:rsid w:val="005C67C8"/>
    <w:rsid w:val="005D0249"/>
    <w:rsid w:val="005D06CD"/>
    <w:rsid w:val="005D6E8C"/>
    <w:rsid w:val="005E19BA"/>
    <w:rsid w:val="005E3E4E"/>
    <w:rsid w:val="005E7B57"/>
    <w:rsid w:val="005F0C62"/>
    <w:rsid w:val="005F100C"/>
    <w:rsid w:val="005F68DA"/>
    <w:rsid w:val="00606D86"/>
    <w:rsid w:val="0060773B"/>
    <w:rsid w:val="006128EC"/>
    <w:rsid w:val="00613FCA"/>
    <w:rsid w:val="006157B5"/>
    <w:rsid w:val="0061663C"/>
    <w:rsid w:val="00617480"/>
    <w:rsid w:val="00624CFF"/>
    <w:rsid w:val="00626FC6"/>
    <w:rsid w:val="006303B4"/>
    <w:rsid w:val="006312E3"/>
    <w:rsid w:val="00633D3D"/>
    <w:rsid w:val="0063780E"/>
    <w:rsid w:val="00641703"/>
    <w:rsid w:val="006431A6"/>
    <w:rsid w:val="00643BA3"/>
    <w:rsid w:val="006459F6"/>
    <w:rsid w:val="006501AD"/>
    <w:rsid w:val="00651BFA"/>
    <w:rsid w:val="0065308C"/>
    <w:rsid w:val="00654475"/>
    <w:rsid w:val="00664F29"/>
    <w:rsid w:val="00665A4B"/>
    <w:rsid w:val="006724B4"/>
    <w:rsid w:val="00674FA2"/>
    <w:rsid w:val="00675EBB"/>
    <w:rsid w:val="00677A83"/>
    <w:rsid w:val="00684920"/>
    <w:rsid w:val="00686CB4"/>
    <w:rsid w:val="00686D11"/>
    <w:rsid w:val="0069126A"/>
    <w:rsid w:val="00692E2A"/>
    <w:rsid w:val="006937E8"/>
    <w:rsid w:val="006A76F2"/>
    <w:rsid w:val="006B2492"/>
    <w:rsid w:val="006B4012"/>
    <w:rsid w:val="006C1EFC"/>
    <w:rsid w:val="006C2400"/>
    <w:rsid w:val="006C7DF7"/>
    <w:rsid w:val="006C7F32"/>
    <w:rsid w:val="006D2643"/>
    <w:rsid w:val="006D7EFB"/>
    <w:rsid w:val="006E6672"/>
    <w:rsid w:val="006E6722"/>
    <w:rsid w:val="006F26C7"/>
    <w:rsid w:val="007027B9"/>
    <w:rsid w:val="00705704"/>
    <w:rsid w:val="00711A44"/>
    <w:rsid w:val="007137C8"/>
    <w:rsid w:val="00715E88"/>
    <w:rsid w:val="00716A76"/>
    <w:rsid w:val="00716C6F"/>
    <w:rsid w:val="007227B9"/>
    <w:rsid w:val="00727B64"/>
    <w:rsid w:val="00733626"/>
    <w:rsid w:val="00734CAA"/>
    <w:rsid w:val="00740D22"/>
    <w:rsid w:val="00742955"/>
    <w:rsid w:val="00746918"/>
    <w:rsid w:val="0075533C"/>
    <w:rsid w:val="007562B3"/>
    <w:rsid w:val="00757581"/>
    <w:rsid w:val="007611A0"/>
    <w:rsid w:val="00761E8B"/>
    <w:rsid w:val="007650CF"/>
    <w:rsid w:val="007714B8"/>
    <w:rsid w:val="00772B81"/>
    <w:rsid w:val="00775BA1"/>
    <w:rsid w:val="00781961"/>
    <w:rsid w:val="00786DBC"/>
    <w:rsid w:val="00795878"/>
    <w:rsid w:val="00796D3F"/>
    <w:rsid w:val="007A1683"/>
    <w:rsid w:val="007A26F9"/>
    <w:rsid w:val="007A5A4D"/>
    <w:rsid w:val="007A5C12"/>
    <w:rsid w:val="007A7CB0"/>
    <w:rsid w:val="007B68A3"/>
    <w:rsid w:val="007B6F86"/>
    <w:rsid w:val="007B77D2"/>
    <w:rsid w:val="007C0D6D"/>
    <w:rsid w:val="007C1986"/>
    <w:rsid w:val="007C2541"/>
    <w:rsid w:val="007D5CC5"/>
    <w:rsid w:val="007D66A8"/>
    <w:rsid w:val="007D79C6"/>
    <w:rsid w:val="007E003F"/>
    <w:rsid w:val="007E0158"/>
    <w:rsid w:val="007E6FFE"/>
    <w:rsid w:val="007F4456"/>
    <w:rsid w:val="007F4648"/>
    <w:rsid w:val="007F47BA"/>
    <w:rsid w:val="007F48DA"/>
    <w:rsid w:val="007F6084"/>
    <w:rsid w:val="00804823"/>
    <w:rsid w:val="00804848"/>
    <w:rsid w:val="008164F2"/>
    <w:rsid w:val="00821395"/>
    <w:rsid w:val="00821975"/>
    <w:rsid w:val="00830E26"/>
    <w:rsid w:val="00843576"/>
    <w:rsid w:val="00843B64"/>
    <w:rsid w:val="00844B0A"/>
    <w:rsid w:val="008478FC"/>
    <w:rsid w:val="008554C7"/>
    <w:rsid w:val="00856C70"/>
    <w:rsid w:val="00864ADB"/>
    <w:rsid w:val="00867BFF"/>
    <w:rsid w:val="00876067"/>
    <w:rsid w:val="0088280C"/>
    <w:rsid w:val="00883ED2"/>
    <w:rsid w:val="0088480A"/>
    <w:rsid w:val="0088757A"/>
    <w:rsid w:val="00894F67"/>
    <w:rsid w:val="008957DD"/>
    <w:rsid w:val="00897D98"/>
    <w:rsid w:val="008A395B"/>
    <w:rsid w:val="008A3AB1"/>
    <w:rsid w:val="008A3B19"/>
    <w:rsid w:val="008A6DF2"/>
    <w:rsid w:val="008A7807"/>
    <w:rsid w:val="008B072C"/>
    <w:rsid w:val="008B3481"/>
    <w:rsid w:val="008B4BC2"/>
    <w:rsid w:val="008B4CC9"/>
    <w:rsid w:val="008C2352"/>
    <w:rsid w:val="008C2686"/>
    <w:rsid w:val="008D20DD"/>
    <w:rsid w:val="008D7C99"/>
    <w:rsid w:val="008E0FCB"/>
    <w:rsid w:val="008F1F8C"/>
    <w:rsid w:val="008F29FF"/>
    <w:rsid w:val="008F591E"/>
    <w:rsid w:val="0091406E"/>
    <w:rsid w:val="0091435D"/>
    <w:rsid w:val="00915D7C"/>
    <w:rsid w:val="0092178C"/>
    <w:rsid w:val="009255C1"/>
    <w:rsid w:val="00930B88"/>
    <w:rsid w:val="00933939"/>
    <w:rsid w:val="009349CC"/>
    <w:rsid w:val="00937030"/>
    <w:rsid w:val="009400A0"/>
    <w:rsid w:val="00940DCC"/>
    <w:rsid w:val="0094179A"/>
    <w:rsid w:val="00941F6D"/>
    <w:rsid w:val="0094280F"/>
    <w:rsid w:val="0094459E"/>
    <w:rsid w:val="00944CDA"/>
    <w:rsid w:val="00944DBC"/>
    <w:rsid w:val="00950977"/>
    <w:rsid w:val="00951A7B"/>
    <w:rsid w:val="009529DB"/>
    <w:rsid w:val="00952FA3"/>
    <w:rsid w:val="009564A6"/>
    <w:rsid w:val="00962A9D"/>
    <w:rsid w:val="00967621"/>
    <w:rsid w:val="00967969"/>
    <w:rsid w:val="00967E6A"/>
    <w:rsid w:val="00971033"/>
    <w:rsid w:val="00972A75"/>
    <w:rsid w:val="00974228"/>
    <w:rsid w:val="009742C3"/>
    <w:rsid w:val="00974AE8"/>
    <w:rsid w:val="00977575"/>
    <w:rsid w:val="00977C54"/>
    <w:rsid w:val="009867D6"/>
    <w:rsid w:val="00986C6D"/>
    <w:rsid w:val="00991783"/>
    <w:rsid w:val="009B25A8"/>
    <w:rsid w:val="009B312E"/>
    <w:rsid w:val="009B4A0F"/>
    <w:rsid w:val="009B6AE5"/>
    <w:rsid w:val="009C11D2"/>
    <w:rsid w:val="009C6C70"/>
    <w:rsid w:val="009C7008"/>
    <w:rsid w:val="009D0B63"/>
    <w:rsid w:val="009D4203"/>
    <w:rsid w:val="009D53FE"/>
    <w:rsid w:val="009E1189"/>
    <w:rsid w:val="009E1D5E"/>
    <w:rsid w:val="009E307E"/>
    <w:rsid w:val="009E3F1B"/>
    <w:rsid w:val="009E51C2"/>
    <w:rsid w:val="009E56D7"/>
    <w:rsid w:val="009E5885"/>
    <w:rsid w:val="009F20F8"/>
    <w:rsid w:val="009F35A1"/>
    <w:rsid w:val="009F5B48"/>
    <w:rsid w:val="009F7927"/>
    <w:rsid w:val="00A00FA2"/>
    <w:rsid w:val="00A07870"/>
    <w:rsid w:val="00A07F19"/>
    <w:rsid w:val="00A11D51"/>
    <w:rsid w:val="00A1348D"/>
    <w:rsid w:val="00A232EE"/>
    <w:rsid w:val="00A31C79"/>
    <w:rsid w:val="00A34384"/>
    <w:rsid w:val="00A35975"/>
    <w:rsid w:val="00A35AD1"/>
    <w:rsid w:val="00A4100B"/>
    <w:rsid w:val="00A4175F"/>
    <w:rsid w:val="00A44411"/>
    <w:rsid w:val="00A45D0D"/>
    <w:rsid w:val="00A469FA"/>
    <w:rsid w:val="00A47FAA"/>
    <w:rsid w:val="00A529CF"/>
    <w:rsid w:val="00A549D9"/>
    <w:rsid w:val="00A55B01"/>
    <w:rsid w:val="00A56B5B"/>
    <w:rsid w:val="00A603FF"/>
    <w:rsid w:val="00A61167"/>
    <w:rsid w:val="00A657DD"/>
    <w:rsid w:val="00A666A6"/>
    <w:rsid w:val="00A66917"/>
    <w:rsid w:val="00A675FD"/>
    <w:rsid w:val="00A72437"/>
    <w:rsid w:val="00A75271"/>
    <w:rsid w:val="00A75C13"/>
    <w:rsid w:val="00A80611"/>
    <w:rsid w:val="00A86011"/>
    <w:rsid w:val="00A87DD6"/>
    <w:rsid w:val="00A97936"/>
    <w:rsid w:val="00AB1561"/>
    <w:rsid w:val="00AB5340"/>
    <w:rsid w:val="00AB63F5"/>
    <w:rsid w:val="00AC0A89"/>
    <w:rsid w:val="00AC2D93"/>
    <w:rsid w:val="00AC49E3"/>
    <w:rsid w:val="00AC7C96"/>
    <w:rsid w:val="00AD0078"/>
    <w:rsid w:val="00AD2394"/>
    <w:rsid w:val="00AD4CD7"/>
    <w:rsid w:val="00AD7CAF"/>
    <w:rsid w:val="00AE140A"/>
    <w:rsid w:val="00AE237D"/>
    <w:rsid w:val="00AE3C22"/>
    <w:rsid w:val="00AE502A"/>
    <w:rsid w:val="00AF7C07"/>
    <w:rsid w:val="00B00AA4"/>
    <w:rsid w:val="00B02769"/>
    <w:rsid w:val="00B02C53"/>
    <w:rsid w:val="00B05F14"/>
    <w:rsid w:val="00B1212B"/>
    <w:rsid w:val="00B13DDC"/>
    <w:rsid w:val="00B2193E"/>
    <w:rsid w:val="00B21BB6"/>
    <w:rsid w:val="00B21C02"/>
    <w:rsid w:val="00B22C93"/>
    <w:rsid w:val="00B2546C"/>
    <w:rsid w:val="00B27589"/>
    <w:rsid w:val="00B3014C"/>
    <w:rsid w:val="00B338F6"/>
    <w:rsid w:val="00B33DFF"/>
    <w:rsid w:val="00B405B7"/>
    <w:rsid w:val="00B52222"/>
    <w:rsid w:val="00B54FE7"/>
    <w:rsid w:val="00B55902"/>
    <w:rsid w:val="00B55F84"/>
    <w:rsid w:val="00B602EA"/>
    <w:rsid w:val="00B6168E"/>
    <w:rsid w:val="00B620E1"/>
    <w:rsid w:val="00B62BDE"/>
    <w:rsid w:val="00B64A6A"/>
    <w:rsid w:val="00B653C4"/>
    <w:rsid w:val="00B66901"/>
    <w:rsid w:val="00B67ED0"/>
    <w:rsid w:val="00B71E6D"/>
    <w:rsid w:val="00B72070"/>
    <w:rsid w:val="00B74A9E"/>
    <w:rsid w:val="00B76E87"/>
    <w:rsid w:val="00B779E1"/>
    <w:rsid w:val="00B77F53"/>
    <w:rsid w:val="00B852B6"/>
    <w:rsid w:val="00B862E3"/>
    <w:rsid w:val="00B909EF"/>
    <w:rsid w:val="00B91EE1"/>
    <w:rsid w:val="00B92B78"/>
    <w:rsid w:val="00B92DD5"/>
    <w:rsid w:val="00B93200"/>
    <w:rsid w:val="00B94B7E"/>
    <w:rsid w:val="00BA0090"/>
    <w:rsid w:val="00BA0761"/>
    <w:rsid w:val="00BA1898"/>
    <w:rsid w:val="00BA1A67"/>
    <w:rsid w:val="00BA3F87"/>
    <w:rsid w:val="00BA5531"/>
    <w:rsid w:val="00BA716A"/>
    <w:rsid w:val="00BC02FC"/>
    <w:rsid w:val="00BC1695"/>
    <w:rsid w:val="00BC2011"/>
    <w:rsid w:val="00BC70B6"/>
    <w:rsid w:val="00BD0912"/>
    <w:rsid w:val="00BD2E4D"/>
    <w:rsid w:val="00BD3138"/>
    <w:rsid w:val="00BD5CFA"/>
    <w:rsid w:val="00BE05FB"/>
    <w:rsid w:val="00BE1EEC"/>
    <w:rsid w:val="00BE2F73"/>
    <w:rsid w:val="00BE5B5F"/>
    <w:rsid w:val="00BE74E5"/>
    <w:rsid w:val="00BF52DC"/>
    <w:rsid w:val="00BF530A"/>
    <w:rsid w:val="00C014AE"/>
    <w:rsid w:val="00C07BFF"/>
    <w:rsid w:val="00C07F4A"/>
    <w:rsid w:val="00C10007"/>
    <w:rsid w:val="00C115CC"/>
    <w:rsid w:val="00C11CBA"/>
    <w:rsid w:val="00C2295F"/>
    <w:rsid w:val="00C26F55"/>
    <w:rsid w:val="00C30C63"/>
    <w:rsid w:val="00C32212"/>
    <w:rsid w:val="00C33F9C"/>
    <w:rsid w:val="00C36698"/>
    <w:rsid w:val="00C36705"/>
    <w:rsid w:val="00C36B8B"/>
    <w:rsid w:val="00C415C1"/>
    <w:rsid w:val="00C45FD4"/>
    <w:rsid w:val="00C477E0"/>
    <w:rsid w:val="00C47DBF"/>
    <w:rsid w:val="00C552FF"/>
    <w:rsid w:val="00C558DA"/>
    <w:rsid w:val="00C55AF3"/>
    <w:rsid w:val="00C56059"/>
    <w:rsid w:val="00C577A0"/>
    <w:rsid w:val="00C61651"/>
    <w:rsid w:val="00C653F6"/>
    <w:rsid w:val="00C65F29"/>
    <w:rsid w:val="00C80BD4"/>
    <w:rsid w:val="00C80DAF"/>
    <w:rsid w:val="00C84759"/>
    <w:rsid w:val="00C85DA7"/>
    <w:rsid w:val="00C90F0B"/>
    <w:rsid w:val="00C915ED"/>
    <w:rsid w:val="00C91713"/>
    <w:rsid w:val="00C95052"/>
    <w:rsid w:val="00CA6045"/>
    <w:rsid w:val="00CA6C7F"/>
    <w:rsid w:val="00CB5653"/>
    <w:rsid w:val="00CC10A6"/>
    <w:rsid w:val="00CC6D66"/>
    <w:rsid w:val="00CD5EB8"/>
    <w:rsid w:val="00CD6830"/>
    <w:rsid w:val="00CD7044"/>
    <w:rsid w:val="00CE0585"/>
    <w:rsid w:val="00CE08B9"/>
    <w:rsid w:val="00CE524C"/>
    <w:rsid w:val="00CF022D"/>
    <w:rsid w:val="00CF052A"/>
    <w:rsid w:val="00CF141F"/>
    <w:rsid w:val="00CF1799"/>
    <w:rsid w:val="00CF2E7F"/>
    <w:rsid w:val="00CF4777"/>
    <w:rsid w:val="00CF52E9"/>
    <w:rsid w:val="00D067BB"/>
    <w:rsid w:val="00D06FD7"/>
    <w:rsid w:val="00D107F9"/>
    <w:rsid w:val="00D1352A"/>
    <w:rsid w:val="00D15E7D"/>
    <w:rsid w:val="00D164AB"/>
    <w:rsid w:val="00D169AF"/>
    <w:rsid w:val="00D209DD"/>
    <w:rsid w:val="00D25249"/>
    <w:rsid w:val="00D40D38"/>
    <w:rsid w:val="00D44172"/>
    <w:rsid w:val="00D45925"/>
    <w:rsid w:val="00D46366"/>
    <w:rsid w:val="00D502AE"/>
    <w:rsid w:val="00D53145"/>
    <w:rsid w:val="00D55994"/>
    <w:rsid w:val="00D56CFD"/>
    <w:rsid w:val="00D573BD"/>
    <w:rsid w:val="00D57BB3"/>
    <w:rsid w:val="00D62932"/>
    <w:rsid w:val="00D63B8C"/>
    <w:rsid w:val="00D64C37"/>
    <w:rsid w:val="00D70380"/>
    <w:rsid w:val="00D716E1"/>
    <w:rsid w:val="00D72189"/>
    <w:rsid w:val="00D73660"/>
    <w:rsid w:val="00D739CC"/>
    <w:rsid w:val="00D751D6"/>
    <w:rsid w:val="00D80130"/>
    <w:rsid w:val="00D8093D"/>
    <w:rsid w:val="00D80AE6"/>
    <w:rsid w:val="00D80C00"/>
    <w:rsid w:val="00D8108C"/>
    <w:rsid w:val="00D842AE"/>
    <w:rsid w:val="00D9211C"/>
    <w:rsid w:val="00D92C4B"/>
    <w:rsid w:val="00D92DDB"/>
    <w:rsid w:val="00D92DE0"/>
    <w:rsid w:val="00D92FEF"/>
    <w:rsid w:val="00D93A0F"/>
    <w:rsid w:val="00D96CB1"/>
    <w:rsid w:val="00DA0931"/>
    <w:rsid w:val="00DA1BCA"/>
    <w:rsid w:val="00DB4FD1"/>
    <w:rsid w:val="00DC46FF"/>
    <w:rsid w:val="00DC5254"/>
    <w:rsid w:val="00DD0416"/>
    <w:rsid w:val="00DD092A"/>
    <w:rsid w:val="00DD1A4F"/>
    <w:rsid w:val="00DD3107"/>
    <w:rsid w:val="00DD5E34"/>
    <w:rsid w:val="00DD7C2C"/>
    <w:rsid w:val="00DE17D5"/>
    <w:rsid w:val="00DE2AB1"/>
    <w:rsid w:val="00DE60F3"/>
    <w:rsid w:val="00DF1C25"/>
    <w:rsid w:val="00DF6133"/>
    <w:rsid w:val="00DF6CF9"/>
    <w:rsid w:val="00E025D4"/>
    <w:rsid w:val="00E06279"/>
    <w:rsid w:val="00E06797"/>
    <w:rsid w:val="00E1265B"/>
    <w:rsid w:val="00E13B48"/>
    <w:rsid w:val="00E1404F"/>
    <w:rsid w:val="00E15B01"/>
    <w:rsid w:val="00E203C8"/>
    <w:rsid w:val="00E21C83"/>
    <w:rsid w:val="00E2216B"/>
    <w:rsid w:val="00E24ADA"/>
    <w:rsid w:val="00E274B1"/>
    <w:rsid w:val="00E30CA5"/>
    <w:rsid w:val="00E32EC0"/>
    <w:rsid w:val="00E32F59"/>
    <w:rsid w:val="00E33818"/>
    <w:rsid w:val="00E33867"/>
    <w:rsid w:val="00E404FB"/>
    <w:rsid w:val="00E42283"/>
    <w:rsid w:val="00E46CBD"/>
    <w:rsid w:val="00E46D9A"/>
    <w:rsid w:val="00E52413"/>
    <w:rsid w:val="00E551DF"/>
    <w:rsid w:val="00E565FF"/>
    <w:rsid w:val="00E62CC3"/>
    <w:rsid w:val="00E65388"/>
    <w:rsid w:val="00E805C9"/>
    <w:rsid w:val="00E83B61"/>
    <w:rsid w:val="00E85B7D"/>
    <w:rsid w:val="00E90D12"/>
    <w:rsid w:val="00E9121B"/>
    <w:rsid w:val="00E9196B"/>
    <w:rsid w:val="00E924BD"/>
    <w:rsid w:val="00E94651"/>
    <w:rsid w:val="00E94C19"/>
    <w:rsid w:val="00EA0AE2"/>
    <w:rsid w:val="00EA39E5"/>
    <w:rsid w:val="00EB23A3"/>
    <w:rsid w:val="00EB56A4"/>
    <w:rsid w:val="00EC5A46"/>
    <w:rsid w:val="00EC63E2"/>
    <w:rsid w:val="00EC6A3C"/>
    <w:rsid w:val="00EC6DCF"/>
    <w:rsid w:val="00ED3A94"/>
    <w:rsid w:val="00EE2A19"/>
    <w:rsid w:val="00EE5EE2"/>
    <w:rsid w:val="00EF22B3"/>
    <w:rsid w:val="00F01391"/>
    <w:rsid w:val="00F02B09"/>
    <w:rsid w:val="00F03B69"/>
    <w:rsid w:val="00F0419A"/>
    <w:rsid w:val="00F07A50"/>
    <w:rsid w:val="00F113DA"/>
    <w:rsid w:val="00F2792C"/>
    <w:rsid w:val="00F33AF6"/>
    <w:rsid w:val="00F35A08"/>
    <w:rsid w:val="00F37DC8"/>
    <w:rsid w:val="00F439B3"/>
    <w:rsid w:val="00F46808"/>
    <w:rsid w:val="00F52B62"/>
    <w:rsid w:val="00F53F13"/>
    <w:rsid w:val="00F5696B"/>
    <w:rsid w:val="00F579D0"/>
    <w:rsid w:val="00F603AF"/>
    <w:rsid w:val="00F63598"/>
    <w:rsid w:val="00F650C3"/>
    <w:rsid w:val="00F65D85"/>
    <w:rsid w:val="00F8091E"/>
    <w:rsid w:val="00F85B88"/>
    <w:rsid w:val="00F8615C"/>
    <w:rsid w:val="00F86C74"/>
    <w:rsid w:val="00F9150B"/>
    <w:rsid w:val="00F91F97"/>
    <w:rsid w:val="00F936D3"/>
    <w:rsid w:val="00F969E5"/>
    <w:rsid w:val="00F97CA7"/>
    <w:rsid w:val="00F97F2F"/>
    <w:rsid w:val="00FA20BA"/>
    <w:rsid w:val="00FA5121"/>
    <w:rsid w:val="00FA6BB0"/>
    <w:rsid w:val="00FA7713"/>
    <w:rsid w:val="00FB23A4"/>
    <w:rsid w:val="00FB23AD"/>
    <w:rsid w:val="00FB7305"/>
    <w:rsid w:val="00FC3BC0"/>
    <w:rsid w:val="00FC401D"/>
    <w:rsid w:val="00FD22BD"/>
    <w:rsid w:val="00FD5860"/>
    <w:rsid w:val="00FD708C"/>
    <w:rsid w:val="00FE352D"/>
    <w:rsid w:val="00FE40EB"/>
    <w:rsid w:val="00FE4D02"/>
    <w:rsid w:val="00FE58F0"/>
    <w:rsid w:val="00FE7D62"/>
    <w:rsid w:val="00FF3819"/>
    <w:rsid w:val="00FF49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Ref. de nota al pie)"/>
    <w:rsid w:val="000D6941"/>
    <w:rPr>
      <w:rFonts w:ascii="Times New Roman" w:hAnsi="Times New Roman"/>
      <w:color w:val="auto"/>
      <w:sz w:val="20"/>
      <w:szCs w:val="18"/>
      <w:vertAlign w:val="superscript"/>
    </w:rPr>
  </w:style>
  <w:style w:type="paragraph" w:styleId="FootnoteText">
    <w:name w:val="footnote text"/>
    <w:aliases w:val="Geneva 9,Font: Geneva 9,Boston 10,f,DNV-FT,-E Fußnotentext,Fußnote,Fußnotentext Ursprung,ft,fn,Footnotes,Footnote ak,fn cafc,Footnotes Char Char,Footnote Text Char Char,fn Char Char,footnote text Char Char Char Ch,Footnote Text Cha"/>
    <w:basedOn w:val="Normalpool"/>
    <w:link w:val="FootnoteTextChar"/>
    <w:rsid w:val="000D6941"/>
    <w:pPr>
      <w:spacing w:before="20" w:after="40"/>
      <w:ind w:left="1247"/>
    </w:pPr>
    <w:rPr>
      <w:sz w:val="18"/>
    </w:rPr>
  </w:style>
  <w:style w:type="character" w:customStyle="1" w:styleId="Heading1Char">
    <w:name w:val="Heading 1 Char"/>
    <w:link w:val="Heading1"/>
    <w:uiPriority w:val="9"/>
    <w:locked/>
    <w:rsid w:val="00B02C53"/>
    <w:rPr>
      <w:b/>
      <w:sz w:val="28"/>
      <w:lang w:val="fr-FR" w:eastAsia="en-US" w:bidi="ar-SA"/>
    </w:rPr>
  </w:style>
  <w:style w:type="character" w:customStyle="1" w:styleId="FootnoteTextChar">
    <w:name w:val="Footnote Text Char"/>
    <w:aliases w:val="Geneva 9 Char1,Font: Geneva 9 Char1,Boston 10 Char1,f Char1,DNV-FT Char1,-E Fußnotentext Char1,Fußnote Char1,Fußnotentext Ursprung Char1,ft Char1,fn Char1,Footnotes Char1,Footnote ak Char1,fn cafc Char1,Footnotes Char Char Char1"/>
    <w:link w:val="FootnoteText"/>
    <w:semiHidden/>
    <w:rsid w:val="009349CC"/>
    <w:rPr>
      <w:sz w:val="18"/>
      <w:lang w:val="fr-FR"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lang w:val="en-GB"/>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customStyle="1" w:styleId="MediumGrid1-Accent21">
    <w:name w:val="Medium Grid 1 - Accent 21"/>
    <w:basedOn w:val="Normal"/>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iPriority w:val="99"/>
    <w:unhideWhenUsed/>
    <w:rsid w:val="009349CC"/>
    <w:pPr>
      <w:tabs>
        <w:tab w:val="clear" w:pos="1247"/>
        <w:tab w:val="clear" w:pos="1814"/>
        <w:tab w:val="clear" w:pos="2381"/>
        <w:tab w:val="clear" w:pos="2948"/>
        <w:tab w:val="clear" w:pos="3515"/>
      </w:tabs>
    </w:pPr>
    <w:rPr>
      <w:rFonts w:ascii="Tahoma" w:eastAsia="MS Mincho" w:hAnsi="Tahoma" w:cs="Tahoma"/>
      <w:sz w:val="16"/>
      <w:szCs w:val="16"/>
      <w:lang w:val="en-GB" w:eastAsia="ja-JP"/>
    </w:rPr>
  </w:style>
  <w:style w:type="character" w:customStyle="1" w:styleId="BalloonTextChar">
    <w:name w:val="Balloon Text Char"/>
    <w:link w:val="BalloonText"/>
    <w:uiPriority w:val="99"/>
    <w:rsid w:val="009349CC"/>
    <w:rPr>
      <w:rFonts w:ascii="Tahoma" w:eastAsia="MS Mincho" w:hAnsi="Tahoma" w:cs="Tahoma"/>
      <w:sz w:val="16"/>
      <w:szCs w:val="16"/>
      <w:lang w:eastAsia="ja-JP"/>
    </w:rPr>
  </w:style>
  <w:style w:type="paragraph" w:customStyle="1" w:styleId="TOCHeading1">
    <w:name w:val="TOC Heading1"/>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uiPriority w:val="9"/>
    <w:rsid w:val="009349CC"/>
    <w:rPr>
      <w:b/>
      <w:sz w:val="24"/>
      <w:szCs w:val="24"/>
      <w:lang w:val="fr-FR"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styleId="Title">
    <w:name w:val="Title"/>
    <w:basedOn w:val="Normal"/>
    <w:link w:val="TitleChar"/>
    <w:qFormat/>
    <w:rsid w:val="003E1CCD"/>
    <w:pPr>
      <w:tabs>
        <w:tab w:val="clear" w:pos="1247"/>
        <w:tab w:val="clear" w:pos="1814"/>
        <w:tab w:val="clear" w:pos="2381"/>
        <w:tab w:val="clear" w:pos="2948"/>
        <w:tab w:val="clear" w:pos="3515"/>
      </w:tabs>
      <w:ind w:right="567"/>
      <w:jc w:val="center"/>
      <w:outlineLvl w:val="0"/>
    </w:pPr>
    <w:rPr>
      <w:rFonts w:ascii="Tahoma" w:eastAsia="MS Mincho" w:hAnsi="Tahoma" w:cs="Tahoma"/>
      <w:b/>
      <w:bCs/>
      <w:kern w:val="28"/>
      <w:sz w:val="24"/>
      <w:szCs w:val="28"/>
      <w:lang w:val="en-GB"/>
    </w:rPr>
  </w:style>
  <w:style w:type="character" w:customStyle="1" w:styleId="TitleChar">
    <w:name w:val="Title Char"/>
    <w:link w:val="Title"/>
    <w:rsid w:val="003E1CCD"/>
    <w:rPr>
      <w:rFonts w:ascii="Tahoma" w:eastAsia="MS Mincho" w:hAnsi="Tahoma" w:cs="Tahoma"/>
      <w:b/>
      <w:bCs/>
      <w:kern w:val="28"/>
      <w:sz w:val="24"/>
      <w:szCs w:val="28"/>
      <w:lang w:eastAsia="en-US"/>
    </w:rPr>
  </w:style>
  <w:style w:type="character" w:customStyle="1" w:styleId="NormalNonumberChar">
    <w:name w:val="Normal_No_number Char"/>
    <w:link w:val="NormalNonumber"/>
    <w:rsid w:val="003E1CCD"/>
    <w:rPr>
      <w:lang w:eastAsia="en-US"/>
    </w:rPr>
  </w:style>
  <w:style w:type="paragraph" w:customStyle="1" w:styleId="Default">
    <w:name w:val="Default"/>
    <w:rsid w:val="003E1CCD"/>
    <w:pPr>
      <w:autoSpaceDE w:val="0"/>
      <w:autoSpaceDN w:val="0"/>
      <w:adjustRightInd w:val="0"/>
    </w:pPr>
    <w:rPr>
      <w:rFonts w:ascii="Symbol" w:hAnsi="Symbol" w:cs="Symbol"/>
      <w:color w:val="000000"/>
      <w:sz w:val="24"/>
      <w:szCs w:val="24"/>
    </w:rPr>
  </w:style>
  <w:style w:type="table" w:styleId="TableGrid">
    <w:name w:val="Table Grid"/>
    <w:basedOn w:val="TableNormal"/>
    <w:uiPriority w:val="59"/>
    <w:rsid w:val="003E1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3E1CCD"/>
    <w:rPr>
      <w:lang w:eastAsia="en-US"/>
    </w:rPr>
  </w:style>
  <w:style w:type="paragraph" w:customStyle="1" w:styleId="ColorfulList-Accent11">
    <w:name w:val="Colorful List - Accent 11"/>
    <w:basedOn w:val="Normal"/>
    <w:uiPriority w:val="34"/>
    <w:qFormat/>
    <w:rsid w:val="004F5555"/>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Normal-poolChar">
    <w:name w:val="Normal-pool Char"/>
    <w:link w:val="Normal-pool"/>
    <w:locked/>
    <w:rsid w:val="004F5555"/>
    <w:rPr>
      <w:lang w:val="en-GB"/>
    </w:rPr>
  </w:style>
  <w:style w:type="paragraph" w:styleId="Subtitle">
    <w:name w:val="Subtitle"/>
    <w:basedOn w:val="Normal"/>
    <w:next w:val="Normal"/>
    <w:link w:val="SubtitleChar"/>
    <w:qFormat/>
    <w:rsid w:val="004A6852"/>
    <w:pPr>
      <w:keepNext/>
      <w:keepLines/>
      <w:spacing w:before="360" w:after="80"/>
      <w:contextualSpacing/>
    </w:pPr>
    <w:rPr>
      <w:rFonts w:ascii="Georgia" w:eastAsia="Georgia" w:hAnsi="Georgia" w:cs="Georgia"/>
      <w:i/>
      <w:color w:val="666666"/>
      <w:sz w:val="48"/>
      <w:szCs w:val="48"/>
      <w:lang w:val="en-US"/>
    </w:rPr>
  </w:style>
  <w:style w:type="character" w:customStyle="1" w:styleId="SubtitleChar">
    <w:name w:val="Subtitle Char"/>
    <w:link w:val="Subtitle"/>
    <w:rsid w:val="004A6852"/>
    <w:rPr>
      <w:rFonts w:ascii="Georgia" w:eastAsia="Georgia" w:hAnsi="Georgia" w:cs="Georgia"/>
      <w:i/>
      <w:color w:val="666666"/>
      <w:sz w:val="48"/>
      <w:szCs w:val="48"/>
    </w:rPr>
  </w:style>
  <w:style w:type="character" w:styleId="CommentReference">
    <w:name w:val="annotation reference"/>
    <w:uiPriority w:val="99"/>
    <w:unhideWhenUsed/>
    <w:rsid w:val="004A6852"/>
    <w:rPr>
      <w:sz w:val="16"/>
      <w:szCs w:val="16"/>
    </w:rPr>
  </w:style>
  <w:style w:type="paragraph" w:styleId="CommentText">
    <w:name w:val="annotation text"/>
    <w:basedOn w:val="Normal"/>
    <w:link w:val="CommentTextChar"/>
    <w:uiPriority w:val="99"/>
    <w:unhideWhenUsed/>
    <w:rsid w:val="004A6852"/>
    <w:rPr>
      <w:color w:val="000000"/>
      <w:lang w:val="en-US"/>
    </w:rPr>
  </w:style>
  <w:style w:type="character" w:customStyle="1" w:styleId="CommentTextChar">
    <w:name w:val="Comment Text Char"/>
    <w:link w:val="CommentText"/>
    <w:uiPriority w:val="99"/>
    <w:rsid w:val="004A6852"/>
    <w:rPr>
      <w:color w:val="000000"/>
    </w:rPr>
  </w:style>
  <w:style w:type="paragraph" w:styleId="CommentSubject">
    <w:name w:val="annotation subject"/>
    <w:basedOn w:val="CommentText"/>
    <w:next w:val="CommentText"/>
    <w:link w:val="CommentSubjectChar"/>
    <w:uiPriority w:val="99"/>
    <w:unhideWhenUsed/>
    <w:rsid w:val="004A6852"/>
    <w:rPr>
      <w:b/>
      <w:bCs/>
    </w:rPr>
  </w:style>
  <w:style w:type="character" w:customStyle="1" w:styleId="CommentSubjectChar">
    <w:name w:val="Comment Subject Char"/>
    <w:link w:val="CommentSubject"/>
    <w:uiPriority w:val="99"/>
    <w:rsid w:val="004A6852"/>
    <w:rPr>
      <w:b/>
      <w:bCs/>
      <w:color w:val="000000"/>
    </w:rPr>
  </w:style>
  <w:style w:type="paragraph" w:customStyle="1" w:styleId="ColorfulShading-Accent11">
    <w:name w:val="Colorful Shading - Accent 11"/>
    <w:hidden/>
    <w:uiPriority w:val="99"/>
    <w:semiHidden/>
    <w:rsid w:val="004A6852"/>
    <w:rPr>
      <w:color w:val="000000"/>
    </w:rPr>
  </w:style>
  <w:style w:type="character" w:customStyle="1" w:styleId="FooterChar">
    <w:name w:val="Footer Char"/>
    <w:link w:val="Footer"/>
    <w:uiPriority w:val="99"/>
    <w:rsid w:val="004A6852"/>
    <w:rPr>
      <w:sz w:val="18"/>
      <w:lang w:val="fr-FR"/>
    </w:rPr>
  </w:style>
  <w:style w:type="paragraph" w:styleId="Revision">
    <w:name w:val="Revision"/>
    <w:hidden/>
    <w:uiPriority w:val="99"/>
    <w:semiHidden/>
    <w:rsid w:val="008B3481"/>
    <w:rPr>
      <w:lang w:val="fr-FR"/>
    </w:rPr>
  </w:style>
  <w:style w:type="paragraph" w:styleId="ListParagraph">
    <w:name w:val="List Paragraph"/>
    <w:basedOn w:val="Normal"/>
    <w:uiPriority w:val="34"/>
    <w:qFormat/>
    <w:rsid w:val="00457927"/>
    <w:pPr>
      <w:tabs>
        <w:tab w:val="clear" w:pos="1247"/>
        <w:tab w:val="clear" w:pos="1814"/>
        <w:tab w:val="clear" w:pos="2381"/>
        <w:tab w:val="clear" w:pos="2948"/>
        <w:tab w:val="clear" w:pos="3515"/>
      </w:tabs>
      <w:spacing w:after="200" w:line="276" w:lineRule="auto"/>
      <w:ind w:left="720"/>
      <w:contextualSpacing/>
    </w:pPr>
    <w:rPr>
      <w:rFonts w:ascii="Calibri" w:eastAsia="SimSun" w:hAnsi="Calibri" w:cs="Arial"/>
      <w:sz w:val="22"/>
      <w:szCs w:val="22"/>
      <w:lang w:val="en-US" w:eastAsia="zh-CN"/>
    </w:rPr>
  </w:style>
  <w:style w:type="character" w:customStyle="1" w:styleId="FootnoteTextChar1">
    <w:name w:val="Footnote Text Char1"/>
    <w:aliases w:val="Geneva 9 Char,Font: Geneva 9 Char,Boston 10 Char,f Char,DNV-FT Char,-E Fußnotentext Char,Fußnote Char,Fußnotentext Ursprung Char,ft Char,fn Char,Footnotes Char,Footnote ak Char,fn cafc Char,Footnotes Char Char Char,fn Char Char Char"/>
    <w:locked/>
    <w:rsid w:val="00044453"/>
    <w:rPr>
      <w:sz w:val="18"/>
      <w:lang w:val="fr-FR" w:eastAsia="en-US" w:bidi="ar-SA"/>
    </w:rPr>
  </w:style>
  <w:style w:type="paragraph" w:customStyle="1" w:styleId="Subtitle0">
    <w:name w:val="Sub title"/>
    <w:basedOn w:val="Heading2"/>
    <w:rsid w:val="00044453"/>
    <w:pPr>
      <w:tabs>
        <w:tab w:val="clear" w:pos="1247"/>
        <w:tab w:val="clear" w:pos="1814"/>
        <w:tab w:val="clear" w:pos="2381"/>
        <w:tab w:val="clear" w:pos="2948"/>
        <w:tab w:val="clear" w:pos="3515"/>
      </w:tabs>
      <w:spacing w:before="0" w:after="0"/>
      <w:ind w:firstLine="0"/>
    </w:pPr>
    <w:rPr>
      <w:rFonts w:eastAsia="MS Mincho"/>
      <w:lang w:val="en-GB"/>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Ref. de nota al pie)"/>
    <w:rsid w:val="000D6941"/>
    <w:rPr>
      <w:rFonts w:ascii="Times New Roman" w:hAnsi="Times New Roman"/>
      <w:color w:val="auto"/>
      <w:sz w:val="20"/>
      <w:szCs w:val="18"/>
      <w:vertAlign w:val="superscript"/>
    </w:rPr>
  </w:style>
  <w:style w:type="paragraph" w:styleId="FootnoteText">
    <w:name w:val="footnote text"/>
    <w:aliases w:val="Geneva 9,Font: Geneva 9,Boston 10,f,DNV-FT,-E Fußnotentext,Fußnote,Fußnotentext Ursprung,ft,fn,Footnotes,Footnote ak,fn cafc,Footnotes Char Char,Footnote Text Char Char,fn Char Char,footnote text Char Char Char Ch,Footnote Text Cha"/>
    <w:basedOn w:val="Normalpool"/>
    <w:link w:val="FootnoteTextChar"/>
    <w:rsid w:val="000D6941"/>
    <w:pPr>
      <w:spacing w:before="20" w:after="40"/>
      <w:ind w:left="1247"/>
    </w:pPr>
    <w:rPr>
      <w:sz w:val="18"/>
    </w:rPr>
  </w:style>
  <w:style w:type="character" w:customStyle="1" w:styleId="Heading1Char">
    <w:name w:val="Heading 1 Char"/>
    <w:link w:val="Heading1"/>
    <w:uiPriority w:val="9"/>
    <w:locked/>
    <w:rsid w:val="00B02C53"/>
    <w:rPr>
      <w:b/>
      <w:sz w:val="28"/>
      <w:lang w:val="fr-FR" w:eastAsia="en-US" w:bidi="ar-SA"/>
    </w:rPr>
  </w:style>
  <w:style w:type="character" w:customStyle="1" w:styleId="FootnoteTextChar">
    <w:name w:val="Footnote Text Char"/>
    <w:aliases w:val="Geneva 9 Char1,Font: Geneva 9 Char1,Boston 10 Char1,f Char1,DNV-FT Char1,-E Fußnotentext Char1,Fußnote Char1,Fußnotentext Ursprung Char1,ft Char1,fn Char1,Footnotes Char1,Footnote ak Char1,fn cafc Char1,Footnotes Char Char Char1"/>
    <w:link w:val="FootnoteText"/>
    <w:semiHidden/>
    <w:rsid w:val="009349CC"/>
    <w:rPr>
      <w:sz w:val="18"/>
      <w:lang w:val="fr-FR"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lang w:val="en-GB"/>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customStyle="1" w:styleId="MediumGrid1-Accent21">
    <w:name w:val="Medium Grid 1 - Accent 21"/>
    <w:basedOn w:val="Normal"/>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iPriority w:val="99"/>
    <w:unhideWhenUsed/>
    <w:rsid w:val="009349CC"/>
    <w:pPr>
      <w:tabs>
        <w:tab w:val="clear" w:pos="1247"/>
        <w:tab w:val="clear" w:pos="1814"/>
        <w:tab w:val="clear" w:pos="2381"/>
        <w:tab w:val="clear" w:pos="2948"/>
        <w:tab w:val="clear" w:pos="3515"/>
      </w:tabs>
    </w:pPr>
    <w:rPr>
      <w:rFonts w:ascii="Tahoma" w:eastAsia="MS Mincho" w:hAnsi="Tahoma" w:cs="Tahoma"/>
      <w:sz w:val="16"/>
      <w:szCs w:val="16"/>
      <w:lang w:val="en-GB" w:eastAsia="ja-JP"/>
    </w:rPr>
  </w:style>
  <w:style w:type="character" w:customStyle="1" w:styleId="BalloonTextChar">
    <w:name w:val="Balloon Text Char"/>
    <w:link w:val="BalloonText"/>
    <w:uiPriority w:val="99"/>
    <w:rsid w:val="009349CC"/>
    <w:rPr>
      <w:rFonts w:ascii="Tahoma" w:eastAsia="MS Mincho" w:hAnsi="Tahoma" w:cs="Tahoma"/>
      <w:sz w:val="16"/>
      <w:szCs w:val="16"/>
      <w:lang w:eastAsia="ja-JP"/>
    </w:rPr>
  </w:style>
  <w:style w:type="paragraph" w:customStyle="1" w:styleId="TOCHeading1">
    <w:name w:val="TOC Heading1"/>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uiPriority w:val="9"/>
    <w:rsid w:val="009349CC"/>
    <w:rPr>
      <w:b/>
      <w:sz w:val="24"/>
      <w:szCs w:val="24"/>
      <w:lang w:val="fr-FR"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paragraph" w:styleId="Title">
    <w:name w:val="Title"/>
    <w:basedOn w:val="Normal"/>
    <w:link w:val="TitleChar"/>
    <w:qFormat/>
    <w:rsid w:val="003E1CCD"/>
    <w:pPr>
      <w:tabs>
        <w:tab w:val="clear" w:pos="1247"/>
        <w:tab w:val="clear" w:pos="1814"/>
        <w:tab w:val="clear" w:pos="2381"/>
        <w:tab w:val="clear" w:pos="2948"/>
        <w:tab w:val="clear" w:pos="3515"/>
      </w:tabs>
      <w:ind w:right="567"/>
      <w:jc w:val="center"/>
      <w:outlineLvl w:val="0"/>
    </w:pPr>
    <w:rPr>
      <w:rFonts w:ascii="Tahoma" w:eastAsia="MS Mincho" w:hAnsi="Tahoma" w:cs="Tahoma"/>
      <w:b/>
      <w:bCs/>
      <w:kern w:val="28"/>
      <w:sz w:val="24"/>
      <w:szCs w:val="28"/>
      <w:lang w:val="en-GB"/>
    </w:rPr>
  </w:style>
  <w:style w:type="character" w:customStyle="1" w:styleId="TitleChar">
    <w:name w:val="Title Char"/>
    <w:link w:val="Title"/>
    <w:rsid w:val="003E1CCD"/>
    <w:rPr>
      <w:rFonts w:ascii="Tahoma" w:eastAsia="MS Mincho" w:hAnsi="Tahoma" w:cs="Tahoma"/>
      <w:b/>
      <w:bCs/>
      <w:kern w:val="28"/>
      <w:sz w:val="24"/>
      <w:szCs w:val="28"/>
      <w:lang w:eastAsia="en-US"/>
    </w:rPr>
  </w:style>
  <w:style w:type="character" w:customStyle="1" w:styleId="NormalNonumberChar">
    <w:name w:val="Normal_No_number Char"/>
    <w:link w:val="NormalNonumber"/>
    <w:rsid w:val="003E1CCD"/>
    <w:rPr>
      <w:lang w:eastAsia="en-US"/>
    </w:rPr>
  </w:style>
  <w:style w:type="paragraph" w:customStyle="1" w:styleId="Default">
    <w:name w:val="Default"/>
    <w:rsid w:val="003E1CCD"/>
    <w:pPr>
      <w:autoSpaceDE w:val="0"/>
      <w:autoSpaceDN w:val="0"/>
      <w:adjustRightInd w:val="0"/>
    </w:pPr>
    <w:rPr>
      <w:rFonts w:ascii="Symbol" w:hAnsi="Symbol" w:cs="Symbol"/>
      <w:color w:val="000000"/>
      <w:sz w:val="24"/>
      <w:szCs w:val="24"/>
    </w:rPr>
  </w:style>
  <w:style w:type="table" w:styleId="TableGrid">
    <w:name w:val="Table Grid"/>
    <w:basedOn w:val="TableNormal"/>
    <w:uiPriority w:val="59"/>
    <w:rsid w:val="003E1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rsid w:val="003E1CCD"/>
    <w:rPr>
      <w:lang w:eastAsia="en-US"/>
    </w:rPr>
  </w:style>
  <w:style w:type="paragraph" w:customStyle="1" w:styleId="ColorfulList-Accent11">
    <w:name w:val="Colorful List - Accent 11"/>
    <w:basedOn w:val="Normal"/>
    <w:uiPriority w:val="34"/>
    <w:qFormat/>
    <w:rsid w:val="004F5555"/>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Normal-poolChar">
    <w:name w:val="Normal-pool Char"/>
    <w:link w:val="Normal-pool"/>
    <w:locked/>
    <w:rsid w:val="004F5555"/>
    <w:rPr>
      <w:lang w:val="en-GB"/>
    </w:rPr>
  </w:style>
  <w:style w:type="paragraph" w:styleId="Subtitle">
    <w:name w:val="Subtitle"/>
    <w:basedOn w:val="Normal"/>
    <w:next w:val="Normal"/>
    <w:link w:val="SubtitleChar"/>
    <w:qFormat/>
    <w:rsid w:val="004A6852"/>
    <w:pPr>
      <w:keepNext/>
      <w:keepLines/>
      <w:spacing w:before="360" w:after="80"/>
      <w:contextualSpacing/>
    </w:pPr>
    <w:rPr>
      <w:rFonts w:ascii="Georgia" w:eastAsia="Georgia" w:hAnsi="Georgia" w:cs="Georgia"/>
      <w:i/>
      <w:color w:val="666666"/>
      <w:sz w:val="48"/>
      <w:szCs w:val="48"/>
      <w:lang w:val="en-US"/>
    </w:rPr>
  </w:style>
  <w:style w:type="character" w:customStyle="1" w:styleId="SubtitleChar">
    <w:name w:val="Subtitle Char"/>
    <w:link w:val="Subtitle"/>
    <w:rsid w:val="004A6852"/>
    <w:rPr>
      <w:rFonts w:ascii="Georgia" w:eastAsia="Georgia" w:hAnsi="Georgia" w:cs="Georgia"/>
      <w:i/>
      <w:color w:val="666666"/>
      <w:sz w:val="48"/>
      <w:szCs w:val="48"/>
    </w:rPr>
  </w:style>
  <w:style w:type="character" w:styleId="CommentReference">
    <w:name w:val="annotation reference"/>
    <w:uiPriority w:val="99"/>
    <w:unhideWhenUsed/>
    <w:rsid w:val="004A6852"/>
    <w:rPr>
      <w:sz w:val="16"/>
      <w:szCs w:val="16"/>
    </w:rPr>
  </w:style>
  <w:style w:type="paragraph" w:styleId="CommentText">
    <w:name w:val="annotation text"/>
    <w:basedOn w:val="Normal"/>
    <w:link w:val="CommentTextChar"/>
    <w:uiPriority w:val="99"/>
    <w:unhideWhenUsed/>
    <w:rsid w:val="004A6852"/>
    <w:rPr>
      <w:color w:val="000000"/>
      <w:lang w:val="en-US"/>
    </w:rPr>
  </w:style>
  <w:style w:type="character" w:customStyle="1" w:styleId="CommentTextChar">
    <w:name w:val="Comment Text Char"/>
    <w:link w:val="CommentText"/>
    <w:uiPriority w:val="99"/>
    <w:rsid w:val="004A6852"/>
    <w:rPr>
      <w:color w:val="000000"/>
    </w:rPr>
  </w:style>
  <w:style w:type="paragraph" w:styleId="CommentSubject">
    <w:name w:val="annotation subject"/>
    <w:basedOn w:val="CommentText"/>
    <w:next w:val="CommentText"/>
    <w:link w:val="CommentSubjectChar"/>
    <w:uiPriority w:val="99"/>
    <w:unhideWhenUsed/>
    <w:rsid w:val="004A6852"/>
    <w:rPr>
      <w:b/>
      <w:bCs/>
    </w:rPr>
  </w:style>
  <w:style w:type="character" w:customStyle="1" w:styleId="CommentSubjectChar">
    <w:name w:val="Comment Subject Char"/>
    <w:link w:val="CommentSubject"/>
    <w:uiPriority w:val="99"/>
    <w:rsid w:val="004A6852"/>
    <w:rPr>
      <w:b/>
      <w:bCs/>
      <w:color w:val="000000"/>
    </w:rPr>
  </w:style>
  <w:style w:type="paragraph" w:customStyle="1" w:styleId="ColorfulShading-Accent11">
    <w:name w:val="Colorful Shading - Accent 11"/>
    <w:hidden/>
    <w:uiPriority w:val="99"/>
    <w:semiHidden/>
    <w:rsid w:val="004A6852"/>
    <w:rPr>
      <w:color w:val="000000"/>
    </w:rPr>
  </w:style>
  <w:style w:type="character" w:customStyle="1" w:styleId="FooterChar">
    <w:name w:val="Footer Char"/>
    <w:link w:val="Footer"/>
    <w:uiPriority w:val="99"/>
    <w:rsid w:val="004A6852"/>
    <w:rPr>
      <w:sz w:val="18"/>
      <w:lang w:val="fr-FR"/>
    </w:rPr>
  </w:style>
  <w:style w:type="paragraph" w:styleId="Revision">
    <w:name w:val="Revision"/>
    <w:hidden/>
    <w:uiPriority w:val="99"/>
    <w:semiHidden/>
    <w:rsid w:val="008B3481"/>
    <w:rPr>
      <w:lang w:val="fr-FR"/>
    </w:rPr>
  </w:style>
  <w:style w:type="paragraph" w:styleId="ListParagraph">
    <w:name w:val="List Paragraph"/>
    <w:basedOn w:val="Normal"/>
    <w:uiPriority w:val="34"/>
    <w:qFormat/>
    <w:rsid w:val="00457927"/>
    <w:pPr>
      <w:tabs>
        <w:tab w:val="clear" w:pos="1247"/>
        <w:tab w:val="clear" w:pos="1814"/>
        <w:tab w:val="clear" w:pos="2381"/>
        <w:tab w:val="clear" w:pos="2948"/>
        <w:tab w:val="clear" w:pos="3515"/>
      </w:tabs>
      <w:spacing w:after="200" w:line="276" w:lineRule="auto"/>
      <w:ind w:left="720"/>
      <w:contextualSpacing/>
    </w:pPr>
    <w:rPr>
      <w:rFonts w:ascii="Calibri" w:eastAsia="SimSun" w:hAnsi="Calibri" w:cs="Arial"/>
      <w:sz w:val="22"/>
      <w:szCs w:val="22"/>
      <w:lang w:val="en-US" w:eastAsia="zh-CN"/>
    </w:rPr>
  </w:style>
  <w:style w:type="character" w:customStyle="1" w:styleId="FootnoteTextChar1">
    <w:name w:val="Footnote Text Char1"/>
    <w:aliases w:val="Geneva 9 Char,Font: Geneva 9 Char,Boston 10 Char,f Char,DNV-FT Char,-E Fußnotentext Char,Fußnote Char,Fußnotentext Ursprung Char,ft Char,fn Char,Footnotes Char,Footnote ak Char,fn cafc Char,Footnotes Char Char Char,fn Char Char Char"/>
    <w:locked/>
    <w:rsid w:val="00044453"/>
    <w:rPr>
      <w:sz w:val="18"/>
      <w:lang w:val="fr-FR" w:eastAsia="en-US" w:bidi="ar-SA"/>
    </w:rPr>
  </w:style>
  <w:style w:type="paragraph" w:customStyle="1" w:styleId="Subtitle0">
    <w:name w:val="Sub title"/>
    <w:basedOn w:val="Heading2"/>
    <w:rsid w:val="00044453"/>
    <w:pPr>
      <w:tabs>
        <w:tab w:val="clear" w:pos="1247"/>
        <w:tab w:val="clear" w:pos="1814"/>
        <w:tab w:val="clear" w:pos="2381"/>
        <w:tab w:val="clear" w:pos="2948"/>
        <w:tab w:val="clear" w:pos="3515"/>
      </w:tabs>
      <w:spacing w:before="0" w:after="0"/>
      <w:ind w:firstLine="0"/>
    </w:pPr>
    <w:rPr>
      <w:rFonts w:eastAsia="MS Mincho"/>
      <w:lang w:val="en-GB"/>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link w:val="NormalNonumberChar"/>
    <w:rsid w:val="00160D74"/>
    <w:pPr>
      <w:spacing w:after="120"/>
      <w:ind w:left="1247"/>
    </w:pPr>
    <w:rPr>
      <w:lang w:val="en-GB"/>
    </w:rPr>
  </w:style>
  <w:style w:type="paragraph" w:customStyle="1" w:styleId="Normalnumber">
    <w:name w:val="Normal_number"/>
    <w:basedOn w:val="Normalpool"/>
    <w:link w:val="NormalnumberChar"/>
    <w:rsid w:val="00160D74"/>
    <w:p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72916">
      <w:bodyDiv w:val="1"/>
      <w:marLeft w:val="0"/>
      <w:marRight w:val="0"/>
      <w:marTop w:val="0"/>
      <w:marBottom w:val="0"/>
      <w:divBdr>
        <w:top w:val="none" w:sz="0" w:space="0" w:color="auto"/>
        <w:left w:val="none" w:sz="0" w:space="0" w:color="auto"/>
        <w:bottom w:val="none" w:sz="0" w:space="0" w:color="auto"/>
        <w:right w:val="none" w:sz="0" w:space="0" w:color="auto"/>
      </w:divBdr>
      <w:divsChild>
        <w:div w:id="1732651468">
          <w:marLeft w:val="0"/>
          <w:marRight w:val="0"/>
          <w:marTop w:val="0"/>
          <w:marBottom w:val="0"/>
          <w:divBdr>
            <w:top w:val="none" w:sz="0" w:space="0" w:color="auto"/>
            <w:left w:val="none" w:sz="0" w:space="0" w:color="auto"/>
            <w:bottom w:val="none" w:sz="0" w:space="0" w:color="auto"/>
            <w:right w:val="none" w:sz="0" w:space="0" w:color="auto"/>
          </w:divBdr>
          <w:divsChild>
            <w:div w:id="1009409163">
              <w:marLeft w:val="0"/>
              <w:marRight w:val="0"/>
              <w:marTop w:val="0"/>
              <w:marBottom w:val="0"/>
              <w:divBdr>
                <w:top w:val="none" w:sz="0" w:space="0" w:color="auto"/>
                <w:left w:val="none" w:sz="0" w:space="0" w:color="auto"/>
                <w:bottom w:val="none" w:sz="0" w:space="0" w:color="auto"/>
                <w:right w:val="none" w:sz="0" w:space="0" w:color="auto"/>
              </w:divBdr>
              <w:divsChild>
                <w:div w:id="113043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ep.org/chemicalsandwaste/Mainstreaming/Events/GCOIIExpertsMeeting/tabid/1061040/Default.aspx"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unep.org/chemicalsandwaste/Mainstreaming/Events/SDGWorkshop/tabid/1061039/Default.asp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C8096-B02E-4627-9246-ACFE667B5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4749</Words>
  <Characters>27074</Characters>
  <Application>Microsoft Office Word</Application>
  <DocSecurity>0</DocSecurity>
  <Lines>225</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unon</Company>
  <LinksUpToDate>false</LinksUpToDate>
  <CharactersWithSpaces>31760</CharactersWithSpaces>
  <SharedDoc>false</SharedDoc>
  <HLinks>
    <vt:vector size="12" baseType="variant">
      <vt:variant>
        <vt:i4>5046339</vt:i4>
      </vt:variant>
      <vt:variant>
        <vt:i4>6</vt:i4>
      </vt:variant>
      <vt:variant>
        <vt:i4>0</vt:i4>
      </vt:variant>
      <vt:variant>
        <vt:i4>5</vt:i4>
      </vt:variant>
      <vt:variant>
        <vt:lpwstr>http://www.unep.org/chemicalsandwaste/Mainstreaming/Events/GCOIIExpertsMeeting/tabid/1061040/Default.aspx</vt:lpwstr>
      </vt:variant>
      <vt:variant>
        <vt:lpwstr/>
      </vt:variant>
      <vt:variant>
        <vt:i4>4325464</vt:i4>
      </vt:variant>
      <vt:variant>
        <vt:i4>3</vt:i4>
      </vt:variant>
      <vt:variant>
        <vt:i4>0</vt:i4>
      </vt:variant>
      <vt:variant>
        <vt:i4>5</vt:i4>
      </vt:variant>
      <vt:variant>
        <vt:lpwstr>http://www.unep.org/chemicalsandwaste/Mainstreaming/Events/SDGWorkshop/tabid/1061039/Default.aspx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Nikki Criticos</dc:creator>
  <cp:lastModifiedBy>John Njuguna</cp:lastModifiedBy>
  <cp:revision>2</cp:revision>
  <cp:lastPrinted>2016-05-03T12:12:00Z</cp:lastPrinted>
  <dcterms:created xsi:type="dcterms:W3CDTF">2016-05-10T06:38:00Z</dcterms:created>
  <dcterms:modified xsi:type="dcterms:W3CDTF">2016-05-10T06:38:00Z</dcterms:modified>
</cp:coreProperties>
</file>