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5347"/>
        <w:gridCol w:w="2815"/>
      </w:tblGrid>
      <w:tr w:rsidR="00167391" w:rsidRPr="000E1536" w14:paraId="000795DC" w14:textId="77777777" w:rsidTr="007F2793">
        <w:trPr>
          <w:cantSplit/>
          <w:trHeight w:val="850"/>
          <w:jc w:val="right"/>
        </w:trPr>
        <w:tc>
          <w:tcPr>
            <w:tcW w:w="1550" w:type="dxa"/>
          </w:tcPr>
          <w:p w14:paraId="69B9AAAE" w14:textId="77777777" w:rsidR="00167391" w:rsidRPr="000E1536" w:rsidRDefault="00167391" w:rsidP="005F0C62">
            <w:pPr>
              <w:rPr>
                <w:rFonts w:ascii="Univers" w:hAnsi="Univers"/>
                <w:b/>
                <w:noProof/>
                <w:sz w:val="27"/>
                <w:szCs w:val="27"/>
                <w:lang w:val="en-GB"/>
              </w:rPr>
            </w:pPr>
            <w:bookmarkStart w:id="0" w:name="_GoBack"/>
            <w:bookmarkEnd w:id="0"/>
            <w:r w:rsidRPr="000E1536">
              <w:rPr>
                <w:rFonts w:ascii="Arial" w:hAnsi="Arial" w:cs="Arial"/>
                <w:b/>
                <w:noProof/>
                <w:sz w:val="27"/>
                <w:szCs w:val="27"/>
                <w:lang w:val="en-GB"/>
              </w:rPr>
              <w:t>UNITED</w:t>
            </w:r>
            <w:r w:rsidRPr="000E1536">
              <w:rPr>
                <w:rFonts w:ascii="Arial" w:hAnsi="Arial" w:cs="Arial"/>
                <w:b/>
                <w:noProof/>
                <w:sz w:val="27"/>
                <w:szCs w:val="27"/>
                <w:lang w:val="en-GB"/>
              </w:rPr>
              <w:br/>
              <w:t>NATIONS</w:t>
            </w:r>
          </w:p>
        </w:tc>
        <w:tc>
          <w:tcPr>
            <w:tcW w:w="5347" w:type="dxa"/>
          </w:tcPr>
          <w:p w14:paraId="12D5C1B6" w14:textId="77777777" w:rsidR="00167391" w:rsidRPr="000E1536" w:rsidRDefault="00167391" w:rsidP="005F0C62">
            <w:pPr>
              <w:rPr>
                <w:rFonts w:ascii="Univers" w:hAnsi="Univers"/>
                <w:b/>
                <w:sz w:val="27"/>
                <w:szCs w:val="27"/>
                <w:lang w:val="en-GB"/>
              </w:rPr>
            </w:pPr>
          </w:p>
        </w:tc>
        <w:tc>
          <w:tcPr>
            <w:tcW w:w="2815" w:type="dxa"/>
          </w:tcPr>
          <w:p w14:paraId="2D751732" w14:textId="77777777" w:rsidR="00167391" w:rsidRPr="000E1536" w:rsidRDefault="00167391" w:rsidP="005F0C62">
            <w:pPr>
              <w:jc w:val="right"/>
              <w:rPr>
                <w:rFonts w:ascii="Arial" w:hAnsi="Arial" w:cs="Arial"/>
                <w:b/>
                <w:sz w:val="64"/>
                <w:szCs w:val="64"/>
                <w:lang w:val="en-GB"/>
              </w:rPr>
            </w:pPr>
            <w:r w:rsidRPr="000E1536">
              <w:rPr>
                <w:rFonts w:ascii="Arial" w:hAnsi="Arial" w:cs="Arial"/>
                <w:b/>
                <w:sz w:val="64"/>
                <w:szCs w:val="64"/>
                <w:lang w:val="en-GB"/>
              </w:rPr>
              <w:t>EP</w:t>
            </w:r>
          </w:p>
        </w:tc>
      </w:tr>
      <w:tr w:rsidR="00167391" w:rsidRPr="000E1536" w14:paraId="27E6BF70" w14:textId="77777777" w:rsidTr="007F2793">
        <w:trPr>
          <w:cantSplit/>
          <w:trHeight w:val="281"/>
          <w:jc w:val="right"/>
        </w:trPr>
        <w:tc>
          <w:tcPr>
            <w:tcW w:w="1550" w:type="dxa"/>
            <w:tcBorders>
              <w:bottom w:val="single" w:sz="4" w:space="0" w:color="auto"/>
            </w:tcBorders>
          </w:tcPr>
          <w:p w14:paraId="3E0CD158" w14:textId="77777777" w:rsidR="00167391" w:rsidRPr="000E1536" w:rsidRDefault="00167391" w:rsidP="005F0C62">
            <w:pPr>
              <w:rPr>
                <w:noProof/>
                <w:sz w:val="18"/>
                <w:szCs w:val="18"/>
                <w:lang w:val="en-GB"/>
              </w:rPr>
            </w:pPr>
          </w:p>
        </w:tc>
        <w:tc>
          <w:tcPr>
            <w:tcW w:w="5347" w:type="dxa"/>
            <w:tcBorders>
              <w:bottom w:val="single" w:sz="4" w:space="0" w:color="auto"/>
            </w:tcBorders>
          </w:tcPr>
          <w:p w14:paraId="0CC7EE32" w14:textId="77777777" w:rsidR="00167391" w:rsidRPr="000E1536" w:rsidRDefault="00167391" w:rsidP="005F0C62">
            <w:pPr>
              <w:rPr>
                <w:rFonts w:ascii="Univers" w:hAnsi="Univers"/>
                <w:b/>
                <w:sz w:val="18"/>
                <w:szCs w:val="18"/>
                <w:lang w:val="en-GB"/>
              </w:rPr>
            </w:pPr>
          </w:p>
        </w:tc>
        <w:tc>
          <w:tcPr>
            <w:tcW w:w="2815" w:type="dxa"/>
            <w:tcBorders>
              <w:bottom w:val="single" w:sz="4" w:space="0" w:color="auto"/>
            </w:tcBorders>
          </w:tcPr>
          <w:p w14:paraId="6D09B161" w14:textId="2D621B4E" w:rsidR="00167391" w:rsidRPr="000E1536" w:rsidRDefault="00EF688E" w:rsidP="00A56735">
            <w:pPr>
              <w:rPr>
                <w:noProof/>
                <w:sz w:val="18"/>
                <w:szCs w:val="18"/>
                <w:lang w:val="en-GB"/>
              </w:rPr>
            </w:pPr>
            <w:r>
              <w:rPr>
                <w:b/>
                <w:sz w:val="28"/>
                <w:szCs w:val="28"/>
              </w:rPr>
              <w:t>UNEP</w:t>
            </w:r>
            <w:r>
              <w:t>/</w:t>
            </w:r>
            <w:r>
              <w:rPr>
                <w:rFonts w:eastAsia="Malgun Gothic"/>
                <w:lang w:eastAsia="ko-KR"/>
              </w:rPr>
              <w:t>EA.2/</w:t>
            </w:r>
            <w:r w:rsidRPr="006365AD">
              <w:rPr>
                <w:rFonts w:eastAsia="Malgun Gothic"/>
                <w:lang w:eastAsia="ko-KR"/>
              </w:rPr>
              <w:t>INF</w:t>
            </w:r>
            <w:r w:rsidR="00827EEE" w:rsidRPr="00827EEE">
              <w:rPr>
                <w:rFonts w:eastAsia="Malgun Gothic"/>
                <w:lang w:eastAsia="ko-KR"/>
              </w:rPr>
              <w:t>/</w:t>
            </w:r>
            <w:r w:rsidR="00A5776B">
              <w:rPr>
                <w:rFonts w:eastAsia="Malgun Gothic"/>
                <w:lang w:eastAsia="ko-KR"/>
              </w:rPr>
              <w:t>22</w:t>
            </w:r>
          </w:p>
        </w:tc>
      </w:tr>
      <w:tr w:rsidR="00167391" w:rsidRPr="00717C71" w14:paraId="72B73B56" w14:textId="77777777" w:rsidTr="007F2793">
        <w:trPr>
          <w:cantSplit/>
          <w:trHeight w:val="2549"/>
          <w:jc w:val="right"/>
        </w:trPr>
        <w:tc>
          <w:tcPr>
            <w:tcW w:w="1550" w:type="dxa"/>
            <w:tcBorders>
              <w:top w:val="single" w:sz="4" w:space="0" w:color="auto"/>
              <w:bottom w:val="single" w:sz="24" w:space="0" w:color="auto"/>
            </w:tcBorders>
          </w:tcPr>
          <w:p w14:paraId="5A4B066D" w14:textId="77777777" w:rsidR="00167391" w:rsidRPr="000E1536" w:rsidRDefault="004562FB" w:rsidP="005F0C62">
            <w:pPr>
              <w:rPr>
                <w:noProof/>
                <w:lang w:val="en-GB"/>
              </w:rPr>
            </w:pPr>
            <w:bookmarkStart w:id="1" w:name="_MON_1021710510"/>
            <w:bookmarkStart w:id="2" w:name="_MON_1021710482"/>
            <w:bookmarkEnd w:id="1"/>
            <w:bookmarkEnd w:id="2"/>
            <w:r>
              <w:rPr>
                <w:noProof/>
                <w:lang w:val="en-GB"/>
              </w:rPr>
              <w:pict w14:anchorId="0EAE4E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1.5pt" fillcolor="window">
                  <v:imagedata r:id="rId9" o:title=""/>
                </v:shape>
              </w:pict>
            </w:r>
            <w:r w:rsidR="00DD087E">
              <w:rPr>
                <w:noProof/>
                <w:lang w:val="en-US"/>
              </w:rPr>
              <w:drawing>
                <wp:inline distT="0" distB="0" distL="0" distR="0" wp14:anchorId="50088403" wp14:editId="71BD580B">
                  <wp:extent cx="723265" cy="763270"/>
                  <wp:effectExtent l="0" t="0" r="635"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265" cy="763270"/>
                          </a:xfrm>
                          <a:prstGeom prst="rect">
                            <a:avLst/>
                          </a:prstGeom>
                          <a:noFill/>
                          <a:ln>
                            <a:noFill/>
                          </a:ln>
                        </pic:spPr>
                      </pic:pic>
                    </a:graphicData>
                  </a:graphic>
                </wp:inline>
              </w:drawing>
            </w:r>
          </w:p>
        </w:tc>
        <w:tc>
          <w:tcPr>
            <w:tcW w:w="5347" w:type="dxa"/>
            <w:tcBorders>
              <w:top w:val="single" w:sz="4" w:space="0" w:color="auto"/>
              <w:bottom w:val="single" w:sz="24" w:space="0" w:color="auto"/>
            </w:tcBorders>
          </w:tcPr>
          <w:p w14:paraId="0B425C2B" w14:textId="77777777" w:rsidR="00167391" w:rsidRPr="000E1536" w:rsidRDefault="00F97F2F" w:rsidP="00E32EC0">
            <w:pPr>
              <w:spacing w:before="1400" w:after="120"/>
              <w:rPr>
                <w:rFonts w:ascii="Univers" w:hAnsi="Univers"/>
                <w:b/>
                <w:sz w:val="28"/>
                <w:szCs w:val="28"/>
                <w:lang w:val="en-GB"/>
              </w:rPr>
            </w:pPr>
            <w:r w:rsidRPr="000E1536">
              <w:rPr>
                <w:rFonts w:ascii="Arial" w:hAnsi="Arial" w:cs="Arial"/>
                <w:b/>
                <w:sz w:val="28"/>
                <w:szCs w:val="28"/>
                <w:lang w:val="en-GB"/>
              </w:rPr>
              <w:t xml:space="preserve">United Nations </w:t>
            </w:r>
            <w:r w:rsidRPr="000E1536">
              <w:rPr>
                <w:rFonts w:ascii="Arial" w:hAnsi="Arial" w:cs="Arial"/>
                <w:b/>
                <w:sz w:val="28"/>
                <w:szCs w:val="28"/>
                <w:lang w:val="en-GB"/>
              </w:rPr>
              <w:br/>
              <w:t xml:space="preserve">Environment Assembly of the </w:t>
            </w:r>
            <w:r w:rsidRPr="000E1536">
              <w:rPr>
                <w:rFonts w:ascii="Arial" w:hAnsi="Arial" w:cs="Arial"/>
                <w:b/>
                <w:sz w:val="28"/>
                <w:szCs w:val="28"/>
                <w:lang w:val="en-GB"/>
              </w:rPr>
              <w:br/>
              <w:t xml:space="preserve">United Nations </w:t>
            </w:r>
            <w:r w:rsidR="00167391" w:rsidRPr="000E1536">
              <w:rPr>
                <w:rFonts w:ascii="Arial" w:hAnsi="Arial" w:cs="Arial"/>
                <w:b/>
                <w:sz w:val="28"/>
                <w:szCs w:val="28"/>
                <w:lang w:val="en-GB"/>
              </w:rPr>
              <w:t>Environment Programme</w:t>
            </w:r>
          </w:p>
        </w:tc>
        <w:tc>
          <w:tcPr>
            <w:tcW w:w="2815" w:type="dxa"/>
            <w:tcBorders>
              <w:top w:val="single" w:sz="4" w:space="0" w:color="auto"/>
              <w:bottom w:val="single" w:sz="24" w:space="0" w:color="auto"/>
            </w:tcBorders>
          </w:tcPr>
          <w:p w14:paraId="0BD68590" w14:textId="27BE4206" w:rsidR="00EA52F2" w:rsidRPr="000E1536" w:rsidRDefault="00EA52F2" w:rsidP="00EA52F2">
            <w:pPr>
              <w:spacing w:before="120"/>
              <w:rPr>
                <w:lang w:val="en-GB"/>
              </w:rPr>
            </w:pPr>
            <w:r w:rsidRPr="000E1536">
              <w:rPr>
                <w:lang w:val="en-GB"/>
              </w:rPr>
              <w:t>Distr.: General</w:t>
            </w:r>
            <w:r w:rsidRPr="000E1536">
              <w:rPr>
                <w:lang w:val="en-GB"/>
              </w:rPr>
              <w:br/>
            </w:r>
            <w:r w:rsidR="00AA2EF8">
              <w:rPr>
                <w:lang w:val="en-US"/>
              </w:rPr>
              <w:t>6 May</w:t>
            </w:r>
            <w:r w:rsidR="00EF688E" w:rsidRPr="006365AD">
              <w:rPr>
                <w:lang w:val="en-US"/>
              </w:rPr>
              <w:t xml:space="preserve"> 2016</w:t>
            </w:r>
          </w:p>
          <w:p w14:paraId="3FCE91AC" w14:textId="77777777" w:rsidR="00167391" w:rsidRPr="000E1536" w:rsidRDefault="00EF688E" w:rsidP="00EA52F2">
            <w:pPr>
              <w:spacing w:before="120"/>
              <w:rPr>
                <w:lang w:val="en-GB"/>
              </w:rPr>
            </w:pPr>
            <w:r w:rsidRPr="006365AD">
              <w:rPr>
                <w:lang w:val="en-US"/>
              </w:rPr>
              <w:t>English only</w:t>
            </w:r>
          </w:p>
        </w:tc>
      </w:tr>
    </w:tbl>
    <w:p w14:paraId="7D3A09F3" w14:textId="77777777" w:rsidR="008B5CB4" w:rsidRPr="00E2189A" w:rsidRDefault="008B5CB4" w:rsidP="007B2DF3">
      <w:pPr>
        <w:pStyle w:val="AATitle"/>
      </w:pPr>
      <w:r w:rsidRPr="00E2189A">
        <w:t>United Nations Environment Assembly of the</w:t>
      </w:r>
    </w:p>
    <w:p w14:paraId="369CB76C" w14:textId="77777777" w:rsidR="008B5CB4" w:rsidRPr="00E2189A" w:rsidRDefault="008B5CB4" w:rsidP="007B2DF3">
      <w:pPr>
        <w:pStyle w:val="AATitle"/>
        <w:outlineLvl w:val="0"/>
      </w:pPr>
      <w:r w:rsidRPr="00E2189A">
        <w:t>United Nations Environment Programme</w:t>
      </w:r>
    </w:p>
    <w:p w14:paraId="353585B9" w14:textId="77777777" w:rsidR="008B5CB4" w:rsidRPr="00E2189A" w:rsidRDefault="008B5CB4" w:rsidP="007B2DF3">
      <w:pPr>
        <w:pStyle w:val="AATitle"/>
        <w:outlineLvl w:val="0"/>
      </w:pPr>
      <w:r w:rsidRPr="00E2189A">
        <w:t>Second session</w:t>
      </w:r>
    </w:p>
    <w:p w14:paraId="6157DBBA" w14:textId="77777777" w:rsidR="008B5CB4" w:rsidRPr="00E2189A" w:rsidRDefault="008B5CB4" w:rsidP="007B2DF3">
      <w:pPr>
        <w:pStyle w:val="AATitle"/>
        <w:keepNext w:val="0"/>
        <w:keepLines w:val="0"/>
        <w:outlineLvl w:val="0"/>
        <w:rPr>
          <w:b w:val="0"/>
        </w:rPr>
      </w:pPr>
      <w:r w:rsidRPr="00E2189A">
        <w:rPr>
          <w:b w:val="0"/>
        </w:rPr>
        <w:t>Nairobi, 23–27 May 2016</w:t>
      </w:r>
    </w:p>
    <w:p w14:paraId="02956064" w14:textId="77777777" w:rsidR="008B5CB4" w:rsidRPr="00E2189A" w:rsidRDefault="008B5CB4" w:rsidP="007B2DF3">
      <w:pPr>
        <w:widowControl w:val="0"/>
        <w:tabs>
          <w:tab w:val="left" w:pos="624"/>
          <w:tab w:val="left" w:pos="1871"/>
          <w:tab w:val="left" w:pos="2495"/>
          <w:tab w:val="left" w:pos="3119"/>
        </w:tabs>
        <w:rPr>
          <w:sz w:val="24"/>
          <w:szCs w:val="24"/>
          <w:lang w:val="en-US" w:eastAsia="en-GB"/>
        </w:rPr>
      </w:pPr>
      <w:r w:rsidRPr="00E2189A">
        <w:rPr>
          <w:lang w:val="en-US"/>
        </w:rPr>
        <w:t xml:space="preserve">Item </w:t>
      </w:r>
      <w:r>
        <w:rPr>
          <w:lang w:val="en-US"/>
        </w:rPr>
        <w:t>4</w:t>
      </w:r>
      <w:r w:rsidRPr="00E2189A">
        <w:rPr>
          <w:lang w:val="en-US"/>
        </w:rPr>
        <w:t xml:space="preserve"> of the provisional agenda</w:t>
      </w:r>
      <w:r w:rsidRPr="00E2189A">
        <w:rPr>
          <w:rStyle w:val="FootnoteReference"/>
          <w:vertAlign w:val="baseline"/>
        </w:rPr>
        <w:footnoteReference w:customMarkFollows="1" w:id="1"/>
        <w:sym w:font="Symbol" w:char="F02A"/>
      </w:r>
      <w:r w:rsidRPr="00E2189A">
        <w:rPr>
          <w:sz w:val="24"/>
          <w:szCs w:val="24"/>
          <w:lang w:val="en-US" w:eastAsia="en-GB"/>
        </w:rPr>
        <w:t xml:space="preserve"> </w:t>
      </w:r>
    </w:p>
    <w:p w14:paraId="379F8C6F" w14:textId="77777777" w:rsidR="008B5CB4" w:rsidRPr="00E2189A" w:rsidRDefault="008B5CB4" w:rsidP="00F247C2">
      <w:pPr>
        <w:pStyle w:val="AATitle2"/>
        <w:spacing w:before="60" w:after="60"/>
        <w:rPr>
          <w:lang w:eastAsia="ja-JP"/>
        </w:rPr>
      </w:pPr>
      <w:r w:rsidRPr="00716D2E">
        <w:rPr>
          <w:lang w:eastAsia="ja-JP"/>
        </w:rPr>
        <w:t xml:space="preserve">International environmental policy and governance </w:t>
      </w:r>
      <w:r>
        <w:rPr>
          <w:lang w:eastAsia="ja-JP"/>
        </w:rPr>
        <w:t>issues</w:t>
      </w:r>
    </w:p>
    <w:p w14:paraId="7EDB4954" w14:textId="77777777" w:rsidR="008B5CB4" w:rsidRDefault="008B5CB4" w:rsidP="007B2DF3">
      <w:pPr>
        <w:pStyle w:val="BBTitle"/>
      </w:pPr>
      <w:r>
        <w:t>Athens Declaration</w:t>
      </w:r>
      <w:r w:rsidRPr="00E2189A">
        <w:t xml:space="preserve"> </w:t>
      </w:r>
    </w:p>
    <w:p w14:paraId="587D4A4A" w14:textId="3C3DA136" w:rsidR="00EC78A7" w:rsidRPr="00717C71" w:rsidRDefault="0076114C" w:rsidP="00F247C2">
      <w:pPr>
        <w:pStyle w:val="CH2"/>
      </w:pPr>
      <w:r>
        <w:tab/>
      </w:r>
      <w:r>
        <w:tab/>
      </w:r>
      <w:r w:rsidR="00EC78A7" w:rsidRPr="00717C71">
        <w:t>Note by the secretariat</w:t>
      </w:r>
    </w:p>
    <w:p w14:paraId="01629895" w14:textId="112459E7" w:rsidR="008B5CB4" w:rsidRPr="00AF34FD" w:rsidRDefault="008B5CB4" w:rsidP="00F247C2">
      <w:pPr>
        <w:pStyle w:val="Normal-pool"/>
        <w:tabs>
          <w:tab w:val="clear" w:pos="1247"/>
          <w:tab w:val="clear" w:pos="1814"/>
          <w:tab w:val="clear" w:pos="2381"/>
          <w:tab w:val="clear" w:pos="2948"/>
          <w:tab w:val="clear" w:pos="3515"/>
          <w:tab w:val="clear" w:pos="4082"/>
          <w:tab w:val="left" w:pos="624"/>
        </w:tabs>
        <w:spacing w:after="120"/>
        <w:ind w:left="1247" w:firstLine="624"/>
      </w:pPr>
      <w:r w:rsidRPr="00AF34FD">
        <w:t>The 19</w:t>
      </w:r>
      <w:r w:rsidRPr="00F247C2">
        <w:t>th</w:t>
      </w:r>
      <w:r w:rsidRPr="00AF34FD">
        <w:t xml:space="preserve"> Ordinary Meeting of the Contracting Parties to the Convention for the Protection of </w:t>
      </w:r>
      <w:proofErr w:type="gramStart"/>
      <w:r w:rsidRPr="00AF34FD">
        <w:t>the</w:t>
      </w:r>
      <w:proofErr w:type="gramEnd"/>
      <w:r w:rsidRPr="00AF34FD">
        <w:t xml:space="preserve"> Marine Environment and the Coastal Region of the Mediterranean and its Protocols (Barcelona Convention) was held in Athens </w:t>
      </w:r>
      <w:r w:rsidR="00604B08">
        <w:t>from</w:t>
      </w:r>
      <w:r w:rsidRPr="00AF34FD">
        <w:t xml:space="preserve"> 9</w:t>
      </w:r>
      <w:r w:rsidR="00604B08">
        <w:t xml:space="preserve"> to </w:t>
      </w:r>
      <w:r w:rsidRPr="00AF34FD">
        <w:t xml:space="preserve">12 February 2016. In addition to celebrating the </w:t>
      </w:r>
      <w:r w:rsidR="00604B08">
        <w:t>fortieth</w:t>
      </w:r>
      <w:r w:rsidR="00604B08">
        <w:rPr>
          <w:vertAlign w:val="superscript"/>
        </w:rPr>
        <w:t> </w:t>
      </w:r>
      <w:r w:rsidRPr="00AF34FD">
        <w:t xml:space="preserve">anniversary of the Convention, </w:t>
      </w:r>
      <w:r w:rsidR="00EC78A7">
        <w:t>the Contracting Parties</w:t>
      </w:r>
      <w:r w:rsidRPr="00AF34FD">
        <w:t xml:space="preserve"> confirm</w:t>
      </w:r>
      <w:r>
        <w:t>ed</w:t>
      </w:r>
      <w:r w:rsidRPr="00AF34FD">
        <w:t xml:space="preserve"> the relevance of the mandate of the Mediterranean Action Plan (MAP) system and the renewed confidence of the Contracting Parties and Partners in its work. T</w:t>
      </w:r>
      <w:r w:rsidR="00604B08">
        <w:t>he 20</w:t>
      </w:r>
      <w:r w:rsidRPr="00AF34FD">
        <w:t xml:space="preserve"> important strategic and operational decisions </w:t>
      </w:r>
      <w:r w:rsidR="00EC78A7">
        <w:t>adopted</w:t>
      </w:r>
      <w:r w:rsidRPr="00AF34FD">
        <w:t xml:space="preserve"> by the Contracting Parties</w:t>
      </w:r>
      <w:r w:rsidRPr="00937280">
        <w:t xml:space="preserve"> will guide the work of the MAP system </w:t>
      </w:r>
      <w:r w:rsidRPr="00717C71">
        <w:t>during the 2016</w:t>
      </w:r>
      <w:r w:rsidR="001F2E94" w:rsidRPr="00717C71">
        <w:t>–</w:t>
      </w:r>
      <w:r w:rsidRPr="00F247C2">
        <w:t xml:space="preserve">2017 biennium and beyond and facilitate the </w:t>
      </w:r>
      <w:r w:rsidR="001F2E94" w:rsidRPr="00F247C2">
        <w:t>implementation</w:t>
      </w:r>
      <w:r w:rsidRPr="00F247C2">
        <w:t xml:space="preserve"> of the global aspirations and goals expressed </w:t>
      </w:r>
      <w:r w:rsidR="001F2E94" w:rsidRPr="00F247C2">
        <w:t>in</w:t>
      </w:r>
      <w:r w:rsidRPr="00F247C2">
        <w:t xml:space="preserve"> the </w:t>
      </w:r>
      <w:r w:rsidRPr="00F247C2">
        <w:rPr>
          <w:iCs/>
        </w:rPr>
        <w:t>2030</w:t>
      </w:r>
      <w:r w:rsidR="00AA2EF8" w:rsidRPr="00F247C2">
        <w:rPr>
          <w:iCs/>
        </w:rPr>
        <w:t> </w:t>
      </w:r>
      <w:r w:rsidRPr="00F247C2">
        <w:rPr>
          <w:iCs/>
        </w:rPr>
        <w:t>Agenda for Sustainable Development</w:t>
      </w:r>
      <w:r w:rsidRPr="00937280">
        <w:t xml:space="preserve"> and </w:t>
      </w:r>
      <w:r w:rsidR="001F2E94" w:rsidRPr="00937280">
        <w:t>the Sustainable Development Goals</w:t>
      </w:r>
      <w:r w:rsidRPr="00937280">
        <w:t xml:space="preserve"> </w:t>
      </w:r>
      <w:r w:rsidR="001F2E94" w:rsidRPr="00F247C2">
        <w:t>in the</w:t>
      </w:r>
      <w:r w:rsidRPr="00937280">
        <w:t xml:space="preserve"> Mediterranean </w:t>
      </w:r>
      <w:r w:rsidR="001F2E94" w:rsidRPr="00F247C2">
        <w:t>region</w:t>
      </w:r>
      <w:r w:rsidRPr="00937280">
        <w:t>.</w:t>
      </w:r>
      <w:r w:rsidRPr="00AF34FD">
        <w:t xml:space="preserve"> </w:t>
      </w:r>
    </w:p>
    <w:p w14:paraId="70CE42E5" w14:textId="0AD90E3A" w:rsidR="008B5CB4" w:rsidRPr="00AF34FD" w:rsidRDefault="008B5CB4" w:rsidP="00F247C2">
      <w:pPr>
        <w:pStyle w:val="Normal-pool"/>
        <w:tabs>
          <w:tab w:val="clear" w:pos="1247"/>
          <w:tab w:val="clear" w:pos="1814"/>
          <w:tab w:val="clear" w:pos="2381"/>
          <w:tab w:val="clear" w:pos="2948"/>
          <w:tab w:val="clear" w:pos="3515"/>
          <w:tab w:val="clear" w:pos="4082"/>
          <w:tab w:val="left" w:pos="624"/>
        </w:tabs>
        <w:spacing w:after="120"/>
        <w:ind w:left="1247" w:firstLine="624"/>
        <w:rPr>
          <w:szCs w:val="22"/>
        </w:rPr>
      </w:pPr>
      <w:r w:rsidRPr="00AF34FD">
        <w:t xml:space="preserve">At </w:t>
      </w:r>
      <w:r w:rsidR="00EC78A7">
        <w:t>the</w:t>
      </w:r>
      <w:r w:rsidR="001F2E94">
        <w:t xml:space="preserve"> meeting</w:t>
      </w:r>
      <w:r w:rsidRPr="00AF34FD">
        <w:t xml:space="preserve">, the </w:t>
      </w:r>
      <w:r w:rsidR="00010D52">
        <w:t>m</w:t>
      </w:r>
      <w:r w:rsidRPr="00AF34FD">
        <w:t xml:space="preserve">inisters and </w:t>
      </w:r>
      <w:r w:rsidR="00EC78A7">
        <w:t>h</w:t>
      </w:r>
      <w:r w:rsidRPr="00AF34FD">
        <w:t xml:space="preserve">eads of </w:t>
      </w:r>
      <w:r w:rsidR="00EC78A7" w:rsidRPr="00937280">
        <w:t>d</w:t>
      </w:r>
      <w:r w:rsidRPr="00937280">
        <w:t>elegation</w:t>
      </w:r>
      <w:r w:rsidRPr="00717C71">
        <w:t xml:space="preserve"> o</w:t>
      </w:r>
      <w:r w:rsidRPr="00AF34FD">
        <w:t xml:space="preserve">f the Contracting Parties </w:t>
      </w:r>
      <w:r w:rsidR="001F2E94">
        <w:t xml:space="preserve">also </w:t>
      </w:r>
      <w:r w:rsidRPr="00AF34FD">
        <w:t xml:space="preserve">adopted the </w:t>
      </w:r>
      <w:r w:rsidRPr="00F247C2">
        <w:rPr>
          <w:iCs/>
        </w:rPr>
        <w:t>Athens Declaration</w:t>
      </w:r>
      <w:r w:rsidR="00B4614B">
        <w:rPr>
          <w:iCs/>
        </w:rPr>
        <w:t xml:space="preserve"> (annexed </w:t>
      </w:r>
      <w:r w:rsidR="00546DE6">
        <w:rPr>
          <w:iCs/>
        </w:rPr>
        <w:t>hereto</w:t>
      </w:r>
      <w:r w:rsidR="00B4614B">
        <w:rPr>
          <w:iCs/>
        </w:rPr>
        <w:t>)</w:t>
      </w:r>
      <w:r w:rsidRPr="00AF34FD">
        <w:t xml:space="preserve">. This important document reflects the recognition of 40 years of achievements by the MAP/Barcelona Convention system, the renewed commitment of the Contracting Parties to the mandate and goals of the Convention, and the decision to </w:t>
      </w:r>
      <w:r w:rsidRPr="00AF34FD">
        <w:rPr>
          <w:szCs w:val="22"/>
        </w:rPr>
        <w:t xml:space="preserve">step up efforts </w:t>
      </w:r>
      <w:r w:rsidR="00546DE6">
        <w:rPr>
          <w:szCs w:val="22"/>
        </w:rPr>
        <w:t>to achieve</w:t>
      </w:r>
      <w:r w:rsidRPr="00AF34FD">
        <w:rPr>
          <w:szCs w:val="22"/>
        </w:rPr>
        <w:t xml:space="preserve"> the environmental protection and sustainable development of the </w:t>
      </w:r>
      <w:r w:rsidRPr="00937280">
        <w:rPr>
          <w:szCs w:val="22"/>
        </w:rPr>
        <w:t>Mediterranean Sea</w:t>
      </w:r>
      <w:r w:rsidRPr="00717C71">
        <w:rPr>
          <w:szCs w:val="22"/>
        </w:rPr>
        <w:t xml:space="preserve"> and</w:t>
      </w:r>
      <w:r w:rsidRPr="00AF34FD">
        <w:rPr>
          <w:szCs w:val="22"/>
        </w:rPr>
        <w:t xml:space="preserve"> coast in the global framework of the </w:t>
      </w:r>
      <w:r w:rsidRPr="00F247C2">
        <w:rPr>
          <w:iCs/>
          <w:szCs w:val="22"/>
        </w:rPr>
        <w:t>2030 Agenda</w:t>
      </w:r>
      <w:r w:rsidRPr="00AF34FD">
        <w:rPr>
          <w:szCs w:val="22"/>
        </w:rPr>
        <w:t xml:space="preserve">. </w:t>
      </w:r>
    </w:p>
    <w:p w14:paraId="17041E9E" w14:textId="1D3EAE84" w:rsidR="008B5CB4" w:rsidRPr="00A7321C" w:rsidRDefault="008B5CB4" w:rsidP="00F247C2">
      <w:pPr>
        <w:pStyle w:val="Normal-pool"/>
        <w:tabs>
          <w:tab w:val="clear" w:pos="1247"/>
          <w:tab w:val="clear" w:pos="1814"/>
          <w:tab w:val="clear" w:pos="2381"/>
          <w:tab w:val="clear" w:pos="2948"/>
          <w:tab w:val="clear" w:pos="3515"/>
          <w:tab w:val="clear" w:pos="4082"/>
          <w:tab w:val="left" w:pos="624"/>
        </w:tabs>
        <w:spacing w:after="120"/>
        <w:ind w:left="1247" w:firstLine="624"/>
        <w:rPr>
          <w:lang w:val="en-US"/>
        </w:rPr>
      </w:pPr>
      <w:r w:rsidRPr="00AF34FD">
        <w:t xml:space="preserve">The </w:t>
      </w:r>
      <w:r w:rsidR="000513E1">
        <w:t>m</w:t>
      </w:r>
      <w:r w:rsidRPr="00AF34FD">
        <w:t xml:space="preserve">inisters and </w:t>
      </w:r>
      <w:r w:rsidR="00EC78A7" w:rsidRPr="00937280">
        <w:t>h</w:t>
      </w:r>
      <w:r w:rsidRPr="00937280">
        <w:t xml:space="preserve">eads of </w:t>
      </w:r>
      <w:r w:rsidR="00EC78A7" w:rsidRPr="00717C71">
        <w:t>d</w:t>
      </w:r>
      <w:r w:rsidRPr="00F247C2">
        <w:t xml:space="preserve">elegation invited the President of the Contracting Parties to </w:t>
      </w:r>
      <w:r w:rsidR="001F2E94" w:rsidRPr="00F247C2">
        <w:t>bring</w:t>
      </w:r>
      <w:r w:rsidRPr="00F247C2">
        <w:t xml:space="preserve"> the </w:t>
      </w:r>
      <w:r w:rsidRPr="00F247C2">
        <w:rPr>
          <w:iCs/>
        </w:rPr>
        <w:t>Athens Declaration</w:t>
      </w:r>
      <w:r w:rsidRPr="00937280">
        <w:t xml:space="preserve"> and the outcome of </w:t>
      </w:r>
      <w:r w:rsidR="000513E1" w:rsidRPr="00F247C2">
        <w:t>the</w:t>
      </w:r>
      <w:r w:rsidR="001F2E94" w:rsidRPr="00937280">
        <w:t xml:space="preserve"> meeting</w:t>
      </w:r>
      <w:r w:rsidRPr="00937280">
        <w:t xml:space="preserve"> to the attention</w:t>
      </w:r>
      <w:r w:rsidRPr="00717C71">
        <w:t xml:space="preserve"> of </w:t>
      </w:r>
      <w:r w:rsidR="001F2E94" w:rsidRPr="00F247C2">
        <w:t>the United Nations Environment Assembly</w:t>
      </w:r>
      <w:r w:rsidRPr="00F247C2">
        <w:t xml:space="preserve">. The full report of </w:t>
      </w:r>
      <w:r w:rsidR="001F2E94" w:rsidRPr="00F247C2">
        <w:t>the 19th Ordinary Meeting of the Contracting Parties to the Barcelona Convention</w:t>
      </w:r>
      <w:r w:rsidRPr="00F247C2">
        <w:t xml:space="preserve">, including the decisions </w:t>
      </w:r>
      <w:r w:rsidR="000513E1" w:rsidRPr="00F247C2">
        <w:t>adopted</w:t>
      </w:r>
      <w:r w:rsidRPr="00F247C2">
        <w:t xml:space="preserve"> </w:t>
      </w:r>
      <w:r w:rsidR="001F2E94" w:rsidRPr="00F247C2">
        <w:t>there</w:t>
      </w:r>
      <w:r w:rsidRPr="00F247C2">
        <w:t xml:space="preserve">, is available on the UNEP/MAP website:  </w:t>
      </w:r>
      <w:hyperlink r:id="rId11" w:history="1">
        <w:r w:rsidRPr="00937280">
          <w:rPr>
            <w:rStyle w:val="Hyperlink"/>
            <w:szCs w:val="22"/>
            <w:lang w:val="en-GB"/>
          </w:rPr>
          <w:t>www.unepmap.org</w:t>
        </w:r>
      </w:hyperlink>
      <w:r w:rsidRPr="00937280">
        <w:rPr>
          <w:rStyle w:val="Hyperlink"/>
          <w:szCs w:val="22"/>
          <w:lang w:val="en-GB"/>
        </w:rPr>
        <w:t xml:space="preserve"> </w:t>
      </w:r>
      <w:r w:rsidRPr="00717C71">
        <w:t>under “Latest documents”.</w:t>
      </w:r>
    </w:p>
    <w:p w14:paraId="35974E0E" w14:textId="77777777" w:rsidR="008B5CB4" w:rsidRPr="00E2189A" w:rsidRDefault="008B5CB4" w:rsidP="00F247C2">
      <w:pPr>
        <w:pStyle w:val="Normal-pool"/>
        <w:rPr>
          <w:sz w:val="24"/>
          <w:szCs w:val="24"/>
        </w:rPr>
      </w:pPr>
      <w:r w:rsidRPr="002A0E5F">
        <w:br w:type="page"/>
      </w:r>
    </w:p>
    <w:p w14:paraId="757C91F6" w14:textId="56D397A8" w:rsidR="00B4614B" w:rsidRPr="00F247C2" w:rsidRDefault="00B4614B" w:rsidP="00F247C2">
      <w:pPr>
        <w:pStyle w:val="ZZAnxheader"/>
        <w:rPr>
          <w:b w:val="0"/>
        </w:rPr>
      </w:pPr>
      <w:r w:rsidRPr="00F247C2">
        <w:lastRenderedPageBreak/>
        <w:t>Annex</w:t>
      </w:r>
    </w:p>
    <w:p w14:paraId="57028558" w14:textId="1EA3BA05" w:rsidR="008B5CB4" w:rsidRPr="00F247C2" w:rsidRDefault="00E37475" w:rsidP="00F247C2">
      <w:pPr>
        <w:pStyle w:val="ZZAnxtitle"/>
        <w:rPr>
          <w:b w:val="0"/>
        </w:rPr>
      </w:pPr>
      <w:r w:rsidRPr="00F247C2">
        <w:t>Athens Declaration</w:t>
      </w:r>
      <w:r w:rsidR="0076114C" w:rsidRPr="00F247C2">
        <w:rPr>
          <w:rStyle w:val="FootnoteReference"/>
          <w:b w:val="0"/>
          <w:sz w:val="28"/>
          <w:szCs w:val="26"/>
        </w:rPr>
        <w:footnoteReference w:id="2"/>
      </w:r>
      <w:r w:rsidR="008B5CB4" w:rsidRPr="00F247C2">
        <w:rPr>
          <w:b w:val="0"/>
        </w:rPr>
        <w:t xml:space="preserve"> </w:t>
      </w:r>
    </w:p>
    <w:p w14:paraId="16C270C4" w14:textId="0A240D3D" w:rsidR="008B5CB4" w:rsidRPr="00F247C2" w:rsidRDefault="008B5CB4" w:rsidP="00F247C2">
      <w:pPr>
        <w:pStyle w:val="Normal-pool"/>
        <w:tabs>
          <w:tab w:val="clear" w:pos="1247"/>
          <w:tab w:val="clear" w:pos="1814"/>
          <w:tab w:val="clear" w:pos="2381"/>
          <w:tab w:val="clear" w:pos="2948"/>
          <w:tab w:val="clear" w:pos="3515"/>
          <w:tab w:val="clear" w:pos="4082"/>
          <w:tab w:val="left" w:pos="624"/>
        </w:tabs>
        <w:spacing w:after="120"/>
        <w:ind w:left="1247" w:firstLine="624"/>
      </w:pPr>
      <w:r w:rsidRPr="00F247C2">
        <w:t>We, Ministers and Heads of Delegations of the Contracting Parties to the Barcelona Convention for the Protection of the Marine Environment and the Coastal Region of the Mediterranean (the Barcelona Convention) and its Protocols, meeting in Athens, Greece</w:t>
      </w:r>
      <w:r w:rsidR="00F84409">
        <w:t>,</w:t>
      </w:r>
      <w:r w:rsidRPr="00F247C2">
        <w:t xml:space="preserve"> on 11</w:t>
      </w:r>
      <w:r w:rsidR="0087043B">
        <w:t> </w:t>
      </w:r>
      <w:r w:rsidRPr="00F247C2">
        <w:t>February 2016,</w:t>
      </w:r>
    </w:p>
    <w:p w14:paraId="3C6CC2FB" w14:textId="77777777" w:rsidR="008B5CB4" w:rsidRPr="00F247C2" w:rsidRDefault="008B5CB4" w:rsidP="00F247C2">
      <w:pPr>
        <w:pStyle w:val="Normal-pool"/>
        <w:tabs>
          <w:tab w:val="clear" w:pos="1247"/>
          <w:tab w:val="clear" w:pos="1814"/>
          <w:tab w:val="clear" w:pos="2381"/>
          <w:tab w:val="clear" w:pos="2948"/>
          <w:tab w:val="clear" w:pos="3515"/>
          <w:tab w:val="clear" w:pos="4082"/>
          <w:tab w:val="left" w:pos="624"/>
        </w:tabs>
        <w:spacing w:after="120"/>
        <w:ind w:left="1247" w:firstLine="624"/>
      </w:pPr>
      <w:r w:rsidRPr="00F247C2">
        <w:rPr>
          <w:i/>
          <w:iCs/>
        </w:rPr>
        <w:t xml:space="preserve">Celebrating </w:t>
      </w:r>
      <w:r w:rsidRPr="00F247C2">
        <w:rPr>
          <w:iCs/>
        </w:rPr>
        <w:t>with pride</w:t>
      </w:r>
      <w:r w:rsidRPr="00F247C2">
        <w:rPr>
          <w:i/>
          <w:iCs/>
        </w:rPr>
        <w:t xml:space="preserve"> </w:t>
      </w:r>
      <w:r w:rsidRPr="00F247C2">
        <w:t xml:space="preserve">the 40 years of the regional cooperation framework established through the Mediterranean Action Plan and the Barcelona Convention and its Protocols, and </w:t>
      </w:r>
      <w:r w:rsidRPr="00F247C2">
        <w:rPr>
          <w:i/>
        </w:rPr>
        <w:t xml:space="preserve">being aware </w:t>
      </w:r>
      <w:r w:rsidRPr="00F247C2">
        <w:t>of its significant contribution for achieving a healthy and productive Mediterranean Sea and coast and of the great progress spurred by the solidarity and shared commitments of the MAP system and its partners,</w:t>
      </w:r>
    </w:p>
    <w:p w14:paraId="3380DE5E" w14:textId="241C9236" w:rsidR="008B5CB4" w:rsidRPr="00F247C2" w:rsidRDefault="008B5CB4" w:rsidP="00F247C2">
      <w:pPr>
        <w:pStyle w:val="Normal-pool"/>
        <w:tabs>
          <w:tab w:val="clear" w:pos="1247"/>
          <w:tab w:val="clear" w:pos="1814"/>
          <w:tab w:val="clear" w:pos="2381"/>
          <w:tab w:val="clear" w:pos="2948"/>
          <w:tab w:val="clear" w:pos="3515"/>
          <w:tab w:val="clear" w:pos="4082"/>
          <w:tab w:val="left" w:pos="624"/>
        </w:tabs>
        <w:spacing w:after="120"/>
        <w:ind w:left="1247" w:firstLine="624"/>
      </w:pPr>
      <w:r w:rsidRPr="00F247C2">
        <w:rPr>
          <w:i/>
        </w:rPr>
        <w:t>Recalling</w:t>
      </w:r>
      <w:r w:rsidRPr="00F247C2">
        <w:t xml:space="preserve"> the historic and transformative body of decisions, strategies, plans of action, ecological objectives and targets, and programmes of measures that have been providing guidance and shaping action at regional, </w:t>
      </w:r>
      <w:proofErr w:type="spellStart"/>
      <w:r w:rsidRPr="00F247C2">
        <w:t>subregional</w:t>
      </w:r>
      <w:proofErr w:type="spellEnd"/>
      <w:r w:rsidRPr="00F247C2">
        <w:t>, national and local level</w:t>
      </w:r>
      <w:r w:rsidR="00F84409" w:rsidRPr="00B4614B">
        <w:t>s</w:t>
      </w:r>
      <w:r w:rsidRPr="00F247C2">
        <w:t xml:space="preserve"> within the scope of the MAP-Barcelona Convention mandate,</w:t>
      </w:r>
    </w:p>
    <w:p w14:paraId="71DF850D" w14:textId="77777777" w:rsidR="008B5CB4" w:rsidRPr="00F247C2" w:rsidRDefault="008B5CB4" w:rsidP="00F247C2">
      <w:pPr>
        <w:pStyle w:val="Normal-pool"/>
        <w:tabs>
          <w:tab w:val="clear" w:pos="1247"/>
          <w:tab w:val="clear" w:pos="1814"/>
          <w:tab w:val="clear" w:pos="2381"/>
          <w:tab w:val="clear" w:pos="2948"/>
          <w:tab w:val="clear" w:pos="3515"/>
          <w:tab w:val="clear" w:pos="4082"/>
          <w:tab w:val="left" w:pos="624"/>
        </w:tabs>
        <w:spacing w:after="120"/>
        <w:ind w:left="1247" w:firstLine="624"/>
      </w:pPr>
      <w:r w:rsidRPr="00F247C2">
        <w:rPr>
          <w:i/>
        </w:rPr>
        <w:t>Recalling</w:t>
      </w:r>
      <w:r w:rsidRPr="00F247C2">
        <w:t xml:space="preserve"> the aim of the UNEP Regional Seas Programme, which is to address the accelerating degradation of the world’s oceans and coastal areas through the sustainable management and use of the marine and coastal environment and by engaging neighbouring countries in comprehensive and specific actions to protect their shared marine environment,</w:t>
      </w:r>
    </w:p>
    <w:p w14:paraId="270039D0" w14:textId="1F8B364D" w:rsidR="008B5CB4" w:rsidRPr="00F247C2" w:rsidRDefault="008B5CB4" w:rsidP="00F247C2">
      <w:pPr>
        <w:pStyle w:val="Normal-pool"/>
        <w:tabs>
          <w:tab w:val="clear" w:pos="1247"/>
          <w:tab w:val="clear" w:pos="1814"/>
          <w:tab w:val="clear" w:pos="2381"/>
          <w:tab w:val="clear" w:pos="2948"/>
          <w:tab w:val="clear" w:pos="3515"/>
          <w:tab w:val="clear" w:pos="4082"/>
          <w:tab w:val="left" w:pos="624"/>
        </w:tabs>
        <w:spacing w:after="120"/>
        <w:ind w:left="1247" w:firstLine="624"/>
      </w:pPr>
      <w:r w:rsidRPr="00F247C2">
        <w:rPr>
          <w:i/>
        </w:rPr>
        <w:t xml:space="preserve">Welcoming </w:t>
      </w:r>
      <w:r w:rsidRPr="00F247C2">
        <w:t xml:space="preserve">the outcome document of the United Nations Sustainable Development Summit, </w:t>
      </w:r>
      <w:r w:rsidR="00F84409" w:rsidRPr="00B4614B">
        <w:t>“</w:t>
      </w:r>
      <w:r w:rsidRPr="00F247C2">
        <w:t>Transforming our world: the 2030 Agenda for Sustainable Development</w:t>
      </w:r>
      <w:r w:rsidR="00F84409" w:rsidRPr="00B4614B">
        <w:t>”</w:t>
      </w:r>
      <w:r w:rsidRPr="00F247C2">
        <w:t xml:space="preserve">, which was adopted by the United Nations General Assembly on 27 September 2015, its Sustainable Development Goals (SDGs) and especially Sustainable Development Goal 14 to </w:t>
      </w:r>
      <w:r w:rsidR="00F84409" w:rsidRPr="00B4614B">
        <w:t>“</w:t>
      </w:r>
      <w:r w:rsidRPr="00F247C2">
        <w:t>conserve and sustainably use the oceans, seas and marine resources for sustainable development</w:t>
      </w:r>
      <w:r w:rsidR="00F84409" w:rsidRPr="00B4614B">
        <w:t>”</w:t>
      </w:r>
      <w:r w:rsidRPr="00F247C2">
        <w:t xml:space="preserve"> and related regional strategic documents,</w:t>
      </w:r>
    </w:p>
    <w:p w14:paraId="4EB69E3A" w14:textId="77777777" w:rsidR="008B5CB4" w:rsidRPr="00F247C2" w:rsidRDefault="008B5CB4" w:rsidP="00F247C2">
      <w:pPr>
        <w:pStyle w:val="Normal-pool"/>
        <w:tabs>
          <w:tab w:val="clear" w:pos="1247"/>
          <w:tab w:val="clear" w:pos="1814"/>
          <w:tab w:val="clear" w:pos="2381"/>
          <w:tab w:val="clear" w:pos="2948"/>
          <w:tab w:val="clear" w:pos="3515"/>
          <w:tab w:val="clear" w:pos="4082"/>
          <w:tab w:val="left" w:pos="624"/>
        </w:tabs>
        <w:spacing w:after="120"/>
        <w:ind w:left="1247" w:firstLine="624"/>
      </w:pPr>
      <w:r w:rsidRPr="00F247C2">
        <w:rPr>
          <w:i/>
          <w:iCs/>
        </w:rPr>
        <w:t>Welcoming</w:t>
      </w:r>
      <w:r w:rsidRPr="00F247C2">
        <w:t xml:space="preserve"> the agreement for combating climate change adopted at the 21st session of the Conference of the Parties of the United Nations Framework Convention on Climate Change in Paris, on 12 December 2015, which </w:t>
      </w:r>
      <w:r w:rsidRPr="00F247C2">
        <w:rPr>
          <w:i/>
        </w:rPr>
        <w:t>inter alia</w:t>
      </w:r>
      <w:r w:rsidRPr="00F247C2">
        <w:t xml:space="preserve"> recognizes the importance of protection of oceans and biodiversity,</w:t>
      </w:r>
    </w:p>
    <w:p w14:paraId="4EE103B7" w14:textId="6B6E238E" w:rsidR="008B5CB4" w:rsidRPr="00F247C2" w:rsidRDefault="008B5CB4" w:rsidP="00F247C2">
      <w:pPr>
        <w:pStyle w:val="Normal-pool"/>
        <w:tabs>
          <w:tab w:val="clear" w:pos="1247"/>
          <w:tab w:val="clear" w:pos="1814"/>
          <w:tab w:val="clear" w:pos="2381"/>
          <w:tab w:val="clear" w:pos="2948"/>
          <w:tab w:val="clear" w:pos="3515"/>
          <w:tab w:val="clear" w:pos="4082"/>
          <w:tab w:val="left" w:pos="624"/>
        </w:tabs>
        <w:spacing w:after="120"/>
        <w:ind w:left="1247" w:firstLine="624"/>
      </w:pPr>
      <w:r w:rsidRPr="00F247C2">
        <w:rPr>
          <w:i/>
          <w:iCs/>
        </w:rPr>
        <w:t xml:space="preserve">Taking note </w:t>
      </w:r>
      <w:r w:rsidRPr="00F247C2">
        <w:rPr>
          <w:iCs/>
        </w:rPr>
        <w:t xml:space="preserve">of the </w:t>
      </w:r>
      <w:r w:rsidR="00537D1A" w:rsidRPr="00B4614B">
        <w:rPr>
          <w:iCs/>
        </w:rPr>
        <w:t>r</w:t>
      </w:r>
      <w:r w:rsidRPr="00F247C2">
        <w:rPr>
          <w:iCs/>
        </w:rPr>
        <w:t>ecommendations of the 13th and the following meetings of the Mediterranean Commission on Sustainable Development,</w:t>
      </w:r>
      <w:r w:rsidRPr="00F247C2">
        <w:rPr>
          <w:i/>
          <w:iCs/>
        </w:rPr>
        <w:t xml:space="preserve"> </w:t>
      </w:r>
      <w:r w:rsidRPr="00F247C2">
        <w:t>the Declaration of the Ministerial Meeting on Environment and Climate Change of the Union for the Mediterranean adopted in Athens on 13</w:t>
      </w:r>
      <w:r w:rsidR="0087043B" w:rsidRPr="00B4614B">
        <w:t> </w:t>
      </w:r>
      <w:r w:rsidRPr="00F247C2">
        <w:t>May 2014, as well as the Declaration of the Union for the Mediterranean Ministerial Conference on Blue Economy adopted in Brussels on 17 November 2015,</w:t>
      </w:r>
    </w:p>
    <w:p w14:paraId="29586BDB" w14:textId="1B990C53" w:rsidR="008B5CB4" w:rsidRPr="00F247C2" w:rsidRDefault="008B5CB4" w:rsidP="00F247C2">
      <w:pPr>
        <w:pStyle w:val="Normal-pool"/>
        <w:tabs>
          <w:tab w:val="clear" w:pos="1247"/>
          <w:tab w:val="clear" w:pos="1814"/>
          <w:tab w:val="clear" w:pos="2381"/>
          <w:tab w:val="clear" w:pos="2948"/>
          <w:tab w:val="clear" w:pos="3515"/>
          <w:tab w:val="clear" w:pos="4082"/>
          <w:tab w:val="left" w:pos="624"/>
        </w:tabs>
        <w:spacing w:after="120"/>
        <w:ind w:left="1247" w:firstLine="624"/>
      </w:pPr>
      <w:r w:rsidRPr="00F247C2">
        <w:rPr>
          <w:i/>
        </w:rPr>
        <w:t>Reaffirming</w:t>
      </w:r>
      <w:r w:rsidRPr="00F247C2">
        <w:t xml:space="preserve"> the fundamental value of biological diversity and natural resources, as well as their critical role in maintaining marine and coastal ecosystems</w:t>
      </w:r>
      <w:r w:rsidR="00537D1A" w:rsidRPr="00F247C2">
        <w:t>,</w:t>
      </w:r>
      <w:r w:rsidRPr="00F247C2">
        <w:t xml:space="preserve"> which are essential for the sustainable development of the Mediterranean </w:t>
      </w:r>
      <w:proofErr w:type="gramStart"/>
      <w:r w:rsidRPr="00F247C2">
        <w:t>region,</w:t>
      </w:r>
      <w:proofErr w:type="gramEnd"/>
    </w:p>
    <w:p w14:paraId="402E8B5F" w14:textId="77777777" w:rsidR="008B5CB4" w:rsidRPr="00F247C2" w:rsidRDefault="008B5CB4" w:rsidP="00F247C2">
      <w:pPr>
        <w:pStyle w:val="Normal-pool"/>
        <w:tabs>
          <w:tab w:val="clear" w:pos="1247"/>
          <w:tab w:val="clear" w:pos="1814"/>
          <w:tab w:val="clear" w:pos="2381"/>
          <w:tab w:val="clear" w:pos="2948"/>
          <w:tab w:val="clear" w:pos="3515"/>
          <w:tab w:val="clear" w:pos="4082"/>
          <w:tab w:val="left" w:pos="624"/>
        </w:tabs>
        <w:spacing w:after="120"/>
        <w:ind w:left="1247" w:firstLine="624"/>
      </w:pPr>
      <w:r w:rsidRPr="00F247C2">
        <w:rPr>
          <w:i/>
        </w:rPr>
        <w:t>Concerned</w:t>
      </w:r>
      <w:r w:rsidRPr="00F247C2">
        <w:t xml:space="preserve"> by the continued threats posed to the Mediterranean by major drivers and pressures affecting the sea and its coastal inhabitants, the Mediterranean environment’s condition, the current and prospective impacts of collective human activity,</w:t>
      </w:r>
    </w:p>
    <w:p w14:paraId="54A59B0B" w14:textId="7B56FB30" w:rsidR="008B5CB4" w:rsidRPr="00EC78A7" w:rsidRDefault="008B5CB4" w:rsidP="00F247C2">
      <w:pPr>
        <w:pStyle w:val="Normal-pool"/>
        <w:tabs>
          <w:tab w:val="clear" w:pos="1247"/>
          <w:tab w:val="clear" w:pos="1814"/>
          <w:tab w:val="clear" w:pos="2381"/>
          <w:tab w:val="clear" w:pos="2948"/>
          <w:tab w:val="clear" w:pos="3515"/>
          <w:tab w:val="clear" w:pos="4082"/>
          <w:tab w:val="left" w:pos="624"/>
        </w:tabs>
        <w:spacing w:after="120"/>
        <w:ind w:left="1247" w:firstLine="624"/>
      </w:pPr>
      <w:r w:rsidRPr="00F247C2">
        <w:rPr>
          <w:i/>
        </w:rPr>
        <w:t>Welcoming</w:t>
      </w:r>
      <w:r w:rsidRPr="00F247C2">
        <w:t xml:space="preserve"> the commitments of all the Contracting Parties to implement their obligations under the Convention and the partnership and cooperation that has allowed for accelerated implementation, and acknowledging the differences in capacities and </w:t>
      </w:r>
      <w:r w:rsidRPr="00B4614B">
        <w:t>need for capacity</w:t>
      </w:r>
      <w:r w:rsidR="00590D97" w:rsidRPr="00B4614B">
        <w:t>-</w:t>
      </w:r>
      <w:r w:rsidRPr="00B4614B">
        <w:t>building and technical</w:t>
      </w:r>
      <w:r w:rsidRPr="00EC78A7">
        <w:t xml:space="preserve"> assistance, </w:t>
      </w:r>
    </w:p>
    <w:p w14:paraId="7039E589" w14:textId="77777777" w:rsidR="008B5CB4" w:rsidRPr="00F247C2" w:rsidRDefault="008B5CB4" w:rsidP="00F247C2">
      <w:pPr>
        <w:pStyle w:val="Normal-pool"/>
        <w:tabs>
          <w:tab w:val="clear" w:pos="1247"/>
          <w:tab w:val="clear" w:pos="1814"/>
          <w:tab w:val="clear" w:pos="2381"/>
          <w:tab w:val="clear" w:pos="2948"/>
          <w:tab w:val="clear" w:pos="3515"/>
          <w:tab w:val="clear" w:pos="4082"/>
          <w:tab w:val="left" w:pos="624"/>
        </w:tabs>
        <w:spacing w:after="120"/>
        <w:ind w:left="1247" w:firstLine="624"/>
      </w:pPr>
      <w:r w:rsidRPr="00F247C2">
        <w:rPr>
          <w:i/>
          <w:iCs/>
        </w:rPr>
        <w:t>Determined</w:t>
      </w:r>
      <w:r w:rsidRPr="00F247C2">
        <w:t xml:space="preserve"> to continue our common efforts to tackle the existing and emerging challenges to the achievement of the good environmental status of the Mediterranean, and </w:t>
      </w:r>
      <w:r w:rsidRPr="00F247C2">
        <w:rPr>
          <w:i/>
          <w:iCs/>
        </w:rPr>
        <w:t xml:space="preserve">being aware </w:t>
      </w:r>
      <w:r w:rsidRPr="00F247C2">
        <w:rPr>
          <w:iCs/>
        </w:rPr>
        <w:t xml:space="preserve">that this increases expectations </w:t>
      </w:r>
      <w:r w:rsidRPr="00F247C2">
        <w:t>from the operation of the UNEP/MAP, its Regional Activity Centres and Programmes and its various strategies and action plans,</w:t>
      </w:r>
      <w:r w:rsidRPr="00F247C2" w:rsidDel="003A08E3">
        <w:t xml:space="preserve"> </w:t>
      </w:r>
    </w:p>
    <w:p w14:paraId="7827B23A" w14:textId="77777777" w:rsidR="008B5CB4" w:rsidRPr="00F247C2" w:rsidRDefault="008B5CB4" w:rsidP="00F247C2">
      <w:pPr>
        <w:pStyle w:val="Normal-pool"/>
        <w:tabs>
          <w:tab w:val="clear" w:pos="1247"/>
          <w:tab w:val="clear" w:pos="1814"/>
          <w:tab w:val="clear" w:pos="2381"/>
          <w:tab w:val="clear" w:pos="2948"/>
          <w:tab w:val="clear" w:pos="3515"/>
          <w:tab w:val="clear" w:pos="4082"/>
          <w:tab w:val="left" w:pos="624"/>
        </w:tabs>
        <w:spacing w:after="120"/>
        <w:ind w:left="1247" w:firstLine="624"/>
        <w:rPr>
          <w:iCs/>
        </w:rPr>
      </w:pPr>
      <w:r w:rsidRPr="00F247C2">
        <w:rPr>
          <w:i/>
          <w:iCs/>
        </w:rPr>
        <w:t xml:space="preserve">Welcoming </w:t>
      </w:r>
      <w:r w:rsidRPr="00F247C2">
        <w:rPr>
          <w:iCs/>
        </w:rPr>
        <w:t>the adoption by COP 19 of several new and updated MAP-Barcelona Convention regional policies, strategies and action plans to respond effectively to the growing environmental challenges that face the region and boost the implementation of the Barcelona Convention and its Protocols,</w:t>
      </w:r>
    </w:p>
    <w:p w14:paraId="25ED45D8" w14:textId="7187EBB0" w:rsidR="008B5CB4" w:rsidRPr="00F247C2" w:rsidRDefault="008B5CB4" w:rsidP="00F247C2">
      <w:pPr>
        <w:pStyle w:val="Normal-pool"/>
        <w:tabs>
          <w:tab w:val="clear" w:pos="1247"/>
          <w:tab w:val="clear" w:pos="1814"/>
          <w:tab w:val="clear" w:pos="2381"/>
          <w:tab w:val="clear" w:pos="2948"/>
          <w:tab w:val="clear" w:pos="3515"/>
          <w:tab w:val="clear" w:pos="4082"/>
          <w:tab w:val="left" w:pos="624"/>
        </w:tabs>
        <w:spacing w:after="120"/>
        <w:ind w:left="1247" w:firstLine="624"/>
        <w:rPr>
          <w:iCs/>
        </w:rPr>
      </w:pPr>
      <w:r w:rsidRPr="00F247C2">
        <w:rPr>
          <w:i/>
          <w:iCs/>
        </w:rPr>
        <w:lastRenderedPageBreak/>
        <w:t xml:space="preserve">Welcoming </w:t>
      </w:r>
      <w:r w:rsidRPr="00F247C2">
        <w:rPr>
          <w:iCs/>
        </w:rPr>
        <w:t xml:space="preserve">the efforts and measures taken by Contracting Parties and the Secretariat in the past biennium to strengthen and stabilize the MAP system and its activities and to respond to the complex challenges of the Mediterranean with renewed trust in the value and relevance of the </w:t>
      </w:r>
      <w:r w:rsidR="0087043B" w:rsidRPr="00F247C2">
        <w:rPr>
          <w:iCs/>
        </w:rPr>
        <w:br/>
      </w:r>
      <w:r w:rsidRPr="00F247C2">
        <w:rPr>
          <w:iCs/>
        </w:rPr>
        <w:t>MAP-Barcelona Convention and its Protocols,</w:t>
      </w:r>
    </w:p>
    <w:p w14:paraId="1A9D432B" w14:textId="0669A299" w:rsidR="008B5CB4" w:rsidRPr="00F247C2" w:rsidRDefault="008B5CB4" w:rsidP="00F247C2">
      <w:pPr>
        <w:pStyle w:val="Normal-pool"/>
        <w:tabs>
          <w:tab w:val="clear" w:pos="1247"/>
          <w:tab w:val="clear" w:pos="1814"/>
          <w:tab w:val="clear" w:pos="2381"/>
          <w:tab w:val="clear" w:pos="2948"/>
          <w:tab w:val="clear" w:pos="3515"/>
          <w:tab w:val="clear" w:pos="4082"/>
          <w:tab w:val="left" w:pos="624"/>
        </w:tabs>
        <w:spacing w:after="120"/>
        <w:ind w:left="1247" w:firstLine="624"/>
      </w:pPr>
      <w:r w:rsidRPr="00F247C2">
        <w:rPr>
          <w:i/>
          <w:iCs/>
        </w:rPr>
        <w:t>Recognizing with appreciation</w:t>
      </w:r>
      <w:r w:rsidRPr="00F247C2">
        <w:t xml:space="preserve"> the valuable contribution of national, regional, and international non-governmental organizations and other stakeholders in the work and achievements of the </w:t>
      </w:r>
      <w:r w:rsidR="0087043B" w:rsidRPr="00B4614B">
        <w:br/>
      </w:r>
      <w:r w:rsidRPr="00F247C2">
        <w:t xml:space="preserve">MAP-Barcelona Convention and its Protocols,  </w:t>
      </w:r>
    </w:p>
    <w:p w14:paraId="1E2677FA" w14:textId="52EF6356" w:rsidR="008B5CB4" w:rsidRPr="00F247C2" w:rsidRDefault="008B5CB4" w:rsidP="00F247C2">
      <w:pPr>
        <w:pStyle w:val="Normal-pool"/>
        <w:numPr>
          <w:ilvl w:val="3"/>
          <w:numId w:val="109"/>
        </w:numPr>
        <w:tabs>
          <w:tab w:val="clear" w:pos="1247"/>
          <w:tab w:val="clear" w:pos="1814"/>
          <w:tab w:val="clear" w:pos="2381"/>
          <w:tab w:val="clear" w:pos="2948"/>
          <w:tab w:val="clear" w:pos="3515"/>
          <w:tab w:val="clear" w:pos="4082"/>
          <w:tab w:val="left" w:pos="624"/>
        </w:tabs>
        <w:spacing w:after="120"/>
        <w:ind w:left="1247" w:firstLine="624"/>
      </w:pPr>
      <w:r w:rsidRPr="00F247C2">
        <w:rPr>
          <w:i/>
          <w:iCs/>
        </w:rPr>
        <w:t xml:space="preserve">Decide </w:t>
      </w:r>
      <w:r w:rsidRPr="00F247C2">
        <w:rPr>
          <w:iCs/>
        </w:rPr>
        <w:t>to renew</w:t>
      </w:r>
      <w:r w:rsidRPr="00F247C2">
        <w:rPr>
          <w:i/>
          <w:iCs/>
        </w:rPr>
        <w:t xml:space="preserve"> </w:t>
      </w:r>
      <w:r w:rsidRPr="00F247C2">
        <w:t>our commitment and step up our efforts to address together the challenges related to environmental protection and sustainable development of the Mediterranean Sea and coast, in the global framework of the 2030 Agenda for Sustainable Development</w:t>
      </w:r>
      <w:r w:rsidR="000B0155" w:rsidRPr="00B4614B">
        <w:t>;</w:t>
      </w:r>
    </w:p>
    <w:p w14:paraId="44D583DE" w14:textId="44C2C0AB" w:rsidR="008B5CB4" w:rsidRPr="00F247C2" w:rsidRDefault="008B5CB4" w:rsidP="00F247C2">
      <w:pPr>
        <w:pStyle w:val="Normal-pool"/>
        <w:numPr>
          <w:ilvl w:val="3"/>
          <w:numId w:val="109"/>
        </w:numPr>
        <w:tabs>
          <w:tab w:val="clear" w:pos="1247"/>
          <w:tab w:val="clear" w:pos="1814"/>
          <w:tab w:val="clear" w:pos="2381"/>
          <w:tab w:val="clear" w:pos="2948"/>
          <w:tab w:val="clear" w:pos="3515"/>
          <w:tab w:val="clear" w:pos="4082"/>
          <w:tab w:val="left" w:pos="624"/>
        </w:tabs>
        <w:spacing w:after="120"/>
        <w:ind w:left="1247" w:firstLine="624"/>
      </w:pPr>
      <w:r w:rsidRPr="00F247C2">
        <w:rPr>
          <w:i/>
          <w:iCs/>
        </w:rPr>
        <w:t>Resolve</w:t>
      </w:r>
      <w:r w:rsidRPr="00F247C2">
        <w:t xml:space="preserve"> to accelerate our efforts to ensure the implementation of the Convention and its protocols and to match the Mediterranean Action Plan’s past history of achievements and its ambitious goals</w:t>
      </w:r>
      <w:r w:rsidR="000B0155" w:rsidRPr="00B4614B">
        <w:t>;</w:t>
      </w:r>
    </w:p>
    <w:p w14:paraId="4E30B184" w14:textId="71FEC5BA" w:rsidR="008B5CB4" w:rsidRPr="00F247C2" w:rsidRDefault="008B5CB4" w:rsidP="00F247C2">
      <w:pPr>
        <w:pStyle w:val="Normal-pool"/>
        <w:numPr>
          <w:ilvl w:val="3"/>
          <w:numId w:val="109"/>
        </w:numPr>
        <w:tabs>
          <w:tab w:val="clear" w:pos="1247"/>
          <w:tab w:val="clear" w:pos="1814"/>
          <w:tab w:val="clear" w:pos="2381"/>
          <w:tab w:val="clear" w:pos="2948"/>
          <w:tab w:val="clear" w:pos="3515"/>
          <w:tab w:val="clear" w:pos="4082"/>
          <w:tab w:val="left" w:pos="624"/>
        </w:tabs>
        <w:spacing w:after="120"/>
        <w:ind w:left="1247" w:firstLine="624"/>
      </w:pPr>
      <w:r w:rsidRPr="00F247C2">
        <w:rPr>
          <w:i/>
          <w:iCs/>
        </w:rPr>
        <w:t>Commit</w:t>
      </w:r>
      <w:r w:rsidRPr="00F247C2">
        <w:rPr>
          <w:b/>
          <w:i/>
          <w:iCs/>
        </w:rPr>
        <w:t xml:space="preserve"> </w:t>
      </w:r>
      <w:r w:rsidRPr="00F247C2">
        <w:t xml:space="preserve">to further implement the Barcelona Convention and its Protocols at regional, </w:t>
      </w:r>
      <w:proofErr w:type="spellStart"/>
      <w:r w:rsidRPr="00F247C2">
        <w:t>subregional</w:t>
      </w:r>
      <w:proofErr w:type="spellEnd"/>
      <w:r w:rsidRPr="00F247C2">
        <w:t xml:space="preserve"> and national level</w:t>
      </w:r>
      <w:r w:rsidR="00590D97" w:rsidRPr="00B4614B">
        <w:t>s</w:t>
      </w:r>
      <w:r w:rsidRPr="00F247C2">
        <w:t>, with the application of the ecosystem approach as an overarching principle to achieve the Mediterranean Ecological Objectives and related targets towards good environmental status of the Mediterranean and to contribute to sustainable development</w:t>
      </w:r>
      <w:r w:rsidR="000B0155" w:rsidRPr="00B4614B">
        <w:t>;</w:t>
      </w:r>
    </w:p>
    <w:p w14:paraId="3D16F4F0" w14:textId="7EC7D3FB" w:rsidR="008B5CB4" w:rsidRPr="00F247C2" w:rsidRDefault="008B5CB4" w:rsidP="00F247C2">
      <w:pPr>
        <w:pStyle w:val="Normal-pool"/>
        <w:numPr>
          <w:ilvl w:val="3"/>
          <w:numId w:val="109"/>
        </w:numPr>
        <w:tabs>
          <w:tab w:val="clear" w:pos="1247"/>
          <w:tab w:val="clear" w:pos="1814"/>
          <w:tab w:val="clear" w:pos="2381"/>
          <w:tab w:val="clear" w:pos="2948"/>
          <w:tab w:val="clear" w:pos="3515"/>
          <w:tab w:val="clear" w:pos="4082"/>
          <w:tab w:val="left" w:pos="624"/>
        </w:tabs>
        <w:spacing w:after="120"/>
        <w:ind w:left="1247" w:firstLine="624"/>
      </w:pPr>
      <w:r w:rsidRPr="00F247C2">
        <w:rPr>
          <w:i/>
          <w:iCs/>
        </w:rPr>
        <w:t>Commit t</w:t>
      </w:r>
      <w:r w:rsidRPr="00F247C2">
        <w:t>o enhance measures to reduce pressures on marine and coastal environment, to stop the decline of endangered species and to safeguard and promote ecosystem services, and resource efficiency</w:t>
      </w:r>
      <w:r w:rsidR="000B0155" w:rsidRPr="00B4614B">
        <w:t>;</w:t>
      </w:r>
    </w:p>
    <w:p w14:paraId="34BF68D0" w14:textId="7E664592" w:rsidR="008B5CB4" w:rsidRPr="00F247C2" w:rsidRDefault="008B5CB4" w:rsidP="00F247C2">
      <w:pPr>
        <w:pStyle w:val="Normal-pool"/>
        <w:numPr>
          <w:ilvl w:val="3"/>
          <w:numId w:val="109"/>
        </w:numPr>
        <w:tabs>
          <w:tab w:val="clear" w:pos="1247"/>
          <w:tab w:val="clear" w:pos="1814"/>
          <w:tab w:val="clear" w:pos="2381"/>
          <w:tab w:val="clear" w:pos="2948"/>
          <w:tab w:val="clear" w:pos="3515"/>
          <w:tab w:val="clear" w:pos="4082"/>
          <w:tab w:val="left" w:pos="624"/>
        </w:tabs>
        <w:spacing w:after="120"/>
        <w:ind w:left="1247" w:firstLine="624"/>
      </w:pPr>
      <w:r w:rsidRPr="00F247C2">
        <w:rPr>
          <w:i/>
          <w:iCs/>
        </w:rPr>
        <w:t xml:space="preserve">Commit </w:t>
      </w:r>
      <w:r w:rsidRPr="00F247C2">
        <w:t>to implement the UNEP/MAP Mid-Term Strategy 2016</w:t>
      </w:r>
      <w:r w:rsidR="00590D97" w:rsidRPr="00B4614B">
        <w:t>–</w:t>
      </w:r>
      <w:r w:rsidRPr="00F247C2">
        <w:t>2021, as the strategic framework for a healthy Mediterranean with marine and coastal ecosystems that are productive and biologically diverse, contributing to sustainable development for the benefit of present and future generations</w:t>
      </w:r>
      <w:r w:rsidR="000B0155" w:rsidRPr="00B4614B">
        <w:t>;</w:t>
      </w:r>
    </w:p>
    <w:p w14:paraId="2E24D44C" w14:textId="3487EFFF" w:rsidR="008B5CB4" w:rsidRPr="00F247C2" w:rsidRDefault="008B5CB4" w:rsidP="00F247C2">
      <w:pPr>
        <w:pStyle w:val="Normal-pool"/>
        <w:numPr>
          <w:ilvl w:val="3"/>
          <w:numId w:val="109"/>
        </w:numPr>
        <w:tabs>
          <w:tab w:val="clear" w:pos="1247"/>
          <w:tab w:val="clear" w:pos="1814"/>
          <w:tab w:val="clear" w:pos="2381"/>
          <w:tab w:val="clear" w:pos="2948"/>
          <w:tab w:val="clear" w:pos="3515"/>
          <w:tab w:val="clear" w:pos="4082"/>
          <w:tab w:val="left" w:pos="624"/>
        </w:tabs>
        <w:spacing w:after="120"/>
        <w:ind w:left="1247" w:firstLine="624"/>
      </w:pPr>
      <w:r w:rsidRPr="00F247C2">
        <w:rPr>
          <w:i/>
          <w:iCs/>
        </w:rPr>
        <w:t xml:space="preserve"> Welcome</w:t>
      </w:r>
      <w:r w:rsidRPr="00F247C2">
        <w:rPr>
          <w:b/>
          <w:i/>
          <w:iCs/>
        </w:rPr>
        <w:t xml:space="preserve"> </w:t>
      </w:r>
      <w:r w:rsidRPr="00F247C2">
        <w:rPr>
          <w:iCs/>
        </w:rPr>
        <w:t>the adoption of</w:t>
      </w:r>
      <w:r w:rsidRPr="00F247C2">
        <w:rPr>
          <w:i/>
          <w:iCs/>
        </w:rPr>
        <w:t xml:space="preserve"> </w:t>
      </w:r>
      <w:r w:rsidRPr="00F247C2">
        <w:t>the Mediterranean Strategy for Sustainable Development (2016</w:t>
      </w:r>
      <w:r w:rsidR="00590D97" w:rsidRPr="00B4614B">
        <w:t>–</w:t>
      </w:r>
      <w:r w:rsidRPr="00F247C2">
        <w:t>2025) as a strategic guiding document for all stakeholders and partners to contribute to a sustainable future for the Mediterranean region</w:t>
      </w:r>
      <w:r w:rsidR="00590D97" w:rsidRPr="00B4614B">
        <w:t>,</w:t>
      </w:r>
      <w:r w:rsidRPr="00F247C2">
        <w:t xml:space="preserve"> and </w:t>
      </w:r>
      <w:r w:rsidRPr="00F247C2">
        <w:rPr>
          <w:bCs/>
          <w:i/>
        </w:rPr>
        <w:t>encourage</w:t>
      </w:r>
      <w:r w:rsidRPr="00F247C2">
        <w:t xml:space="preserve"> all partners to promote and support its implementation</w:t>
      </w:r>
      <w:r w:rsidR="000B0155" w:rsidRPr="00B4614B">
        <w:t>;</w:t>
      </w:r>
    </w:p>
    <w:p w14:paraId="55F12E31" w14:textId="5E0ECA26" w:rsidR="008B5CB4" w:rsidRPr="00F247C2" w:rsidRDefault="008B5CB4" w:rsidP="00F247C2">
      <w:pPr>
        <w:pStyle w:val="Normal-pool"/>
        <w:numPr>
          <w:ilvl w:val="3"/>
          <w:numId w:val="109"/>
        </w:numPr>
        <w:tabs>
          <w:tab w:val="clear" w:pos="1247"/>
          <w:tab w:val="clear" w:pos="1814"/>
          <w:tab w:val="clear" w:pos="2381"/>
          <w:tab w:val="clear" w:pos="2948"/>
          <w:tab w:val="clear" w:pos="3515"/>
          <w:tab w:val="clear" w:pos="4082"/>
          <w:tab w:val="left" w:pos="624"/>
        </w:tabs>
        <w:spacing w:after="120"/>
        <w:ind w:left="1247" w:firstLine="624"/>
      </w:pPr>
      <w:r w:rsidRPr="00F247C2">
        <w:rPr>
          <w:i/>
          <w:iCs/>
        </w:rPr>
        <w:t xml:space="preserve">Commit </w:t>
      </w:r>
      <w:r w:rsidRPr="00F247C2">
        <w:t>to implement the instruments, programmes, action plans and guidelines adopted at COP 19 as crucial means for the achievement of the objectives of the Barcelona Convention and its Protocols with renewed impetus</w:t>
      </w:r>
      <w:r w:rsidR="000B0155" w:rsidRPr="00B4614B">
        <w:t>;</w:t>
      </w:r>
    </w:p>
    <w:p w14:paraId="2085EBB0" w14:textId="75DB7296" w:rsidR="008B5CB4" w:rsidRPr="00F247C2" w:rsidRDefault="008B5CB4" w:rsidP="00F247C2">
      <w:pPr>
        <w:pStyle w:val="Normal-pool"/>
        <w:numPr>
          <w:ilvl w:val="3"/>
          <w:numId w:val="109"/>
        </w:numPr>
        <w:tabs>
          <w:tab w:val="clear" w:pos="1247"/>
          <w:tab w:val="clear" w:pos="1814"/>
          <w:tab w:val="clear" w:pos="2381"/>
          <w:tab w:val="clear" w:pos="2948"/>
          <w:tab w:val="clear" w:pos="3515"/>
          <w:tab w:val="clear" w:pos="4082"/>
          <w:tab w:val="left" w:pos="624"/>
        </w:tabs>
        <w:spacing w:after="120"/>
        <w:ind w:left="1247" w:firstLine="624"/>
      </w:pPr>
      <w:r w:rsidRPr="00F247C2">
        <w:rPr>
          <w:i/>
          <w:iCs/>
        </w:rPr>
        <w:t>Welcome,</w:t>
      </w:r>
      <w:r w:rsidRPr="00F247C2">
        <w:rPr>
          <w:iCs/>
        </w:rPr>
        <w:t xml:space="preserve"> as an example of an innovative financial mechanism for biodiversity, the establishment of a Trust Fund for Mediterranean MPAs promoted by Monaco, Tunisia and France and </w:t>
      </w:r>
      <w:r w:rsidRPr="00F247C2">
        <w:rPr>
          <w:bCs/>
          <w:i/>
          <w:iCs/>
        </w:rPr>
        <w:t>welcome</w:t>
      </w:r>
      <w:r w:rsidRPr="00F247C2">
        <w:rPr>
          <w:bCs/>
          <w:iCs/>
        </w:rPr>
        <w:t xml:space="preserve"> </w:t>
      </w:r>
      <w:r w:rsidRPr="00F247C2">
        <w:rPr>
          <w:iCs/>
        </w:rPr>
        <w:t>the progress made in this regard, in particular the financial contribution by Monaco</w:t>
      </w:r>
      <w:r w:rsidR="000B0155" w:rsidRPr="00B4614B">
        <w:rPr>
          <w:iCs/>
        </w:rPr>
        <w:t>;</w:t>
      </w:r>
    </w:p>
    <w:p w14:paraId="4CAF8944" w14:textId="55F470A0" w:rsidR="008B5CB4" w:rsidRPr="00F247C2" w:rsidRDefault="008B5CB4" w:rsidP="00F247C2">
      <w:pPr>
        <w:pStyle w:val="Normal-pool"/>
        <w:numPr>
          <w:ilvl w:val="3"/>
          <w:numId w:val="109"/>
        </w:numPr>
        <w:tabs>
          <w:tab w:val="clear" w:pos="1247"/>
          <w:tab w:val="clear" w:pos="1814"/>
          <w:tab w:val="clear" w:pos="2381"/>
          <w:tab w:val="clear" w:pos="2948"/>
          <w:tab w:val="clear" w:pos="3515"/>
          <w:tab w:val="clear" w:pos="4082"/>
          <w:tab w:val="left" w:pos="624"/>
        </w:tabs>
        <w:spacing w:after="120"/>
        <w:ind w:left="1247" w:firstLine="624"/>
      </w:pPr>
      <w:r w:rsidRPr="00F247C2">
        <w:rPr>
          <w:i/>
          <w:iCs/>
        </w:rPr>
        <w:t xml:space="preserve">Commit </w:t>
      </w:r>
      <w:r w:rsidRPr="00F247C2">
        <w:rPr>
          <w:iCs/>
        </w:rPr>
        <w:t xml:space="preserve">to </w:t>
      </w:r>
      <w:r w:rsidRPr="00F247C2">
        <w:t>take the necessary measures to ensure the effective implementation of the National Action Plans in accordance with the LBS Protocol of the Barcelona Convention and the related Regional Plans to progressively eliminate pollution reaching the Mediterranean sea with a particular focus on marine litter as an emerging issue of regional and global concern and with the goal of achieving its significant reduction by 2024 in synergy with relevant initiatives at global and regional levels</w:t>
      </w:r>
      <w:r w:rsidR="000B0155" w:rsidRPr="00B4614B">
        <w:t>;</w:t>
      </w:r>
    </w:p>
    <w:p w14:paraId="0531D6BD" w14:textId="61EDA927" w:rsidR="008B5CB4" w:rsidRPr="00F247C2" w:rsidRDefault="008B5CB4" w:rsidP="00F247C2">
      <w:pPr>
        <w:pStyle w:val="Normal-pool"/>
        <w:numPr>
          <w:ilvl w:val="3"/>
          <w:numId w:val="109"/>
        </w:numPr>
        <w:tabs>
          <w:tab w:val="clear" w:pos="1247"/>
          <w:tab w:val="clear" w:pos="1814"/>
          <w:tab w:val="clear" w:pos="2381"/>
          <w:tab w:val="clear" w:pos="2948"/>
          <w:tab w:val="clear" w:pos="3515"/>
          <w:tab w:val="clear" w:pos="4082"/>
          <w:tab w:val="left" w:pos="624"/>
        </w:tabs>
        <w:spacing w:after="120"/>
        <w:ind w:left="1247" w:firstLine="624"/>
      </w:pPr>
      <w:r w:rsidRPr="00F247C2">
        <w:rPr>
          <w:i/>
          <w:iCs/>
        </w:rPr>
        <w:t xml:space="preserve">Reaffirm </w:t>
      </w:r>
      <w:r w:rsidRPr="00F247C2">
        <w:t>our commitment to promote adaptation to climate change and increase the resilience of the Mediterranean marine and coastal, natural and socioeconomic systems to the impacts of climate change and to further elaborate the Regional Climate Change Adaptation Framework and translate it into action, making use of existing and new strategic instruments in collaboration with the United Nations Framework Convention on Climate Change and the United Nations Convention to combat desertification and in synergy with the Union for the Mediterranean</w:t>
      </w:r>
      <w:r w:rsidR="000B0155" w:rsidRPr="00B4614B">
        <w:t>;</w:t>
      </w:r>
    </w:p>
    <w:p w14:paraId="6407CCC0" w14:textId="715195D3" w:rsidR="008B5CB4" w:rsidRPr="00F247C2" w:rsidRDefault="008B5CB4" w:rsidP="00F247C2">
      <w:pPr>
        <w:pStyle w:val="Normal-pool"/>
        <w:numPr>
          <w:ilvl w:val="3"/>
          <w:numId w:val="109"/>
        </w:numPr>
        <w:tabs>
          <w:tab w:val="clear" w:pos="1247"/>
          <w:tab w:val="clear" w:pos="1814"/>
          <w:tab w:val="clear" w:pos="2381"/>
          <w:tab w:val="clear" w:pos="2948"/>
          <w:tab w:val="clear" w:pos="3515"/>
          <w:tab w:val="clear" w:pos="4082"/>
          <w:tab w:val="left" w:pos="624"/>
        </w:tabs>
        <w:spacing w:after="120"/>
        <w:ind w:left="1247" w:firstLine="624"/>
      </w:pPr>
      <w:r w:rsidRPr="00F247C2">
        <w:rPr>
          <w:i/>
        </w:rPr>
        <w:t>Commit</w:t>
      </w:r>
      <w:r w:rsidRPr="00F247C2">
        <w:t xml:space="preserve"> to continue our efforts for the implementation of the ICZM Protocol and Action Plan and to prepare the Mediterranean framework as a strategic tool for promotion of sustainable development and integrated management of coastal zones</w:t>
      </w:r>
      <w:r w:rsidR="000B0155" w:rsidRPr="00B4614B">
        <w:t>;</w:t>
      </w:r>
    </w:p>
    <w:p w14:paraId="1A46D584" w14:textId="786DFCB4" w:rsidR="008B5CB4" w:rsidRPr="00F247C2" w:rsidRDefault="008B5CB4" w:rsidP="00F247C2">
      <w:pPr>
        <w:pStyle w:val="Normal-pool"/>
        <w:numPr>
          <w:ilvl w:val="3"/>
          <w:numId w:val="109"/>
        </w:numPr>
        <w:tabs>
          <w:tab w:val="clear" w:pos="1247"/>
          <w:tab w:val="clear" w:pos="1814"/>
          <w:tab w:val="clear" w:pos="2381"/>
          <w:tab w:val="clear" w:pos="2948"/>
          <w:tab w:val="clear" w:pos="3515"/>
          <w:tab w:val="clear" w:pos="4082"/>
          <w:tab w:val="left" w:pos="624"/>
        </w:tabs>
        <w:spacing w:after="120"/>
        <w:ind w:left="1247" w:firstLine="624"/>
      </w:pPr>
      <w:r w:rsidRPr="00F247C2">
        <w:rPr>
          <w:i/>
          <w:iCs/>
        </w:rPr>
        <w:t>Commit</w:t>
      </w:r>
      <w:r w:rsidRPr="00F247C2">
        <w:rPr>
          <w:b/>
          <w:i/>
          <w:iCs/>
        </w:rPr>
        <w:t xml:space="preserve"> </w:t>
      </w:r>
      <w:r w:rsidRPr="00F247C2">
        <w:rPr>
          <w:i/>
          <w:iCs/>
        </w:rPr>
        <w:t>to</w:t>
      </w:r>
      <w:r w:rsidRPr="00F247C2">
        <w:t xml:space="preserve"> accelerate the shift towards sustainable consumption and production patterns and</w:t>
      </w:r>
      <w:r w:rsidR="00745E1A" w:rsidRPr="00B4614B">
        <w:t>,</w:t>
      </w:r>
      <w:r w:rsidRPr="00F247C2">
        <w:t xml:space="preserve"> as a first step</w:t>
      </w:r>
      <w:r w:rsidR="00745E1A" w:rsidRPr="00B4614B">
        <w:t>,</w:t>
      </w:r>
      <w:r w:rsidRPr="00F247C2">
        <w:t xml:space="preserve"> to implement the SCP Action Plan for the Mediterranean, acknowledging the need for capacity</w:t>
      </w:r>
      <w:r w:rsidR="00745E1A" w:rsidRPr="00B4614B">
        <w:t>-</w:t>
      </w:r>
      <w:r w:rsidRPr="00F247C2">
        <w:t>building and technology transfer in this matter</w:t>
      </w:r>
      <w:r w:rsidR="000B0155" w:rsidRPr="00B4614B">
        <w:t>;</w:t>
      </w:r>
      <w:r w:rsidRPr="00F247C2">
        <w:t xml:space="preserve"> </w:t>
      </w:r>
    </w:p>
    <w:p w14:paraId="2A79F4C8" w14:textId="004FB0CB" w:rsidR="008B5CB4" w:rsidRPr="00F247C2" w:rsidRDefault="008B5CB4" w:rsidP="00F247C2">
      <w:pPr>
        <w:pStyle w:val="Normal-pool"/>
        <w:numPr>
          <w:ilvl w:val="3"/>
          <w:numId w:val="109"/>
        </w:numPr>
        <w:tabs>
          <w:tab w:val="clear" w:pos="1247"/>
          <w:tab w:val="clear" w:pos="1814"/>
          <w:tab w:val="clear" w:pos="2381"/>
          <w:tab w:val="clear" w:pos="2948"/>
          <w:tab w:val="clear" w:pos="3515"/>
          <w:tab w:val="clear" w:pos="4082"/>
          <w:tab w:val="left" w:pos="624"/>
        </w:tabs>
        <w:spacing w:after="120"/>
        <w:ind w:left="1247" w:firstLine="624"/>
      </w:pPr>
      <w:r w:rsidRPr="00F247C2">
        <w:rPr>
          <w:bCs/>
          <w:iCs/>
        </w:rPr>
        <w:t xml:space="preserve">Mindful </w:t>
      </w:r>
      <w:r w:rsidRPr="00F247C2">
        <w:t xml:space="preserve">of the Mediterranean Strategy on Education for Sustainable Development, </w:t>
      </w:r>
      <w:r w:rsidRPr="00F247C2">
        <w:rPr>
          <w:i/>
          <w:iCs/>
        </w:rPr>
        <w:t>resolve</w:t>
      </w:r>
      <w:r w:rsidRPr="00F247C2">
        <w:t xml:space="preserve"> to enhance public awareness and the role of education promoting sustainability and the implementation of the SDGs in the Mediterranean</w:t>
      </w:r>
      <w:r w:rsidR="000B0155" w:rsidRPr="00B4614B">
        <w:t>;</w:t>
      </w:r>
    </w:p>
    <w:p w14:paraId="23B06F9B" w14:textId="0C3E12E6" w:rsidR="008B5CB4" w:rsidRPr="00F247C2" w:rsidRDefault="008B5CB4" w:rsidP="00F247C2">
      <w:pPr>
        <w:pStyle w:val="Normal-pool"/>
        <w:numPr>
          <w:ilvl w:val="3"/>
          <w:numId w:val="109"/>
        </w:numPr>
        <w:tabs>
          <w:tab w:val="clear" w:pos="1247"/>
          <w:tab w:val="clear" w:pos="1814"/>
          <w:tab w:val="clear" w:pos="2381"/>
          <w:tab w:val="clear" w:pos="2948"/>
          <w:tab w:val="clear" w:pos="3515"/>
          <w:tab w:val="clear" w:pos="4082"/>
          <w:tab w:val="left" w:pos="624"/>
        </w:tabs>
        <w:spacing w:after="120"/>
        <w:ind w:left="1247" w:firstLine="624"/>
      </w:pPr>
      <w:r w:rsidRPr="00F247C2">
        <w:rPr>
          <w:i/>
          <w:iCs/>
        </w:rPr>
        <w:lastRenderedPageBreak/>
        <w:t>Welcome</w:t>
      </w:r>
      <w:r w:rsidRPr="00F247C2">
        <w:t xml:space="preserve"> the establishment of the “Istanbul Environment Friendly City Award”, as a means to promote awareness on the importance of coastal cities and communities' efforts in improving their resilience</w:t>
      </w:r>
      <w:r w:rsidRPr="00F247C2" w:rsidDel="00AC44F7">
        <w:t xml:space="preserve"> </w:t>
      </w:r>
      <w:r w:rsidRPr="00F247C2">
        <w:t>and addressing pressures on the marine and coastal environment, in particular through the implementation of Sustainable Consumption and Production (SCP)</w:t>
      </w:r>
      <w:r w:rsidR="000B0155" w:rsidRPr="00B4614B">
        <w:t>;</w:t>
      </w:r>
      <w:r w:rsidRPr="00F247C2">
        <w:t xml:space="preserve"> </w:t>
      </w:r>
    </w:p>
    <w:p w14:paraId="42B643B5" w14:textId="1E63323A" w:rsidR="008B5CB4" w:rsidRPr="00F247C2" w:rsidRDefault="008B5CB4" w:rsidP="00F247C2">
      <w:pPr>
        <w:pStyle w:val="Normal-pool"/>
        <w:numPr>
          <w:ilvl w:val="3"/>
          <w:numId w:val="109"/>
        </w:numPr>
        <w:tabs>
          <w:tab w:val="clear" w:pos="1247"/>
          <w:tab w:val="clear" w:pos="1814"/>
          <w:tab w:val="clear" w:pos="2381"/>
          <w:tab w:val="clear" w:pos="2948"/>
          <w:tab w:val="clear" w:pos="3515"/>
          <w:tab w:val="clear" w:pos="4082"/>
          <w:tab w:val="left" w:pos="624"/>
        </w:tabs>
        <w:spacing w:after="120"/>
        <w:ind w:left="1247" w:firstLine="624"/>
      </w:pPr>
      <w:r w:rsidRPr="00F247C2">
        <w:rPr>
          <w:i/>
          <w:iCs/>
        </w:rPr>
        <w:t xml:space="preserve">Reaffirm </w:t>
      </w:r>
      <w:r w:rsidRPr="00F247C2">
        <w:t>our commitment to face new and emerging natural and socioeconomic challenges, such as climate change and increased migrant flows across the Mediterranean, to better protect the environment and increase its resilience</w:t>
      </w:r>
      <w:r w:rsidR="000B0155" w:rsidRPr="00B4614B">
        <w:t>;</w:t>
      </w:r>
    </w:p>
    <w:p w14:paraId="65504BA5" w14:textId="77777777" w:rsidR="008B5CB4" w:rsidRPr="00F247C2" w:rsidRDefault="008B5CB4" w:rsidP="00F247C2">
      <w:pPr>
        <w:pStyle w:val="Normal-pool"/>
        <w:numPr>
          <w:ilvl w:val="3"/>
          <w:numId w:val="109"/>
        </w:numPr>
        <w:tabs>
          <w:tab w:val="clear" w:pos="1247"/>
          <w:tab w:val="clear" w:pos="1814"/>
          <w:tab w:val="clear" w:pos="2381"/>
          <w:tab w:val="clear" w:pos="2948"/>
          <w:tab w:val="clear" w:pos="3515"/>
          <w:tab w:val="clear" w:pos="4082"/>
          <w:tab w:val="left" w:pos="624"/>
        </w:tabs>
        <w:spacing w:after="120"/>
        <w:ind w:left="1247" w:firstLine="624"/>
      </w:pPr>
      <w:r w:rsidRPr="00F247C2">
        <w:rPr>
          <w:i/>
          <w:iCs/>
        </w:rPr>
        <w:t>Invite</w:t>
      </w:r>
      <w:r w:rsidRPr="00F247C2">
        <w:t xml:space="preserve"> the President of the Contracting Parties to forward this declaration and the outcome of the 19th Meeting of the Contracting Parties, for the attention of the United Nations Environment Assembly (UNEA), other regional seas conventions and programmes, and other relevant organizations.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0"/>
        <w:gridCol w:w="1921"/>
        <w:gridCol w:w="1921"/>
        <w:gridCol w:w="1921"/>
        <w:gridCol w:w="1921"/>
      </w:tblGrid>
      <w:tr w:rsidR="00D46ED9" w:rsidRPr="00717C71" w14:paraId="50C06F6C" w14:textId="77777777" w:rsidTr="00D46ED9">
        <w:tc>
          <w:tcPr>
            <w:tcW w:w="1920" w:type="dxa"/>
          </w:tcPr>
          <w:p w14:paraId="292331A9" w14:textId="77777777" w:rsidR="00D46ED9" w:rsidRDefault="00D46ED9" w:rsidP="00D46ED9">
            <w:pPr>
              <w:pStyle w:val="Normalnumber"/>
              <w:numPr>
                <w:ilvl w:val="0"/>
                <w:numId w:val="0"/>
              </w:numPr>
              <w:tabs>
                <w:tab w:val="clear" w:pos="1247"/>
                <w:tab w:val="clear" w:pos="1871"/>
                <w:tab w:val="clear" w:pos="2495"/>
              </w:tabs>
              <w:spacing w:before="520" w:after="0"/>
            </w:pPr>
          </w:p>
        </w:tc>
        <w:tc>
          <w:tcPr>
            <w:tcW w:w="1921" w:type="dxa"/>
          </w:tcPr>
          <w:p w14:paraId="4634E614" w14:textId="77777777" w:rsidR="00D46ED9" w:rsidRDefault="00D46ED9" w:rsidP="00D46ED9">
            <w:pPr>
              <w:pStyle w:val="Normalnumber"/>
              <w:numPr>
                <w:ilvl w:val="0"/>
                <w:numId w:val="0"/>
              </w:numPr>
              <w:tabs>
                <w:tab w:val="clear" w:pos="1247"/>
                <w:tab w:val="clear" w:pos="1871"/>
                <w:tab w:val="clear" w:pos="2495"/>
              </w:tabs>
              <w:spacing w:before="520" w:after="0"/>
            </w:pPr>
          </w:p>
        </w:tc>
        <w:tc>
          <w:tcPr>
            <w:tcW w:w="1921" w:type="dxa"/>
            <w:tcBorders>
              <w:bottom w:val="single" w:sz="4" w:space="0" w:color="auto"/>
            </w:tcBorders>
          </w:tcPr>
          <w:p w14:paraId="766B6441" w14:textId="77777777" w:rsidR="00D46ED9" w:rsidRDefault="00D46ED9" w:rsidP="00D46ED9">
            <w:pPr>
              <w:pStyle w:val="Normalnumber"/>
              <w:numPr>
                <w:ilvl w:val="0"/>
                <w:numId w:val="0"/>
              </w:numPr>
              <w:tabs>
                <w:tab w:val="clear" w:pos="1247"/>
                <w:tab w:val="clear" w:pos="1871"/>
                <w:tab w:val="clear" w:pos="2495"/>
              </w:tabs>
              <w:spacing w:before="520" w:after="0"/>
            </w:pPr>
          </w:p>
        </w:tc>
        <w:tc>
          <w:tcPr>
            <w:tcW w:w="1921" w:type="dxa"/>
          </w:tcPr>
          <w:p w14:paraId="10F20D66" w14:textId="77777777" w:rsidR="00D46ED9" w:rsidRDefault="00D46ED9" w:rsidP="00D46ED9">
            <w:pPr>
              <w:pStyle w:val="Normalnumber"/>
              <w:numPr>
                <w:ilvl w:val="0"/>
                <w:numId w:val="0"/>
              </w:numPr>
              <w:tabs>
                <w:tab w:val="clear" w:pos="1247"/>
                <w:tab w:val="clear" w:pos="1871"/>
                <w:tab w:val="clear" w:pos="2495"/>
              </w:tabs>
              <w:spacing w:before="520" w:after="0"/>
            </w:pPr>
          </w:p>
        </w:tc>
        <w:tc>
          <w:tcPr>
            <w:tcW w:w="1921" w:type="dxa"/>
          </w:tcPr>
          <w:p w14:paraId="30F8B83B" w14:textId="77777777" w:rsidR="00D46ED9" w:rsidRDefault="00D46ED9" w:rsidP="00D46ED9">
            <w:pPr>
              <w:pStyle w:val="Normalnumber"/>
              <w:numPr>
                <w:ilvl w:val="0"/>
                <w:numId w:val="0"/>
              </w:numPr>
              <w:tabs>
                <w:tab w:val="clear" w:pos="1247"/>
                <w:tab w:val="clear" w:pos="1871"/>
                <w:tab w:val="clear" w:pos="2495"/>
              </w:tabs>
              <w:spacing w:before="520" w:after="0"/>
            </w:pPr>
          </w:p>
        </w:tc>
      </w:tr>
    </w:tbl>
    <w:p w14:paraId="017F60B9" w14:textId="77777777" w:rsidR="000E1536" w:rsidRPr="000E1536" w:rsidRDefault="000E1536" w:rsidP="00F247C2">
      <w:pPr>
        <w:pStyle w:val="Normal-pool"/>
      </w:pPr>
    </w:p>
    <w:sectPr w:rsidR="000E1536" w:rsidRPr="000E1536" w:rsidSect="009173F1">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0495D8" w14:textId="77777777" w:rsidR="004562FB" w:rsidRDefault="004562FB">
      <w:r>
        <w:separator/>
      </w:r>
    </w:p>
  </w:endnote>
  <w:endnote w:type="continuationSeparator" w:id="0">
    <w:p w14:paraId="36645261" w14:textId="77777777" w:rsidR="004562FB" w:rsidRDefault="00456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9693906"/>
      <w:docPartObj>
        <w:docPartGallery w:val="Page Numbers (Bottom of Page)"/>
        <w:docPartUnique/>
      </w:docPartObj>
    </w:sdtPr>
    <w:sdtEndPr>
      <w:rPr>
        <w:b/>
        <w:noProof/>
      </w:rPr>
    </w:sdtEndPr>
    <w:sdtContent>
      <w:p w14:paraId="46ED6565" w14:textId="6A489958" w:rsidR="00AA2EF8" w:rsidRPr="00F247C2" w:rsidRDefault="00AA2EF8">
        <w:pPr>
          <w:pStyle w:val="Footer"/>
          <w:rPr>
            <w:b/>
          </w:rPr>
        </w:pPr>
        <w:r w:rsidRPr="00F247C2">
          <w:rPr>
            <w:b/>
          </w:rPr>
          <w:fldChar w:fldCharType="begin"/>
        </w:r>
        <w:r w:rsidRPr="00F247C2">
          <w:rPr>
            <w:b/>
          </w:rPr>
          <w:instrText xml:space="preserve"> PAGE   \* MERGEFORMAT </w:instrText>
        </w:r>
        <w:r w:rsidRPr="00F247C2">
          <w:rPr>
            <w:b/>
          </w:rPr>
          <w:fldChar w:fldCharType="separate"/>
        </w:r>
        <w:r w:rsidR="00DC7F32">
          <w:rPr>
            <w:b/>
            <w:noProof/>
          </w:rPr>
          <w:t>4</w:t>
        </w:r>
        <w:r w:rsidRPr="00F247C2">
          <w:rPr>
            <w:b/>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0124203"/>
      <w:docPartObj>
        <w:docPartGallery w:val="Page Numbers (Bottom of Page)"/>
        <w:docPartUnique/>
      </w:docPartObj>
    </w:sdtPr>
    <w:sdtEndPr>
      <w:rPr>
        <w:b/>
        <w:noProof/>
      </w:rPr>
    </w:sdtEndPr>
    <w:sdtContent>
      <w:p w14:paraId="6C5B188C" w14:textId="01982355" w:rsidR="00AA2EF8" w:rsidRPr="00F247C2" w:rsidRDefault="00AA2EF8" w:rsidP="00F247C2">
        <w:pPr>
          <w:pStyle w:val="Footer"/>
          <w:jc w:val="right"/>
          <w:rPr>
            <w:b/>
          </w:rPr>
        </w:pPr>
        <w:r w:rsidRPr="00F247C2">
          <w:rPr>
            <w:b/>
          </w:rPr>
          <w:fldChar w:fldCharType="begin"/>
        </w:r>
        <w:r w:rsidRPr="00F247C2">
          <w:rPr>
            <w:b/>
          </w:rPr>
          <w:instrText xml:space="preserve"> PAGE   \* MERGEFORMAT </w:instrText>
        </w:r>
        <w:r w:rsidRPr="00F247C2">
          <w:rPr>
            <w:b/>
          </w:rPr>
          <w:fldChar w:fldCharType="separate"/>
        </w:r>
        <w:r w:rsidR="00DC7F32">
          <w:rPr>
            <w:b/>
            <w:noProof/>
          </w:rPr>
          <w:t>3</w:t>
        </w:r>
        <w:r w:rsidRPr="00F247C2">
          <w:rPr>
            <w:b/>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77306" w14:textId="4E603877" w:rsidR="003C3F8D" w:rsidRPr="00F247C2" w:rsidRDefault="00AA2EF8" w:rsidP="00F247C2">
    <w:pPr>
      <w:pStyle w:val="Normal-pool"/>
      <w:rPr>
        <w:sz w:val="18"/>
      </w:rPr>
    </w:pPr>
    <w:r w:rsidRPr="00F247C2">
      <w:t>K1605468</w:t>
    </w:r>
    <w:r w:rsidRPr="00F247C2">
      <w:tab/>
    </w:r>
    <w:r w:rsidR="00757360">
      <w:t>20</w:t>
    </w:r>
    <w:r w:rsidRPr="00F247C2">
      <w:t>0516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0E21F6" w14:textId="77777777" w:rsidR="004562FB" w:rsidRPr="00FA582B" w:rsidRDefault="004562FB" w:rsidP="006365AD">
      <w:pPr>
        <w:tabs>
          <w:tab w:val="clear" w:pos="1247"/>
          <w:tab w:val="clear" w:pos="1814"/>
          <w:tab w:val="clear" w:pos="2381"/>
          <w:tab w:val="clear" w:pos="2948"/>
          <w:tab w:val="clear" w:pos="3515"/>
          <w:tab w:val="left" w:pos="624"/>
        </w:tabs>
        <w:spacing w:before="60"/>
        <w:ind w:left="624"/>
        <w:rPr>
          <w:sz w:val="18"/>
          <w:szCs w:val="18"/>
        </w:rPr>
      </w:pPr>
      <w:r w:rsidRPr="00FA582B">
        <w:rPr>
          <w:sz w:val="18"/>
          <w:szCs w:val="18"/>
        </w:rPr>
        <w:separator/>
      </w:r>
    </w:p>
  </w:footnote>
  <w:footnote w:type="continuationSeparator" w:id="0">
    <w:p w14:paraId="7B7D7C10" w14:textId="77777777" w:rsidR="004562FB" w:rsidRDefault="004562FB">
      <w:r>
        <w:continuationSeparator/>
      </w:r>
    </w:p>
  </w:footnote>
  <w:footnote w:id="1">
    <w:p w14:paraId="5472F16D" w14:textId="1FB04939" w:rsidR="008B5CB4" w:rsidRPr="00F247C2" w:rsidRDefault="008B5CB4" w:rsidP="008B5CB4">
      <w:pPr>
        <w:pStyle w:val="FootnoteText"/>
        <w:tabs>
          <w:tab w:val="clear" w:pos="1247"/>
          <w:tab w:val="clear" w:pos="1814"/>
          <w:tab w:val="clear" w:pos="2381"/>
          <w:tab w:val="clear" w:pos="2948"/>
          <w:tab w:val="clear" w:pos="3515"/>
          <w:tab w:val="clear" w:pos="4082"/>
          <w:tab w:val="left" w:pos="624"/>
        </w:tabs>
        <w:rPr>
          <w:szCs w:val="18"/>
          <w:lang w:val="en-US"/>
        </w:rPr>
      </w:pPr>
      <w:r w:rsidRPr="001B2AEA">
        <w:rPr>
          <w:rStyle w:val="FootnoteReference"/>
          <w:sz w:val="18"/>
          <w:vertAlign w:val="baseline"/>
        </w:rPr>
        <w:sym w:font="Symbol" w:char="F02A"/>
      </w:r>
      <w:r w:rsidRPr="00F247C2">
        <w:rPr>
          <w:szCs w:val="18"/>
          <w:vertAlign w:val="superscript"/>
          <w:lang w:val="en-US"/>
        </w:rPr>
        <w:t xml:space="preserve"> </w:t>
      </w:r>
      <w:r w:rsidRPr="00F247C2">
        <w:rPr>
          <w:szCs w:val="18"/>
          <w:lang w:val="en-US"/>
        </w:rPr>
        <w:t>UNEP//EA.2/1</w:t>
      </w:r>
      <w:r w:rsidR="00717C71">
        <w:rPr>
          <w:szCs w:val="18"/>
          <w:lang w:val="en-US"/>
        </w:rPr>
        <w:t>/Rev.1</w:t>
      </w:r>
      <w:r w:rsidRPr="00F247C2">
        <w:rPr>
          <w:szCs w:val="18"/>
          <w:lang w:val="en-US"/>
        </w:rPr>
        <w:t>.</w:t>
      </w:r>
    </w:p>
  </w:footnote>
  <w:footnote w:id="2">
    <w:p w14:paraId="18FE68F8" w14:textId="77777777" w:rsidR="0076114C" w:rsidRPr="00F247C2" w:rsidRDefault="0076114C" w:rsidP="0076114C">
      <w:pPr>
        <w:pStyle w:val="FootnoteText"/>
        <w:rPr>
          <w:szCs w:val="18"/>
          <w:lang w:val="en-US"/>
        </w:rPr>
      </w:pPr>
      <w:r w:rsidRPr="0076114C">
        <w:rPr>
          <w:rStyle w:val="FootnoteReference"/>
          <w:sz w:val="18"/>
        </w:rPr>
        <w:footnoteRef/>
      </w:r>
      <w:r w:rsidRPr="00F247C2">
        <w:rPr>
          <w:szCs w:val="18"/>
          <w:lang w:val="en-US"/>
        </w:rPr>
        <w:t xml:space="preserve"> The annex is presented as received by the secretariat, without formal editing.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2D304" w14:textId="2E846A9F" w:rsidR="003C3F8D" w:rsidRPr="00EA52F2" w:rsidRDefault="003C3F8D" w:rsidP="00FA582B">
    <w:pPr>
      <w:pStyle w:val="Header"/>
    </w:pPr>
    <w:r w:rsidRPr="00E274B1">
      <w:rPr>
        <w:bCs/>
        <w:szCs w:val="18"/>
      </w:rPr>
      <w:t>UNEP</w:t>
    </w:r>
    <w:r w:rsidRPr="00E274B1">
      <w:rPr>
        <w:szCs w:val="18"/>
      </w:rPr>
      <w:t>/EA.</w:t>
    </w:r>
    <w:r w:rsidR="008B5CB4">
      <w:rPr>
        <w:szCs w:val="18"/>
      </w:rPr>
      <w:t>2/INF/</w:t>
    </w:r>
    <w:r w:rsidR="0076114C">
      <w:rPr>
        <w:szCs w:val="18"/>
      </w:rPr>
      <w:t>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A0A31" w14:textId="590F86D9" w:rsidR="00AA2EF8" w:rsidRDefault="00AA2EF8" w:rsidP="00F247C2">
    <w:pPr>
      <w:pStyle w:val="Header"/>
      <w:jc w:val="right"/>
    </w:pPr>
    <w:r w:rsidRPr="00E274B1">
      <w:rPr>
        <w:bCs/>
        <w:szCs w:val="18"/>
      </w:rPr>
      <w:t>UNEP</w:t>
    </w:r>
    <w:r w:rsidRPr="00E274B1">
      <w:rPr>
        <w:szCs w:val="18"/>
      </w:rPr>
      <w:t>/EA.</w:t>
    </w:r>
    <w:r>
      <w:rPr>
        <w:szCs w:val="18"/>
      </w:rPr>
      <w:t>2/INF/</w:t>
    </w:r>
    <w:r w:rsidR="0076114C">
      <w:rPr>
        <w:szCs w:val="18"/>
      </w:rPr>
      <w:t>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FD73D" w14:textId="38B0907B" w:rsidR="003C3F8D" w:rsidRPr="00AA2EF8" w:rsidRDefault="003C3F8D" w:rsidP="00AA2EF8">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3076E"/>
    <w:multiLevelType w:val="hybridMultilevel"/>
    <w:tmpl w:val="4E54790A"/>
    <w:lvl w:ilvl="0" w:tplc="A8008E80">
      <w:start w:val="1"/>
      <w:numFmt w:val="lowerLetter"/>
      <w:lvlText w:val="(%1)"/>
      <w:lvlJc w:val="left"/>
      <w:pPr>
        <w:ind w:left="2231" w:hanging="360"/>
      </w:pPr>
      <w:rPr>
        <w:rFonts w:hint="default"/>
        <w:b w:val="0"/>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
    <w:nsid w:val="07EA3A40"/>
    <w:multiLevelType w:val="multilevel"/>
    <w:tmpl w:val="F0245300"/>
    <w:styleLink w:val="List21"/>
    <w:lvl w:ilvl="0">
      <w:start w:val="1"/>
      <w:numFmt w:val="decimal"/>
      <w:lvlText w:val="%1."/>
      <w:lvlJc w:val="left"/>
      <w:pPr>
        <w:tabs>
          <w:tab w:val="num" w:pos="720"/>
        </w:tabs>
        <w:ind w:left="720" w:hanging="360"/>
      </w:pPr>
      <w:rPr>
        <w:position w:val="0"/>
        <w:sz w:val="24"/>
        <w:szCs w:val="24"/>
        <w:lang w:val="en-US"/>
      </w:rPr>
    </w:lvl>
    <w:lvl w:ilvl="1">
      <w:start w:val="1"/>
      <w:numFmt w:val="lowerLetter"/>
      <w:lvlText w:val="%2."/>
      <w:lvlJc w:val="left"/>
      <w:pPr>
        <w:tabs>
          <w:tab w:val="num" w:pos="1440"/>
        </w:tabs>
        <w:ind w:left="1440" w:hanging="360"/>
      </w:pPr>
      <w:rPr>
        <w:position w:val="0"/>
        <w:sz w:val="24"/>
        <w:szCs w:val="24"/>
        <w:lang w:val="en-US"/>
      </w:rPr>
    </w:lvl>
    <w:lvl w:ilvl="2">
      <w:start w:val="1"/>
      <w:numFmt w:val="lowerRoman"/>
      <w:lvlText w:val="%3."/>
      <w:lvlJc w:val="left"/>
      <w:pPr>
        <w:tabs>
          <w:tab w:val="num" w:pos="2160"/>
        </w:tabs>
        <w:ind w:left="2160" w:hanging="296"/>
      </w:pPr>
      <w:rPr>
        <w:position w:val="0"/>
        <w:sz w:val="24"/>
        <w:szCs w:val="24"/>
        <w:lang w:val="en-US"/>
      </w:rPr>
    </w:lvl>
    <w:lvl w:ilvl="3">
      <w:start w:val="1"/>
      <w:numFmt w:val="decimal"/>
      <w:lvlText w:val="%4."/>
      <w:lvlJc w:val="left"/>
      <w:pPr>
        <w:tabs>
          <w:tab w:val="num" w:pos="2880"/>
        </w:tabs>
        <w:ind w:left="2880" w:hanging="360"/>
      </w:pPr>
      <w:rPr>
        <w:position w:val="0"/>
        <w:sz w:val="24"/>
        <w:szCs w:val="24"/>
        <w:lang w:val="en-US"/>
      </w:rPr>
    </w:lvl>
    <w:lvl w:ilvl="4">
      <w:start w:val="1"/>
      <w:numFmt w:val="lowerLetter"/>
      <w:lvlText w:val="%5."/>
      <w:lvlJc w:val="left"/>
      <w:pPr>
        <w:tabs>
          <w:tab w:val="num" w:pos="3600"/>
        </w:tabs>
        <w:ind w:left="3600" w:hanging="360"/>
      </w:pPr>
      <w:rPr>
        <w:position w:val="0"/>
        <w:sz w:val="24"/>
        <w:szCs w:val="24"/>
        <w:lang w:val="en-US"/>
      </w:rPr>
    </w:lvl>
    <w:lvl w:ilvl="5">
      <w:start w:val="1"/>
      <w:numFmt w:val="lowerRoman"/>
      <w:lvlText w:val="%6."/>
      <w:lvlJc w:val="left"/>
      <w:pPr>
        <w:tabs>
          <w:tab w:val="num" w:pos="4320"/>
        </w:tabs>
        <w:ind w:left="4320" w:hanging="296"/>
      </w:pPr>
      <w:rPr>
        <w:position w:val="0"/>
        <w:sz w:val="24"/>
        <w:szCs w:val="24"/>
        <w:lang w:val="en-US"/>
      </w:rPr>
    </w:lvl>
    <w:lvl w:ilvl="6">
      <w:start w:val="1"/>
      <w:numFmt w:val="decimal"/>
      <w:lvlText w:val="%7."/>
      <w:lvlJc w:val="left"/>
      <w:pPr>
        <w:tabs>
          <w:tab w:val="num" w:pos="5040"/>
        </w:tabs>
        <w:ind w:left="5040" w:hanging="360"/>
      </w:pPr>
      <w:rPr>
        <w:position w:val="0"/>
        <w:sz w:val="24"/>
        <w:szCs w:val="24"/>
        <w:lang w:val="en-US"/>
      </w:rPr>
    </w:lvl>
    <w:lvl w:ilvl="7">
      <w:start w:val="1"/>
      <w:numFmt w:val="lowerLetter"/>
      <w:lvlText w:val="%8."/>
      <w:lvlJc w:val="left"/>
      <w:pPr>
        <w:tabs>
          <w:tab w:val="num" w:pos="5760"/>
        </w:tabs>
        <w:ind w:left="5760" w:hanging="360"/>
      </w:pPr>
      <w:rPr>
        <w:position w:val="0"/>
        <w:sz w:val="24"/>
        <w:szCs w:val="24"/>
        <w:lang w:val="en-US"/>
      </w:rPr>
    </w:lvl>
    <w:lvl w:ilvl="8">
      <w:start w:val="1"/>
      <w:numFmt w:val="lowerRoman"/>
      <w:lvlText w:val="%9."/>
      <w:lvlJc w:val="left"/>
      <w:pPr>
        <w:tabs>
          <w:tab w:val="num" w:pos="6480"/>
        </w:tabs>
        <w:ind w:left="6480" w:hanging="296"/>
      </w:pPr>
      <w:rPr>
        <w:position w:val="0"/>
        <w:sz w:val="24"/>
        <w:szCs w:val="24"/>
        <w:lang w:val="en-US"/>
      </w:rPr>
    </w:lvl>
  </w:abstractNum>
  <w:abstractNum w:abstractNumId="2">
    <w:nsid w:val="08AA1E1C"/>
    <w:multiLevelType w:val="hybridMultilevel"/>
    <w:tmpl w:val="9DA2B6C2"/>
    <w:lvl w:ilvl="0" w:tplc="97FAE6F8">
      <w:start w:val="1"/>
      <w:numFmt w:val="decimal"/>
      <w:lvlText w:val="%1."/>
      <w:lvlJc w:val="left"/>
      <w:pPr>
        <w:ind w:left="720" w:hanging="360"/>
      </w:pPr>
      <w:rPr>
        <w:rFonts w:asciiTheme="majorBidi" w:eastAsia="Times New Roman" w:hAnsiTheme="majorBidi" w:cstheme="majorBidi" w:hint="default"/>
      </w:rPr>
    </w:lvl>
    <w:lvl w:ilvl="1" w:tplc="A8008E80">
      <w:start w:val="1"/>
      <w:numFmt w:val="lowerLetter"/>
      <w:lvlText w:val="(%2)"/>
      <w:lvlJc w:val="left"/>
      <w:pPr>
        <w:ind w:left="1080" w:hanging="360"/>
      </w:pPr>
      <w:rPr>
        <w:rFonts w:hint="default"/>
      </w:rPr>
    </w:lvl>
    <w:lvl w:ilvl="2" w:tplc="1E2CC248">
      <w:start w:val="1"/>
      <w:numFmt w:val="upp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E8E0705"/>
    <w:multiLevelType w:val="hybridMultilevel"/>
    <w:tmpl w:val="17789E3C"/>
    <w:lvl w:ilvl="0" w:tplc="E8A6DDB0">
      <w:start w:val="1"/>
      <w:numFmt w:val="lowerRoman"/>
      <w:lvlText w:val="(%1)"/>
      <w:lvlJc w:val="left"/>
      <w:pPr>
        <w:ind w:left="2233" w:hanging="360"/>
      </w:pPr>
      <w:rPr>
        <w:rFonts w:hint="default"/>
        <w:b w:val="0"/>
      </w:rPr>
    </w:lvl>
    <w:lvl w:ilvl="1" w:tplc="04090019" w:tentative="1">
      <w:start w:val="1"/>
      <w:numFmt w:val="lowerLetter"/>
      <w:lvlText w:val="%2."/>
      <w:lvlJc w:val="left"/>
      <w:pPr>
        <w:ind w:left="2784" w:hanging="360"/>
      </w:pPr>
    </w:lvl>
    <w:lvl w:ilvl="2" w:tplc="0409001B" w:tentative="1">
      <w:start w:val="1"/>
      <w:numFmt w:val="lowerRoman"/>
      <w:lvlText w:val="%3."/>
      <w:lvlJc w:val="right"/>
      <w:pPr>
        <w:ind w:left="3504" w:hanging="180"/>
      </w:pPr>
    </w:lvl>
    <w:lvl w:ilvl="3" w:tplc="0409000F" w:tentative="1">
      <w:start w:val="1"/>
      <w:numFmt w:val="decimal"/>
      <w:lvlText w:val="%4."/>
      <w:lvlJc w:val="left"/>
      <w:pPr>
        <w:ind w:left="4224" w:hanging="360"/>
      </w:pPr>
    </w:lvl>
    <w:lvl w:ilvl="4" w:tplc="04090019" w:tentative="1">
      <w:start w:val="1"/>
      <w:numFmt w:val="lowerLetter"/>
      <w:lvlText w:val="%5."/>
      <w:lvlJc w:val="left"/>
      <w:pPr>
        <w:ind w:left="4944" w:hanging="360"/>
      </w:pPr>
    </w:lvl>
    <w:lvl w:ilvl="5" w:tplc="0409001B" w:tentative="1">
      <w:start w:val="1"/>
      <w:numFmt w:val="lowerRoman"/>
      <w:lvlText w:val="%6."/>
      <w:lvlJc w:val="right"/>
      <w:pPr>
        <w:ind w:left="5664" w:hanging="180"/>
      </w:pPr>
    </w:lvl>
    <w:lvl w:ilvl="6" w:tplc="0409000F" w:tentative="1">
      <w:start w:val="1"/>
      <w:numFmt w:val="decimal"/>
      <w:lvlText w:val="%7."/>
      <w:lvlJc w:val="left"/>
      <w:pPr>
        <w:ind w:left="6384" w:hanging="360"/>
      </w:pPr>
    </w:lvl>
    <w:lvl w:ilvl="7" w:tplc="04090019" w:tentative="1">
      <w:start w:val="1"/>
      <w:numFmt w:val="lowerLetter"/>
      <w:lvlText w:val="%8."/>
      <w:lvlJc w:val="left"/>
      <w:pPr>
        <w:ind w:left="7104" w:hanging="360"/>
      </w:pPr>
    </w:lvl>
    <w:lvl w:ilvl="8" w:tplc="0409001B" w:tentative="1">
      <w:start w:val="1"/>
      <w:numFmt w:val="lowerRoman"/>
      <w:lvlText w:val="%9."/>
      <w:lvlJc w:val="right"/>
      <w:pPr>
        <w:ind w:left="7824" w:hanging="180"/>
      </w:pPr>
    </w:lvl>
  </w:abstractNum>
  <w:abstractNum w:abstractNumId="4">
    <w:nsid w:val="115B0F45"/>
    <w:multiLevelType w:val="hybridMultilevel"/>
    <w:tmpl w:val="1FD20FFE"/>
    <w:lvl w:ilvl="0" w:tplc="A8008E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17A245DE"/>
    <w:multiLevelType w:val="hybridMultilevel"/>
    <w:tmpl w:val="3A7026E6"/>
    <w:lvl w:ilvl="0" w:tplc="EE1413A0">
      <w:start w:val="1"/>
      <w:numFmt w:val="decimal"/>
      <w:pStyle w:val="Normalnumber"/>
      <w:lvlText w:val="%1."/>
      <w:lvlJc w:val="left"/>
      <w:pPr>
        <w:ind w:left="2231" w:hanging="360"/>
      </w:pPr>
      <w:rPr>
        <w:b w:val="0"/>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7">
    <w:nsid w:val="1BD317E8"/>
    <w:multiLevelType w:val="hybridMultilevel"/>
    <w:tmpl w:val="18B6793C"/>
    <w:lvl w:ilvl="0" w:tplc="1E2CC248">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10521F"/>
    <w:multiLevelType w:val="hybridMultilevel"/>
    <w:tmpl w:val="14D48896"/>
    <w:lvl w:ilvl="0" w:tplc="04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2B633109"/>
    <w:multiLevelType w:val="hybridMultilevel"/>
    <w:tmpl w:val="CA72199E"/>
    <w:lvl w:ilvl="0" w:tplc="A8008E80">
      <w:start w:val="1"/>
      <w:numFmt w:val="lowerLetter"/>
      <w:lvlText w:val="(%1)"/>
      <w:lvlJc w:val="left"/>
      <w:pPr>
        <w:ind w:left="2629"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317175E1"/>
    <w:multiLevelType w:val="hybridMultilevel"/>
    <w:tmpl w:val="17789E3C"/>
    <w:lvl w:ilvl="0" w:tplc="E8A6DDB0">
      <w:start w:val="1"/>
      <w:numFmt w:val="lowerRoman"/>
      <w:lvlText w:val="(%1)"/>
      <w:lvlJc w:val="left"/>
      <w:pPr>
        <w:ind w:left="2233" w:hanging="360"/>
      </w:pPr>
      <w:rPr>
        <w:rFonts w:hint="default"/>
        <w:b w:val="0"/>
      </w:rPr>
    </w:lvl>
    <w:lvl w:ilvl="1" w:tplc="04090019" w:tentative="1">
      <w:start w:val="1"/>
      <w:numFmt w:val="lowerLetter"/>
      <w:lvlText w:val="%2."/>
      <w:lvlJc w:val="left"/>
      <w:pPr>
        <w:ind w:left="2784" w:hanging="360"/>
      </w:pPr>
    </w:lvl>
    <w:lvl w:ilvl="2" w:tplc="0409001B" w:tentative="1">
      <w:start w:val="1"/>
      <w:numFmt w:val="lowerRoman"/>
      <w:lvlText w:val="%3."/>
      <w:lvlJc w:val="right"/>
      <w:pPr>
        <w:ind w:left="3504" w:hanging="180"/>
      </w:pPr>
    </w:lvl>
    <w:lvl w:ilvl="3" w:tplc="0409000F" w:tentative="1">
      <w:start w:val="1"/>
      <w:numFmt w:val="decimal"/>
      <w:lvlText w:val="%4."/>
      <w:lvlJc w:val="left"/>
      <w:pPr>
        <w:ind w:left="4224" w:hanging="360"/>
      </w:pPr>
    </w:lvl>
    <w:lvl w:ilvl="4" w:tplc="04090019" w:tentative="1">
      <w:start w:val="1"/>
      <w:numFmt w:val="lowerLetter"/>
      <w:lvlText w:val="%5."/>
      <w:lvlJc w:val="left"/>
      <w:pPr>
        <w:ind w:left="4944" w:hanging="360"/>
      </w:pPr>
    </w:lvl>
    <w:lvl w:ilvl="5" w:tplc="0409001B" w:tentative="1">
      <w:start w:val="1"/>
      <w:numFmt w:val="lowerRoman"/>
      <w:lvlText w:val="%6."/>
      <w:lvlJc w:val="right"/>
      <w:pPr>
        <w:ind w:left="5664" w:hanging="180"/>
      </w:pPr>
    </w:lvl>
    <w:lvl w:ilvl="6" w:tplc="0409000F" w:tentative="1">
      <w:start w:val="1"/>
      <w:numFmt w:val="decimal"/>
      <w:lvlText w:val="%7."/>
      <w:lvlJc w:val="left"/>
      <w:pPr>
        <w:ind w:left="6384" w:hanging="360"/>
      </w:pPr>
    </w:lvl>
    <w:lvl w:ilvl="7" w:tplc="04090019" w:tentative="1">
      <w:start w:val="1"/>
      <w:numFmt w:val="lowerLetter"/>
      <w:lvlText w:val="%8."/>
      <w:lvlJc w:val="left"/>
      <w:pPr>
        <w:ind w:left="7104" w:hanging="360"/>
      </w:pPr>
    </w:lvl>
    <w:lvl w:ilvl="8" w:tplc="0409001B" w:tentative="1">
      <w:start w:val="1"/>
      <w:numFmt w:val="lowerRoman"/>
      <w:lvlText w:val="%9."/>
      <w:lvlJc w:val="right"/>
      <w:pPr>
        <w:ind w:left="7824" w:hanging="180"/>
      </w:pPr>
    </w:lvl>
  </w:abstractNum>
  <w:abstractNum w:abstractNumId="11">
    <w:nsid w:val="346951AB"/>
    <w:multiLevelType w:val="hybridMultilevel"/>
    <w:tmpl w:val="14D48896"/>
    <w:lvl w:ilvl="0" w:tplc="04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3">
    <w:nsid w:val="3AEA5061"/>
    <w:multiLevelType w:val="hybridMultilevel"/>
    <w:tmpl w:val="CED42FC6"/>
    <w:lvl w:ilvl="0" w:tplc="97FAE6F8">
      <w:start w:val="1"/>
      <w:numFmt w:val="decimal"/>
      <w:lvlText w:val="%1."/>
      <w:lvlJc w:val="left"/>
      <w:pPr>
        <w:ind w:left="720" w:hanging="360"/>
      </w:pPr>
      <w:rPr>
        <w:rFonts w:asciiTheme="majorBidi" w:eastAsia="Times New Roman" w:hAnsiTheme="majorBidi" w:cstheme="majorBidi" w:hint="default"/>
      </w:rPr>
    </w:lvl>
    <w:lvl w:ilvl="1" w:tplc="04090017">
      <w:start w:val="1"/>
      <w:numFmt w:val="lowerLetter"/>
      <w:lvlText w:val="%2)"/>
      <w:lvlJc w:val="left"/>
      <w:pPr>
        <w:ind w:left="1080" w:hanging="360"/>
      </w:pPr>
    </w:lvl>
    <w:lvl w:ilvl="2" w:tplc="1E2CC248">
      <w:start w:val="1"/>
      <w:numFmt w:val="upp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E9B44FA"/>
    <w:multiLevelType w:val="hybridMultilevel"/>
    <w:tmpl w:val="05E6B0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6">
    <w:nsid w:val="52AF4370"/>
    <w:multiLevelType w:val="hybridMultilevel"/>
    <w:tmpl w:val="1E50252A"/>
    <w:lvl w:ilvl="0" w:tplc="96D85536">
      <w:start w:val="9"/>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6B432C20"/>
    <w:multiLevelType w:val="hybridMultilevel"/>
    <w:tmpl w:val="2C7851AE"/>
    <w:lvl w:ilvl="0" w:tplc="A8008E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nsid w:val="76211209"/>
    <w:multiLevelType w:val="hybridMultilevel"/>
    <w:tmpl w:val="14D48896"/>
    <w:lvl w:ilvl="0" w:tplc="04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6"/>
  </w:num>
  <w:num w:numId="2">
    <w:abstractNumId w:val="12"/>
  </w:num>
  <w:num w:numId="3">
    <w:abstractNumId w:val="15"/>
  </w:num>
  <w:num w:numId="4">
    <w:abstractNumId w:val="5"/>
  </w:num>
  <w:num w:numId="5">
    <w:abstractNumId w:val="13"/>
  </w:num>
  <w:num w:numId="6">
    <w:abstractNumId w:val="15"/>
    <w:lvlOverride w:ilvl="0">
      <w:lvl w:ilvl="0">
        <w:numFmt w:val="decimal"/>
        <w:lvlText w:val=""/>
        <w:lvlJc w:val="left"/>
      </w:lvl>
    </w:lvlOverride>
    <w:lvlOverride w:ilvl="1">
      <w:lvl w:ilvl="1">
        <w:start w:val="1"/>
        <w:numFmt w:val="lowerLetter"/>
        <w:lvlText w:val="(%2)"/>
        <w:lvlJc w:val="left"/>
        <w:pPr>
          <w:tabs>
            <w:tab w:val="num" w:pos="-127"/>
          </w:tabs>
          <w:ind w:left="-14" w:firstLine="567"/>
        </w:pPr>
        <w:rPr>
          <w:rFonts w:hint="default"/>
        </w:rPr>
      </w:lvl>
    </w:lvlOverride>
  </w:num>
  <w:num w:numId="7">
    <w:abstractNumId w:val="15"/>
    <w:lvlOverride w:ilvl="0">
      <w:lvl w:ilvl="0">
        <w:start w:val="1"/>
        <w:numFmt w:val="decimal"/>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8">
    <w:abstractNumId w:val="1"/>
    <w:lvlOverride w:ilvl="0">
      <w:lvl w:ilvl="0">
        <w:start w:val="1"/>
        <w:numFmt w:val="decimal"/>
        <w:lvlText w:val="%1."/>
        <w:lvlJc w:val="left"/>
        <w:pPr>
          <w:tabs>
            <w:tab w:val="num" w:pos="720"/>
          </w:tabs>
          <w:ind w:left="720" w:hanging="360"/>
        </w:pPr>
        <w:rPr>
          <w:position w:val="0"/>
          <w:sz w:val="24"/>
          <w:szCs w:val="24"/>
          <w:lang w:val="en-US"/>
        </w:rPr>
      </w:lvl>
    </w:lvlOverride>
  </w:num>
  <w:num w:numId="9">
    <w:abstractNumId w:val="16"/>
  </w:num>
  <w:num w:numId="10">
    <w:abstractNumId w:val="18"/>
  </w:num>
  <w:num w:numId="11">
    <w:abstractNumId w:val="8"/>
  </w:num>
  <w:num w:numId="12">
    <w:abstractNumId w:val="11"/>
  </w:num>
  <w:num w:numId="13">
    <w:abstractNumId w:val="15"/>
    <w:lvlOverride w:ilvl="0">
      <w:startOverride w:val="17"/>
    </w:lvlOverride>
  </w:num>
  <w:num w:numId="14">
    <w:abstractNumId w:val="7"/>
  </w:num>
  <w:num w:numId="15">
    <w:abstractNumId w:val="15"/>
    <w:lvlOverride w:ilvl="0">
      <w:lvl w:ilvl="0">
        <w:start w:val="1"/>
        <w:numFmt w:val="decimal"/>
        <w:lvlText w:val="%1."/>
        <w:lvlJc w:val="left"/>
        <w:pPr>
          <w:tabs>
            <w:tab w:val="num" w:pos="-113"/>
          </w:tabs>
          <w:ind w:left="0" w:firstLine="0"/>
        </w:pPr>
        <w:rPr>
          <w:rFonts w:hint="default"/>
          <w:b w:val="0"/>
          <w:bCs w:val="0"/>
        </w:rPr>
      </w:lvl>
    </w:lvlOverride>
    <w:lvlOverride w:ilvl="1">
      <w:lvl w:ilvl="1">
        <w:start w:val="1"/>
        <w:numFmt w:val="lowerLetter"/>
        <w:lvlText w:val="(%2)"/>
        <w:lvlJc w:val="left"/>
        <w:pPr>
          <w:tabs>
            <w:tab w:val="num" w:pos="-127"/>
          </w:tabs>
          <w:ind w:left="-14" w:firstLine="567"/>
        </w:pPr>
        <w:rPr>
          <w:rFonts w:hint="default"/>
        </w:rPr>
      </w:lvl>
    </w:lvlOverride>
    <w:lvlOverride w:ilvl="2">
      <w:lvl w:ilvl="2">
        <w:start w:val="1"/>
        <w:numFmt w:val="lowerRoman"/>
        <w:lvlText w:val="(%3)"/>
        <w:lvlJc w:val="left"/>
        <w:pPr>
          <w:tabs>
            <w:tab w:val="num" w:pos="-113"/>
          </w:tabs>
          <w:ind w:left="1701" w:hanging="567"/>
        </w:pPr>
        <w:rPr>
          <w:rFonts w:hint="default"/>
        </w:rPr>
      </w:lvl>
    </w:lvlOverride>
    <w:lvlOverride w:ilvl="3">
      <w:lvl w:ilvl="3">
        <w:start w:val="1"/>
        <w:numFmt w:val="lowerLetter"/>
        <w:lvlText w:val="%4."/>
        <w:lvlJc w:val="left"/>
        <w:pPr>
          <w:tabs>
            <w:tab w:val="num" w:pos="-113"/>
          </w:tabs>
          <w:ind w:left="2268" w:hanging="567"/>
        </w:pPr>
        <w:rPr>
          <w:rFonts w:hint="default"/>
        </w:rPr>
      </w:lvl>
    </w:lvlOverride>
    <w:lvlOverride w:ilvl="4">
      <w:lvl w:ilvl="4">
        <w:start w:val="1"/>
        <w:numFmt w:val="lowerRoman"/>
        <w:lvlText w:val="%5."/>
        <w:lvlJc w:val="left"/>
        <w:pPr>
          <w:tabs>
            <w:tab w:val="num" w:pos="-113"/>
          </w:tabs>
          <w:ind w:left="2835" w:hanging="567"/>
        </w:pPr>
        <w:rPr>
          <w:rFonts w:hint="default"/>
        </w:rPr>
      </w:lvl>
    </w:lvlOverride>
    <w:lvlOverride w:ilvl="5">
      <w:lvl w:ilvl="5">
        <w:start w:val="1"/>
        <w:numFmt w:val="lowerRoman"/>
        <w:lvlText w:val="%6."/>
        <w:lvlJc w:val="right"/>
        <w:pPr>
          <w:tabs>
            <w:tab w:val="num" w:pos="6588"/>
          </w:tabs>
          <w:ind w:left="6588" w:hanging="180"/>
        </w:pPr>
        <w:rPr>
          <w:rFonts w:hint="default"/>
        </w:rPr>
      </w:lvl>
    </w:lvlOverride>
    <w:lvlOverride w:ilvl="6">
      <w:lvl w:ilvl="6">
        <w:start w:val="1"/>
        <w:numFmt w:val="decimal"/>
        <w:lvlText w:val="%7."/>
        <w:lvlJc w:val="left"/>
        <w:pPr>
          <w:tabs>
            <w:tab w:val="num" w:pos="7308"/>
          </w:tabs>
          <w:ind w:left="7308" w:hanging="360"/>
        </w:pPr>
        <w:rPr>
          <w:rFonts w:hint="default"/>
        </w:rPr>
      </w:lvl>
    </w:lvlOverride>
    <w:lvlOverride w:ilvl="7">
      <w:lvl w:ilvl="7">
        <w:start w:val="1"/>
        <w:numFmt w:val="lowerLetter"/>
        <w:lvlText w:val="%8."/>
        <w:lvlJc w:val="left"/>
        <w:pPr>
          <w:tabs>
            <w:tab w:val="num" w:pos="8028"/>
          </w:tabs>
          <w:ind w:left="8028" w:hanging="360"/>
        </w:pPr>
        <w:rPr>
          <w:rFonts w:hint="default"/>
        </w:rPr>
      </w:lvl>
    </w:lvlOverride>
    <w:lvlOverride w:ilvl="8">
      <w:lvl w:ilvl="8">
        <w:start w:val="1"/>
        <w:numFmt w:val="lowerRoman"/>
        <w:lvlText w:val="%9."/>
        <w:lvlJc w:val="right"/>
        <w:pPr>
          <w:tabs>
            <w:tab w:val="num" w:pos="8748"/>
          </w:tabs>
          <w:ind w:left="8748" w:hanging="180"/>
        </w:pPr>
        <w:rPr>
          <w:rFonts w:hint="default"/>
        </w:rPr>
      </w:lvl>
    </w:lvlOverride>
  </w:num>
  <w:num w:numId="16">
    <w:abstractNumId w:val="15"/>
    <w:lvlOverride w:ilvl="0">
      <w:lvl w:ilvl="0">
        <w:start w:val="1"/>
        <w:numFmt w:val="decimal"/>
        <w:lvlText w:val="%1."/>
        <w:lvlJc w:val="left"/>
        <w:pPr>
          <w:tabs>
            <w:tab w:val="num" w:pos="-113"/>
          </w:tabs>
          <w:ind w:left="0" w:firstLine="0"/>
        </w:pPr>
        <w:rPr>
          <w:rFonts w:hint="default"/>
          <w:b w:val="0"/>
          <w:bCs w:val="0"/>
        </w:rPr>
      </w:lvl>
    </w:lvlOverride>
    <w:lvlOverride w:ilvl="1">
      <w:lvl w:ilvl="1">
        <w:start w:val="1"/>
        <w:numFmt w:val="lowerLetter"/>
        <w:lvlText w:val="(%2)"/>
        <w:lvlJc w:val="left"/>
        <w:pPr>
          <w:tabs>
            <w:tab w:val="num" w:pos="-127"/>
          </w:tabs>
          <w:ind w:left="-14" w:firstLine="567"/>
        </w:pPr>
        <w:rPr>
          <w:rFonts w:hint="default"/>
        </w:rPr>
      </w:lvl>
    </w:lvlOverride>
    <w:lvlOverride w:ilvl="2">
      <w:lvl w:ilvl="2">
        <w:start w:val="1"/>
        <w:numFmt w:val="lowerRoman"/>
        <w:lvlText w:val="(%3)"/>
        <w:lvlJc w:val="left"/>
        <w:pPr>
          <w:tabs>
            <w:tab w:val="num" w:pos="-113"/>
          </w:tabs>
          <w:ind w:left="1701" w:hanging="567"/>
        </w:pPr>
        <w:rPr>
          <w:rFonts w:hint="default"/>
        </w:rPr>
      </w:lvl>
    </w:lvlOverride>
    <w:lvlOverride w:ilvl="3">
      <w:lvl w:ilvl="3">
        <w:start w:val="1"/>
        <w:numFmt w:val="lowerLetter"/>
        <w:lvlText w:val="%4."/>
        <w:lvlJc w:val="left"/>
        <w:pPr>
          <w:tabs>
            <w:tab w:val="num" w:pos="-113"/>
          </w:tabs>
          <w:ind w:left="2268" w:hanging="567"/>
        </w:pPr>
        <w:rPr>
          <w:rFonts w:hint="default"/>
        </w:rPr>
      </w:lvl>
    </w:lvlOverride>
    <w:lvlOverride w:ilvl="4">
      <w:lvl w:ilvl="4">
        <w:start w:val="1"/>
        <w:numFmt w:val="lowerRoman"/>
        <w:lvlText w:val="%5."/>
        <w:lvlJc w:val="left"/>
        <w:pPr>
          <w:tabs>
            <w:tab w:val="num" w:pos="-113"/>
          </w:tabs>
          <w:ind w:left="2835" w:hanging="567"/>
        </w:pPr>
        <w:rPr>
          <w:rFonts w:hint="default"/>
        </w:rPr>
      </w:lvl>
    </w:lvlOverride>
    <w:lvlOverride w:ilvl="5">
      <w:lvl w:ilvl="5">
        <w:start w:val="1"/>
        <w:numFmt w:val="lowerRoman"/>
        <w:lvlText w:val="%6."/>
        <w:lvlJc w:val="right"/>
        <w:pPr>
          <w:tabs>
            <w:tab w:val="num" w:pos="6588"/>
          </w:tabs>
          <w:ind w:left="6588" w:hanging="180"/>
        </w:pPr>
        <w:rPr>
          <w:rFonts w:hint="default"/>
        </w:rPr>
      </w:lvl>
    </w:lvlOverride>
    <w:lvlOverride w:ilvl="6">
      <w:lvl w:ilvl="6">
        <w:start w:val="1"/>
        <w:numFmt w:val="decimal"/>
        <w:lvlText w:val="%7."/>
        <w:lvlJc w:val="left"/>
        <w:pPr>
          <w:tabs>
            <w:tab w:val="num" w:pos="7308"/>
          </w:tabs>
          <w:ind w:left="7308" w:hanging="360"/>
        </w:pPr>
        <w:rPr>
          <w:rFonts w:hint="default"/>
        </w:rPr>
      </w:lvl>
    </w:lvlOverride>
    <w:lvlOverride w:ilvl="7">
      <w:lvl w:ilvl="7">
        <w:start w:val="1"/>
        <w:numFmt w:val="lowerLetter"/>
        <w:lvlText w:val="%8."/>
        <w:lvlJc w:val="left"/>
        <w:pPr>
          <w:tabs>
            <w:tab w:val="num" w:pos="8028"/>
          </w:tabs>
          <w:ind w:left="8028" w:hanging="360"/>
        </w:pPr>
        <w:rPr>
          <w:rFonts w:hint="default"/>
        </w:rPr>
      </w:lvl>
    </w:lvlOverride>
    <w:lvlOverride w:ilvl="8">
      <w:lvl w:ilvl="8">
        <w:start w:val="1"/>
        <w:numFmt w:val="lowerRoman"/>
        <w:lvlText w:val="%9."/>
        <w:lvlJc w:val="right"/>
        <w:pPr>
          <w:tabs>
            <w:tab w:val="num" w:pos="8748"/>
          </w:tabs>
          <w:ind w:left="8748" w:hanging="180"/>
        </w:pPr>
        <w:rPr>
          <w:rFonts w:hint="default"/>
        </w:rPr>
      </w:lvl>
    </w:lvlOverride>
  </w:num>
  <w:num w:numId="17">
    <w:abstractNumId w:val="15"/>
    <w:lvlOverride w:ilvl="0">
      <w:lvl w:ilvl="0">
        <w:start w:val="1"/>
        <w:numFmt w:val="decimal"/>
        <w:lvlText w:val="%1."/>
        <w:lvlJc w:val="left"/>
        <w:pPr>
          <w:tabs>
            <w:tab w:val="num" w:pos="-113"/>
          </w:tabs>
          <w:ind w:left="0" w:firstLine="0"/>
        </w:pPr>
        <w:rPr>
          <w:rFonts w:hint="default"/>
          <w:b w:val="0"/>
          <w:bCs w:val="0"/>
        </w:rPr>
      </w:lvl>
    </w:lvlOverride>
    <w:lvlOverride w:ilvl="1">
      <w:lvl w:ilvl="1">
        <w:start w:val="1"/>
        <w:numFmt w:val="lowerLetter"/>
        <w:lvlText w:val="(%2)"/>
        <w:lvlJc w:val="left"/>
        <w:pPr>
          <w:tabs>
            <w:tab w:val="num" w:pos="-127"/>
          </w:tabs>
          <w:ind w:left="-14" w:firstLine="567"/>
        </w:pPr>
        <w:rPr>
          <w:rFonts w:hint="default"/>
        </w:rPr>
      </w:lvl>
    </w:lvlOverride>
    <w:lvlOverride w:ilvl="2">
      <w:lvl w:ilvl="2">
        <w:start w:val="1"/>
        <w:numFmt w:val="lowerRoman"/>
        <w:lvlText w:val="(%3)"/>
        <w:lvlJc w:val="left"/>
        <w:pPr>
          <w:tabs>
            <w:tab w:val="num" w:pos="-113"/>
          </w:tabs>
          <w:ind w:left="1701" w:hanging="567"/>
        </w:pPr>
        <w:rPr>
          <w:rFonts w:hint="default"/>
        </w:rPr>
      </w:lvl>
    </w:lvlOverride>
    <w:lvlOverride w:ilvl="3">
      <w:lvl w:ilvl="3">
        <w:start w:val="1"/>
        <w:numFmt w:val="lowerLetter"/>
        <w:lvlText w:val="%4."/>
        <w:lvlJc w:val="left"/>
        <w:pPr>
          <w:tabs>
            <w:tab w:val="num" w:pos="-113"/>
          </w:tabs>
          <w:ind w:left="2268" w:hanging="567"/>
        </w:pPr>
        <w:rPr>
          <w:rFonts w:hint="default"/>
        </w:rPr>
      </w:lvl>
    </w:lvlOverride>
    <w:lvlOverride w:ilvl="4">
      <w:lvl w:ilvl="4">
        <w:start w:val="1"/>
        <w:numFmt w:val="lowerRoman"/>
        <w:lvlText w:val="%5."/>
        <w:lvlJc w:val="left"/>
        <w:pPr>
          <w:tabs>
            <w:tab w:val="num" w:pos="-113"/>
          </w:tabs>
          <w:ind w:left="2835" w:hanging="567"/>
        </w:pPr>
        <w:rPr>
          <w:rFonts w:hint="default"/>
        </w:rPr>
      </w:lvl>
    </w:lvlOverride>
    <w:lvlOverride w:ilvl="5">
      <w:lvl w:ilvl="5">
        <w:start w:val="1"/>
        <w:numFmt w:val="lowerRoman"/>
        <w:lvlText w:val="%6."/>
        <w:lvlJc w:val="right"/>
        <w:pPr>
          <w:tabs>
            <w:tab w:val="num" w:pos="6588"/>
          </w:tabs>
          <w:ind w:left="6588" w:hanging="180"/>
        </w:pPr>
        <w:rPr>
          <w:rFonts w:hint="default"/>
        </w:rPr>
      </w:lvl>
    </w:lvlOverride>
    <w:lvlOverride w:ilvl="6">
      <w:lvl w:ilvl="6">
        <w:start w:val="1"/>
        <w:numFmt w:val="decimal"/>
        <w:lvlText w:val="%7."/>
        <w:lvlJc w:val="left"/>
        <w:pPr>
          <w:tabs>
            <w:tab w:val="num" w:pos="7308"/>
          </w:tabs>
          <w:ind w:left="7308" w:hanging="360"/>
        </w:pPr>
        <w:rPr>
          <w:rFonts w:hint="default"/>
        </w:rPr>
      </w:lvl>
    </w:lvlOverride>
    <w:lvlOverride w:ilvl="7">
      <w:lvl w:ilvl="7">
        <w:start w:val="1"/>
        <w:numFmt w:val="lowerLetter"/>
        <w:lvlText w:val="%8."/>
        <w:lvlJc w:val="left"/>
        <w:pPr>
          <w:tabs>
            <w:tab w:val="num" w:pos="8028"/>
          </w:tabs>
          <w:ind w:left="8028" w:hanging="360"/>
        </w:pPr>
        <w:rPr>
          <w:rFonts w:hint="default"/>
        </w:rPr>
      </w:lvl>
    </w:lvlOverride>
    <w:lvlOverride w:ilvl="8">
      <w:lvl w:ilvl="8">
        <w:start w:val="1"/>
        <w:numFmt w:val="lowerRoman"/>
        <w:lvlText w:val="%9."/>
        <w:lvlJc w:val="right"/>
        <w:pPr>
          <w:tabs>
            <w:tab w:val="num" w:pos="8748"/>
          </w:tabs>
          <w:ind w:left="8748" w:hanging="180"/>
        </w:pPr>
        <w:rPr>
          <w:rFonts w:hint="default"/>
        </w:rPr>
      </w:lvl>
    </w:lvlOverride>
  </w:num>
  <w:num w:numId="18">
    <w:abstractNumId w:val="15"/>
    <w:lvlOverride w:ilvl="0">
      <w:lvl w:ilvl="0">
        <w:start w:val="1"/>
        <w:numFmt w:val="decimal"/>
        <w:lvlText w:val="%1."/>
        <w:lvlJc w:val="left"/>
        <w:pPr>
          <w:tabs>
            <w:tab w:val="num" w:pos="-113"/>
          </w:tabs>
          <w:ind w:left="0" w:firstLine="0"/>
        </w:pPr>
        <w:rPr>
          <w:rFonts w:hint="default"/>
          <w:b w:val="0"/>
          <w:bCs w:val="0"/>
        </w:rPr>
      </w:lvl>
    </w:lvlOverride>
    <w:lvlOverride w:ilvl="1">
      <w:lvl w:ilvl="1">
        <w:start w:val="1"/>
        <w:numFmt w:val="lowerLetter"/>
        <w:lvlText w:val="(%2)"/>
        <w:lvlJc w:val="left"/>
        <w:pPr>
          <w:tabs>
            <w:tab w:val="num" w:pos="-127"/>
          </w:tabs>
          <w:ind w:left="-14" w:firstLine="567"/>
        </w:pPr>
        <w:rPr>
          <w:rFonts w:hint="default"/>
        </w:rPr>
      </w:lvl>
    </w:lvlOverride>
    <w:lvlOverride w:ilvl="2">
      <w:lvl w:ilvl="2">
        <w:start w:val="1"/>
        <w:numFmt w:val="lowerRoman"/>
        <w:lvlText w:val="(%3)"/>
        <w:lvlJc w:val="left"/>
        <w:pPr>
          <w:tabs>
            <w:tab w:val="num" w:pos="-113"/>
          </w:tabs>
          <w:ind w:left="1701" w:hanging="567"/>
        </w:pPr>
        <w:rPr>
          <w:rFonts w:hint="default"/>
        </w:rPr>
      </w:lvl>
    </w:lvlOverride>
    <w:lvlOverride w:ilvl="3">
      <w:lvl w:ilvl="3">
        <w:start w:val="1"/>
        <w:numFmt w:val="lowerLetter"/>
        <w:lvlText w:val="%4."/>
        <w:lvlJc w:val="left"/>
        <w:pPr>
          <w:tabs>
            <w:tab w:val="num" w:pos="-113"/>
          </w:tabs>
          <w:ind w:left="2268" w:hanging="567"/>
        </w:pPr>
        <w:rPr>
          <w:rFonts w:hint="default"/>
        </w:rPr>
      </w:lvl>
    </w:lvlOverride>
    <w:lvlOverride w:ilvl="4">
      <w:lvl w:ilvl="4">
        <w:start w:val="1"/>
        <w:numFmt w:val="lowerRoman"/>
        <w:lvlText w:val="%5."/>
        <w:lvlJc w:val="left"/>
        <w:pPr>
          <w:tabs>
            <w:tab w:val="num" w:pos="-113"/>
          </w:tabs>
          <w:ind w:left="2835" w:hanging="567"/>
        </w:pPr>
        <w:rPr>
          <w:rFonts w:hint="default"/>
        </w:rPr>
      </w:lvl>
    </w:lvlOverride>
    <w:lvlOverride w:ilvl="5">
      <w:lvl w:ilvl="5">
        <w:start w:val="1"/>
        <w:numFmt w:val="lowerRoman"/>
        <w:lvlText w:val="%6."/>
        <w:lvlJc w:val="right"/>
        <w:pPr>
          <w:tabs>
            <w:tab w:val="num" w:pos="6588"/>
          </w:tabs>
          <w:ind w:left="6588" w:hanging="180"/>
        </w:pPr>
        <w:rPr>
          <w:rFonts w:hint="default"/>
        </w:rPr>
      </w:lvl>
    </w:lvlOverride>
    <w:lvlOverride w:ilvl="6">
      <w:lvl w:ilvl="6">
        <w:start w:val="1"/>
        <w:numFmt w:val="decimal"/>
        <w:lvlText w:val="%7."/>
        <w:lvlJc w:val="left"/>
        <w:pPr>
          <w:tabs>
            <w:tab w:val="num" w:pos="7308"/>
          </w:tabs>
          <w:ind w:left="7308" w:hanging="360"/>
        </w:pPr>
        <w:rPr>
          <w:rFonts w:hint="default"/>
        </w:rPr>
      </w:lvl>
    </w:lvlOverride>
    <w:lvlOverride w:ilvl="7">
      <w:lvl w:ilvl="7">
        <w:start w:val="1"/>
        <w:numFmt w:val="lowerLetter"/>
        <w:lvlText w:val="%8."/>
        <w:lvlJc w:val="left"/>
        <w:pPr>
          <w:tabs>
            <w:tab w:val="num" w:pos="8028"/>
          </w:tabs>
          <w:ind w:left="8028" w:hanging="360"/>
        </w:pPr>
        <w:rPr>
          <w:rFonts w:hint="default"/>
        </w:rPr>
      </w:lvl>
    </w:lvlOverride>
    <w:lvlOverride w:ilvl="8">
      <w:lvl w:ilvl="8">
        <w:start w:val="1"/>
        <w:numFmt w:val="lowerRoman"/>
        <w:lvlText w:val="%9."/>
        <w:lvlJc w:val="right"/>
        <w:pPr>
          <w:tabs>
            <w:tab w:val="num" w:pos="8748"/>
          </w:tabs>
          <w:ind w:left="8748" w:hanging="180"/>
        </w:pPr>
        <w:rPr>
          <w:rFonts w:hint="default"/>
        </w:rPr>
      </w:lvl>
    </w:lvlOverride>
  </w:num>
  <w:num w:numId="19">
    <w:abstractNumId w:val="1"/>
  </w:num>
  <w:num w:numId="20">
    <w:abstractNumId w:val="2"/>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 w:numId="47">
    <w:abstractNumId w:val="5"/>
  </w:num>
  <w:num w:numId="48">
    <w:abstractNumId w:val="5"/>
  </w:num>
  <w:num w:numId="49">
    <w:abstractNumId w:val="5"/>
  </w:num>
  <w:num w:numId="50">
    <w:abstractNumId w:val="5"/>
  </w:num>
  <w:num w:numId="51">
    <w:abstractNumId w:val="5"/>
  </w:num>
  <w:num w:numId="52">
    <w:abstractNumId w:val="5"/>
  </w:num>
  <w:num w:numId="53">
    <w:abstractNumId w:val="5"/>
  </w:num>
  <w:num w:numId="54">
    <w:abstractNumId w:val="5"/>
  </w:num>
  <w:num w:numId="55">
    <w:abstractNumId w:val="5"/>
  </w:num>
  <w:num w:numId="56">
    <w:abstractNumId w:val="5"/>
  </w:num>
  <w:num w:numId="57">
    <w:abstractNumId w:val="5"/>
  </w:num>
  <w:num w:numId="58">
    <w:abstractNumId w:val="5"/>
  </w:num>
  <w:num w:numId="59">
    <w:abstractNumId w:val="5"/>
  </w:num>
  <w:num w:numId="60">
    <w:abstractNumId w:val="5"/>
  </w:num>
  <w:num w:numId="61">
    <w:abstractNumId w:val="5"/>
  </w:num>
  <w:num w:numId="62">
    <w:abstractNumId w:val="5"/>
  </w:num>
  <w:num w:numId="63">
    <w:abstractNumId w:val="5"/>
  </w:num>
  <w:num w:numId="64">
    <w:abstractNumId w:val="5"/>
  </w:num>
  <w:num w:numId="65">
    <w:abstractNumId w:val="5"/>
  </w:num>
  <w:num w:numId="66">
    <w:abstractNumId w:val="5"/>
  </w:num>
  <w:num w:numId="67">
    <w:abstractNumId w:val="5"/>
  </w:num>
  <w:num w:numId="68">
    <w:abstractNumId w:val="5"/>
  </w:num>
  <w:num w:numId="69">
    <w:abstractNumId w:val="5"/>
  </w:num>
  <w:num w:numId="70">
    <w:abstractNumId w:val="5"/>
  </w:num>
  <w:num w:numId="71">
    <w:abstractNumId w:val="5"/>
  </w:num>
  <w:num w:numId="72">
    <w:abstractNumId w:val="5"/>
  </w:num>
  <w:num w:numId="73">
    <w:abstractNumId w:val="5"/>
  </w:num>
  <w:num w:numId="74">
    <w:abstractNumId w:val="5"/>
  </w:num>
  <w:num w:numId="75">
    <w:abstractNumId w:val="5"/>
  </w:num>
  <w:num w:numId="76">
    <w:abstractNumId w:val="5"/>
  </w:num>
  <w:num w:numId="77">
    <w:abstractNumId w:val="5"/>
  </w:num>
  <w:num w:numId="78">
    <w:abstractNumId w:val="5"/>
  </w:num>
  <w:num w:numId="79">
    <w:abstractNumId w:val="5"/>
  </w:num>
  <w:num w:numId="80">
    <w:abstractNumId w:val="5"/>
  </w:num>
  <w:num w:numId="81">
    <w:abstractNumId w:val="5"/>
  </w:num>
  <w:num w:numId="82">
    <w:abstractNumId w:val="9"/>
  </w:num>
  <w:num w:numId="83">
    <w:abstractNumId w:val="17"/>
  </w:num>
  <w:num w:numId="84">
    <w:abstractNumId w:val="4"/>
  </w:num>
  <w:num w:numId="85">
    <w:abstractNumId w:val="5"/>
  </w:num>
  <w:num w:numId="86">
    <w:abstractNumId w:val="0"/>
  </w:num>
  <w:num w:numId="87">
    <w:abstractNumId w:val="5"/>
  </w:num>
  <w:num w:numId="88">
    <w:abstractNumId w:val="5"/>
  </w:num>
  <w:num w:numId="89">
    <w:abstractNumId w:val="5"/>
  </w:num>
  <w:num w:numId="90">
    <w:abstractNumId w:val="5"/>
  </w:num>
  <w:num w:numId="91">
    <w:abstractNumId w:val="5"/>
  </w:num>
  <w:num w:numId="92">
    <w:abstractNumId w:val="5"/>
  </w:num>
  <w:num w:numId="93">
    <w:abstractNumId w:val="5"/>
  </w:num>
  <w:num w:numId="94">
    <w:abstractNumId w:val="5"/>
  </w:num>
  <w:num w:numId="95">
    <w:abstractNumId w:val="5"/>
  </w:num>
  <w:num w:numId="96">
    <w:abstractNumId w:val="5"/>
  </w:num>
  <w:num w:numId="97">
    <w:abstractNumId w:val="5"/>
  </w:num>
  <w:num w:numId="98">
    <w:abstractNumId w:val="5"/>
  </w:num>
  <w:num w:numId="99">
    <w:abstractNumId w:val="5"/>
  </w:num>
  <w:num w:numId="100">
    <w:abstractNumId w:val="5"/>
  </w:num>
  <w:num w:numId="101">
    <w:abstractNumId w:val="5"/>
  </w:num>
  <w:num w:numId="102">
    <w:abstractNumId w:val="5"/>
  </w:num>
  <w:num w:numId="103">
    <w:abstractNumId w:val="5"/>
  </w:num>
  <w:num w:numId="104">
    <w:abstractNumId w:val="10"/>
  </w:num>
  <w:num w:numId="105">
    <w:abstractNumId w:val="5"/>
  </w:num>
  <w:num w:numId="106">
    <w:abstractNumId w:val="5"/>
  </w:num>
  <w:num w:numId="107">
    <w:abstractNumId w:val="3"/>
  </w:num>
  <w:num w:numId="108">
    <w:abstractNumId w:val="5"/>
  </w:num>
  <w:num w:numId="109">
    <w:abstractNumId w:val="14"/>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n-PH" w:vendorID="64" w:dllVersion="131078" w:nlCheck="1" w:checkStyle="1"/>
  <w:activeWritingStyle w:appName="MSWord" w:lang="en-CA"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numRestart w:val="eachSect"/>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C54"/>
    <w:rsid w:val="000056FF"/>
    <w:rsid w:val="00010D52"/>
    <w:rsid w:val="00010DA7"/>
    <w:rsid w:val="000149E6"/>
    <w:rsid w:val="000161DE"/>
    <w:rsid w:val="000178E6"/>
    <w:rsid w:val="000247B0"/>
    <w:rsid w:val="00025E10"/>
    <w:rsid w:val="00026997"/>
    <w:rsid w:val="000275C3"/>
    <w:rsid w:val="00033E0B"/>
    <w:rsid w:val="00035EDE"/>
    <w:rsid w:val="00036A78"/>
    <w:rsid w:val="00044652"/>
    <w:rsid w:val="00044C29"/>
    <w:rsid w:val="000509B4"/>
    <w:rsid w:val="000513E1"/>
    <w:rsid w:val="000518BE"/>
    <w:rsid w:val="00051B21"/>
    <w:rsid w:val="00052DE2"/>
    <w:rsid w:val="0006035B"/>
    <w:rsid w:val="00065A5C"/>
    <w:rsid w:val="00071169"/>
    <w:rsid w:val="00071886"/>
    <w:rsid w:val="00073494"/>
    <w:rsid w:val="000742BC"/>
    <w:rsid w:val="0007550A"/>
    <w:rsid w:val="0007754A"/>
    <w:rsid w:val="00082A0C"/>
    <w:rsid w:val="00083504"/>
    <w:rsid w:val="00083DDE"/>
    <w:rsid w:val="000903B6"/>
    <w:rsid w:val="00091970"/>
    <w:rsid w:val="00095E26"/>
    <w:rsid w:val="0009640C"/>
    <w:rsid w:val="000A618C"/>
    <w:rsid w:val="000B0155"/>
    <w:rsid w:val="000B1511"/>
    <w:rsid w:val="000B22A2"/>
    <w:rsid w:val="000B63E9"/>
    <w:rsid w:val="000C2A52"/>
    <w:rsid w:val="000C3556"/>
    <w:rsid w:val="000D33C0"/>
    <w:rsid w:val="000D6941"/>
    <w:rsid w:val="000E1536"/>
    <w:rsid w:val="000E314F"/>
    <w:rsid w:val="000E36E6"/>
    <w:rsid w:val="00107633"/>
    <w:rsid w:val="00113DA4"/>
    <w:rsid w:val="00114B75"/>
    <w:rsid w:val="00114F32"/>
    <w:rsid w:val="00116BF5"/>
    <w:rsid w:val="00116F0F"/>
    <w:rsid w:val="001201B1"/>
    <w:rsid w:val="001202E3"/>
    <w:rsid w:val="00123699"/>
    <w:rsid w:val="00126083"/>
    <w:rsid w:val="0013059D"/>
    <w:rsid w:val="00132349"/>
    <w:rsid w:val="0013358E"/>
    <w:rsid w:val="001367BE"/>
    <w:rsid w:val="00141A55"/>
    <w:rsid w:val="001431EC"/>
    <w:rsid w:val="001446A3"/>
    <w:rsid w:val="001474CA"/>
    <w:rsid w:val="00147A46"/>
    <w:rsid w:val="0015080D"/>
    <w:rsid w:val="00153764"/>
    <w:rsid w:val="00153A74"/>
    <w:rsid w:val="00155395"/>
    <w:rsid w:val="00160D74"/>
    <w:rsid w:val="00162ADB"/>
    <w:rsid w:val="00165F72"/>
    <w:rsid w:val="00167391"/>
    <w:rsid w:val="00167D02"/>
    <w:rsid w:val="00170F8D"/>
    <w:rsid w:val="00176F7A"/>
    <w:rsid w:val="00180726"/>
    <w:rsid w:val="00181EC8"/>
    <w:rsid w:val="00184349"/>
    <w:rsid w:val="00184A6D"/>
    <w:rsid w:val="001934F4"/>
    <w:rsid w:val="00195F33"/>
    <w:rsid w:val="001A0997"/>
    <w:rsid w:val="001A2830"/>
    <w:rsid w:val="001A2A33"/>
    <w:rsid w:val="001B1617"/>
    <w:rsid w:val="001B504B"/>
    <w:rsid w:val="001C1216"/>
    <w:rsid w:val="001C577F"/>
    <w:rsid w:val="001D040D"/>
    <w:rsid w:val="001D3874"/>
    <w:rsid w:val="001D7E75"/>
    <w:rsid w:val="001E04A1"/>
    <w:rsid w:val="001E0D4D"/>
    <w:rsid w:val="001E56D2"/>
    <w:rsid w:val="001E7D56"/>
    <w:rsid w:val="001E7F14"/>
    <w:rsid w:val="001F2E94"/>
    <w:rsid w:val="001F679A"/>
    <w:rsid w:val="001F75DE"/>
    <w:rsid w:val="001F7912"/>
    <w:rsid w:val="001F7AA7"/>
    <w:rsid w:val="00200D58"/>
    <w:rsid w:val="002013BE"/>
    <w:rsid w:val="00205302"/>
    <w:rsid w:val="002063A4"/>
    <w:rsid w:val="0021145B"/>
    <w:rsid w:val="002278A5"/>
    <w:rsid w:val="00236099"/>
    <w:rsid w:val="00243D36"/>
    <w:rsid w:val="00247707"/>
    <w:rsid w:val="0026018E"/>
    <w:rsid w:val="0026170E"/>
    <w:rsid w:val="00261930"/>
    <w:rsid w:val="00265D48"/>
    <w:rsid w:val="00267754"/>
    <w:rsid w:val="00276746"/>
    <w:rsid w:val="002771D4"/>
    <w:rsid w:val="00284043"/>
    <w:rsid w:val="00286740"/>
    <w:rsid w:val="002922E7"/>
    <w:rsid w:val="002929D8"/>
    <w:rsid w:val="002A237D"/>
    <w:rsid w:val="002A3064"/>
    <w:rsid w:val="002A42AC"/>
    <w:rsid w:val="002A4C53"/>
    <w:rsid w:val="002B0672"/>
    <w:rsid w:val="002B1035"/>
    <w:rsid w:val="002B247F"/>
    <w:rsid w:val="002B4992"/>
    <w:rsid w:val="002B594A"/>
    <w:rsid w:val="002C145D"/>
    <w:rsid w:val="002C2C3E"/>
    <w:rsid w:val="002C4C33"/>
    <w:rsid w:val="002C533E"/>
    <w:rsid w:val="002D027F"/>
    <w:rsid w:val="002D0B16"/>
    <w:rsid w:val="002D6345"/>
    <w:rsid w:val="002D7A85"/>
    <w:rsid w:val="002D7B60"/>
    <w:rsid w:val="002E3896"/>
    <w:rsid w:val="002E5225"/>
    <w:rsid w:val="002F4761"/>
    <w:rsid w:val="002F5C79"/>
    <w:rsid w:val="003019E2"/>
    <w:rsid w:val="003057B1"/>
    <w:rsid w:val="00307EE3"/>
    <w:rsid w:val="0031413F"/>
    <w:rsid w:val="003148BB"/>
    <w:rsid w:val="003169D5"/>
    <w:rsid w:val="00317976"/>
    <w:rsid w:val="003179EF"/>
    <w:rsid w:val="0033437F"/>
    <w:rsid w:val="00337A5B"/>
    <w:rsid w:val="003559BF"/>
    <w:rsid w:val="00355EA9"/>
    <w:rsid w:val="00355EB2"/>
    <w:rsid w:val="003578DE"/>
    <w:rsid w:val="00360CFF"/>
    <w:rsid w:val="00362BAF"/>
    <w:rsid w:val="00363025"/>
    <w:rsid w:val="00363DC0"/>
    <w:rsid w:val="0036570E"/>
    <w:rsid w:val="00373C49"/>
    <w:rsid w:val="00386F6C"/>
    <w:rsid w:val="00392D30"/>
    <w:rsid w:val="00395E70"/>
    <w:rsid w:val="00396257"/>
    <w:rsid w:val="00396D74"/>
    <w:rsid w:val="00397EB8"/>
    <w:rsid w:val="003A4112"/>
    <w:rsid w:val="003A44E1"/>
    <w:rsid w:val="003A4FD0"/>
    <w:rsid w:val="003A69D1"/>
    <w:rsid w:val="003A7705"/>
    <w:rsid w:val="003A77F1"/>
    <w:rsid w:val="003B1545"/>
    <w:rsid w:val="003C15F4"/>
    <w:rsid w:val="003C3D01"/>
    <w:rsid w:val="003C3F8D"/>
    <w:rsid w:val="003C409D"/>
    <w:rsid w:val="003C52E6"/>
    <w:rsid w:val="003C5BA6"/>
    <w:rsid w:val="003C5C81"/>
    <w:rsid w:val="003D06CA"/>
    <w:rsid w:val="003E1CCD"/>
    <w:rsid w:val="003E5007"/>
    <w:rsid w:val="003E794C"/>
    <w:rsid w:val="003F01E5"/>
    <w:rsid w:val="003F0E85"/>
    <w:rsid w:val="003F169C"/>
    <w:rsid w:val="00400B70"/>
    <w:rsid w:val="004023CF"/>
    <w:rsid w:val="00410C55"/>
    <w:rsid w:val="004152C7"/>
    <w:rsid w:val="00416854"/>
    <w:rsid w:val="00417725"/>
    <w:rsid w:val="00437F26"/>
    <w:rsid w:val="00444097"/>
    <w:rsid w:val="00445487"/>
    <w:rsid w:val="0045007E"/>
    <w:rsid w:val="0045061E"/>
    <w:rsid w:val="00454769"/>
    <w:rsid w:val="00454874"/>
    <w:rsid w:val="00454D21"/>
    <w:rsid w:val="00455A40"/>
    <w:rsid w:val="004562FB"/>
    <w:rsid w:val="00456F3B"/>
    <w:rsid w:val="0045738B"/>
    <w:rsid w:val="00457ECD"/>
    <w:rsid w:val="00466991"/>
    <w:rsid w:val="004703D1"/>
    <w:rsid w:val="0047064C"/>
    <w:rsid w:val="00474292"/>
    <w:rsid w:val="00493A21"/>
    <w:rsid w:val="004A42E1"/>
    <w:rsid w:val="004A4B3A"/>
    <w:rsid w:val="004A6852"/>
    <w:rsid w:val="004B07E0"/>
    <w:rsid w:val="004B162C"/>
    <w:rsid w:val="004B2661"/>
    <w:rsid w:val="004B49DE"/>
    <w:rsid w:val="004B50A5"/>
    <w:rsid w:val="004C3DBE"/>
    <w:rsid w:val="004C5C96"/>
    <w:rsid w:val="004D06A4"/>
    <w:rsid w:val="004D405B"/>
    <w:rsid w:val="004E14FF"/>
    <w:rsid w:val="004E6B79"/>
    <w:rsid w:val="004F1A81"/>
    <w:rsid w:val="004F2242"/>
    <w:rsid w:val="004F3DA4"/>
    <w:rsid w:val="004F4311"/>
    <w:rsid w:val="004F526B"/>
    <w:rsid w:val="004F5555"/>
    <w:rsid w:val="004F70C4"/>
    <w:rsid w:val="005039AF"/>
    <w:rsid w:val="00503C63"/>
    <w:rsid w:val="0050665F"/>
    <w:rsid w:val="00507B4F"/>
    <w:rsid w:val="00514CAF"/>
    <w:rsid w:val="005158F3"/>
    <w:rsid w:val="00516B04"/>
    <w:rsid w:val="00517A99"/>
    <w:rsid w:val="005218D9"/>
    <w:rsid w:val="00523162"/>
    <w:rsid w:val="00534A38"/>
    <w:rsid w:val="00536186"/>
    <w:rsid w:val="00537D1A"/>
    <w:rsid w:val="005402E9"/>
    <w:rsid w:val="00544CBB"/>
    <w:rsid w:val="00546DE6"/>
    <w:rsid w:val="0055249A"/>
    <w:rsid w:val="00553350"/>
    <w:rsid w:val="00557B8E"/>
    <w:rsid w:val="00561F50"/>
    <w:rsid w:val="0056772D"/>
    <w:rsid w:val="00570A37"/>
    <w:rsid w:val="0057315F"/>
    <w:rsid w:val="00576104"/>
    <w:rsid w:val="00581043"/>
    <w:rsid w:val="00582538"/>
    <w:rsid w:val="0058287F"/>
    <w:rsid w:val="00583C37"/>
    <w:rsid w:val="00583CA9"/>
    <w:rsid w:val="00587538"/>
    <w:rsid w:val="00590D97"/>
    <w:rsid w:val="0059169A"/>
    <w:rsid w:val="00594678"/>
    <w:rsid w:val="005A18F6"/>
    <w:rsid w:val="005A4E4D"/>
    <w:rsid w:val="005B0FCF"/>
    <w:rsid w:val="005B6526"/>
    <w:rsid w:val="005C5497"/>
    <w:rsid w:val="005C67C8"/>
    <w:rsid w:val="005C6E64"/>
    <w:rsid w:val="005D0249"/>
    <w:rsid w:val="005D136C"/>
    <w:rsid w:val="005D14F3"/>
    <w:rsid w:val="005D6606"/>
    <w:rsid w:val="005D6D57"/>
    <w:rsid w:val="005D6E8C"/>
    <w:rsid w:val="005E471A"/>
    <w:rsid w:val="005F0C62"/>
    <w:rsid w:val="005F100C"/>
    <w:rsid w:val="005F4E43"/>
    <w:rsid w:val="005F5C7E"/>
    <w:rsid w:val="005F68DA"/>
    <w:rsid w:val="00600808"/>
    <w:rsid w:val="00604B08"/>
    <w:rsid w:val="00606966"/>
    <w:rsid w:val="0060773B"/>
    <w:rsid w:val="00614A2E"/>
    <w:rsid w:val="006157B5"/>
    <w:rsid w:val="00623014"/>
    <w:rsid w:val="006233E6"/>
    <w:rsid w:val="00626FC6"/>
    <w:rsid w:val="006303B4"/>
    <w:rsid w:val="00632429"/>
    <w:rsid w:val="00633D3D"/>
    <w:rsid w:val="0063637D"/>
    <w:rsid w:val="006365AD"/>
    <w:rsid w:val="00641703"/>
    <w:rsid w:val="006431A6"/>
    <w:rsid w:val="00643973"/>
    <w:rsid w:val="006459F6"/>
    <w:rsid w:val="00646E5E"/>
    <w:rsid w:val="006501AD"/>
    <w:rsid w:val="00651BFA"/>
    <w:rsid w:val="006528D8"/>
    <w:rsid w:val="00654475"/>
    <w:rsid w:val="0065477A"/>
    <w:rsid w:val="00657BC1"/>
    <w:rsid w:val="00664059"/>
    <w:rsid w:val="00665A4B"/>
    <w:rsid w:val="0067321E"/>
    <w:rsid w:val="0067478F"/>
    <w:rsid w:val="00675DF0"/>
    <w:rsid w:val="006851F6"/>
    <w:rsid w:val="006861D9"/>
    <w:rsid w:val="00686CB4"/>
    <w:rsid w:val="00686D11"/>
    <w:rsid w:val="00692E2A"/>
    <w:rsid w:val="00695424"/>
    <w:rsid w:val="006A76F2"/>
    <w:rsid w:val="006B115A"/>
    <w:rsid w:val="006B2492"/>
    <w:rsid w:val="006B65D7"/>
    <w:rsid w:val="006B75B3"/>
    <w:rsid w:val="006C1EFC"/>
    <w:rsid w:val="006C2400"/>
    <w:rsid w:val="006C5360"/>
    <w:rsid w:val="006D7241"/>
    <w:rsid w:val="006D7EFB"/>
    <w:rsid w:val="006E23BE"/>
    <w:rsid w:val="006E4EAA"/>
    <w:rsid w:val="006E6672"/>
    <w:rsid w:val="006E6722"/>
    <w:rsid w:val="006E71D5"/>
    <w:rsid w:val="007027B9"/>
    <w:rsid w:val="00703C7D"/>
    <w:rsid w:val="00704F64"/>
    <w:rsid w:val="00715E88"/>
    <w:rsid w:val="00716A15"/>
    <w:rsid w:val="00716C6F"/>
    <w:rsid w:val="00717C71"/>
    <w:rsid w:val="00721178"/>
    <w:rsid w:val="00733626"/>
    <w:rsid w:val="00734CAA"/>
    <w:rsid w:val="0074140E"/>
    <w:rsid w:val="00745E1A"/>
    <w:rsid w:val="007463A7"/>
    <w:rsid w:val="0075533C"/>
    <w:rsid w:val="00757360"/>
    <w:rsid w:val="00757581"/>
    <w:rsid w:val="0076114C"/>
    <w:rsid w:val="007611A0"/>
    <w:rsid w:val="00761E8B"/>
    <w:rsid w:val="007714B8"/>
    <w:rsid w:val="0077463D"/>
    <w:rsid w:val="007773CB"/>
    <w:rsid w:val="00781961"/>
    <w:rsid w:val="00787CEB"/>
    <w:rsid w:val="00791968"/>
    <w:rsid w:val="00796D3F"/>
    <w:rsid w:val="00797784"/>
    <w:rsid w:val="007A1683"/>
    <w:rsid w:val="007A1E41"/>
    <w:rsid w:val="007A26F9"/>
    <w:rsid w:val="007A5C12"/>
    <w:rsid w:val="007A7CB0"/>
    <w:rsid w:val="007B1271"/>
    <w:rsid w:val="007B68A3"/>
    <w:rsid w:val="007B6F86"/>
    <w:rsid w:val="007B77D2"/>
    <w:rsid w:val="007C2541"/>
    <w:rsid w:val="007C6D76"/>
    <w:rsid w:val="007D0F07"/>
    <w:rsid w:val="007D4E40"/>
    <w:rsid w:val="007D66A8"/>
    <w:rsid w:val="007D75D7"/>
    <w:rsid w:val="007E003F"/>
    <w:rsid w:val="007E0158"/>
    <w:rsid w:val="007E06FA"/>
    <w:rsid w:val="007E0B70"/>
    <w:rsid w:val="007E38F1"/>
    <w:rsid w:val="007E6A9C"/>
    <w:rsid w:val="007F2146"/>
    <w:rsid w:val="007F2793"/>
    <w:rsid w:val="007F5418"/>
    <w:rsid w:val="00804848"/>
    <w:rsid w:val="00807AC2"/>
    <w:rsid w:val="008107D4"/>
    <w:rsid w:val="00810BBE"/>
    <w:rsid w:val="00814748"/>
    <w:rsid w:val="008164F2"/>
    <w:rsid w:val="00817D8C"/>
    <w:rsid w:val="00821395"/>
    <w:rsid w:val="00821975"/>
    <w:rsid w:val="00827EEE"/>
    <w:rsid w:val="00830E26"/>
    <w:rsid w:val="00837A89"/>
    <w:rsid w:val="00843576"/>
    <w:rsid w:val="00843B64"/>
    <w:rsid w:val="008478FC"/>
    <w:rsid w:val="008554C7"/>
    <w:rsid w:val="00856A67"/>
    <w:rsid w:val="00856C70"/>
    <w:rsid w:val="00867BFF"/>
    <w:rsid w:val="0087043B"/>
    <w:rsid w:val="008835E7"/>
    <w:rsid w:val="0088480A"/>
    <w:rsid w:val="0088757A"/>
    <w:rsid w:val="00894F67"/>
    <w:rsid w:val="008957DD"/>
    <w:rsid w:val="00896211"/>
    <w:rsid w:val="00897D98"/>
    <w:rsid w:val="008A1555"/>
    <w:rsid w:val="008A6DF2"/>
    <w:rsid w:val="008A70FE"/>
    <w:rsid w:val="008A7807"/>
    <w:rsid w:val="008B25EB"/>
    <w:rsid w:val="008B4CC9"/>
    <w:rsid w:val="008B5CB4"/>
    <w:rsid w:val="008B7839"/>
    <w:rsid w:val="008C2686"/>
    <w:rsid w:val="008C4620"/>
    <w:rsid w:val="008C540D"/>
    <w:rsid w:val="008D7C99"/>
    <w:rsid w:val="008E0CDC"/>
    <w:rsid w:val="008E0FCB"/>
    <w:rsid w:val="008E2A68"/>
    <w:rsid w:val="008E47B8"/>
    <w:rsid w:val="008E5F03"/>
    <w:rsid w:val="008E6FF9"/>
    <w:rsid w:val="008F29FF"/>
    <w:rsid w:val="008F3A4C"/>
    <w:rsid w:val="008F6C57"/>
    <w:rsid w:val="00903436"/>
    <w:rsid w:val="00904AB3"/>
    <w:rsid w:val="00905BF1"/>
    <w:rsid w:val="00906B9F"/>
    <w:rsid w:val="009078A5"/>
    <w:rsid w:val="00912078"/>
    <w:rsid w:val="0091435D"/>
    <w:rsid w:val="009173F1"/>
    <w:rsid w:val="0092059B"/>
    <w:rsid w:val="0092178C"/>
    <w:rsid w:val="00930B88"/>
    <w:rsid w:val="0093364E"/>
    <w:rsid w:val="009349CC"/>
    <w:rsid w:val="00937030"/>
    <w:rsid w:val="00937280"/>
    <w:rsid w:val="009400A0"/>
    <w:rsid w:val="00940DCC"/>
    <w:rsid w:val="0094179A"/>
    <w:rsid w:val="00943557"/>
    <w:rsid w:val="0094459E"/>
    <w:rsid w:val="00944DBC"/>
    <w:rsid w:val="00950977"/>
    <w:rsid w:val="00951A7B"/>
    <w:rsid w:val="009529DB"/>
    <w:rsid w:val="00952FA3"/>
    <w:rsid w:val="009564A6"/>
    <w:rsid w:val="009565DB"/>
    <w:rsid w:val="00960EDC"/>
    <w:rsid w:val="009626FD"/>
    <w:rsid w:val="00967621"/>
    <w:rsid w:val="00967969"/>
    <w:rsid w:val="00967E6A"/>
    <w:rsid w:val="00967FEF"/>
    <w:rsid w:val="009718CC"/>
    <w:rsid w:val="00977C54"/>
    <w:rsid w:val="00982320"/>
    <w:rsid w:val="00983D7A"/>
    <w:rsid w:val="009957F0"/>
    <w:rsid w:val="009B4A0F"/>
    <w:rsid w:val="009C11D2"/>
    <w:rsid w:val="009C475B"/>
    <w:rsid w:val="009C6C70"/>
    <w:rsid w:val="009C7374"/>
    <w:rsid w:val="009D0B63"/>
    <w:rsid w:val="009D4696"/>
    <w:rsid w:val="009D7332"/>
    <w:rsid w:val="009E1189"/>
    <w:rsid w:val="009E307E"/>
    <w:rsid w:val="009E5885"/>
    <w:rsid w:val="009F0DF8"/>
    <w:rsid w:val="009F14AD"/>
    <w:rsid w:val="009F65B0"/>
    <w:rsid w:val="00A05B00"/>
    <w:rsid w:val="00A07870"/>
    <w:rsid w:val="00A07F19"/>
    <w:rsid w:val="00A10097"/>
    <w:rsid w:val="00A1348D"/>
    <w:rsid w:val="00A232EE"/>
    <w:rsid w:val="00A23760"/>
    <w:rsid w:val="00A26562"/>
    <w:rsid w:val="00A31C76"/>
    <w:rsid w:val="00A31C79"/>
    <w:rsid w:val="00A37D64"/>
    <w:rsid w:val="00A4175F"/>
    <w:rsid w:val="00A44411"/>
    <w:rsid w:val="00A469FA"/>
    <w:rsid w:val="00A47E05"/>
    <w:rsid w:val="00A5087A"/>
    <w:rsid w:val="00A529CF"/>
    <w:rsid w:val="00A55160"/>
    <w:rsid w:val="00A55B01"/>
    <w:rsid w:val="00A56735"/>
    <w:rsid w:val="00A56B5B"/>
    <w:rsid w:val="00A5776B"/>
    <w:rsid w:val="00A603FF"/>
    <w:rsid w:val="00A634BF"/>
    <w:rsid w:val="00A657DD"/>
    <w:rsid w:val="00A666A6"/>
    <w:rsid w:val="00A675FD"/>
    <w:rsid w:val="00A72437"/>
    <w:rsid w:val="00A74F77"/>
    <w:rsid w:val="00A80611"/>
    <w:rsid w:val="00A87BEA"/>
    <w:rsid w:val="00A904A2"/>
    <w:rsid w:val="00A956FD"/>
    <w:rsid w:val="00AA0B1C"/>
    <w:rsid w:val="00AA2EF8"/>
    <w:rsid w:val="00AA5071"/>
    <w:rsid w:val="00AA5EEC"/>
    <w:rsid w:val="00AA6A68"/>
    <w:rsid w:val="00AA7BD5"/>
    <w:rsid w:val="00AB1561"/>
    <w:rsid w:val="00AB5340"/>
    <w:rsid w:val="00AC0A89"/>
    <w:rsid w:val="00AC25ED"/>
    <w:rsid w:val="00AC2D93"/>
    <w:rsid w:val="00AC3C25"/>
    <w:rsid w:val="00AC49E3"/>
    <w:rsid w:val="00AC5E33"/>
    <w:rsid w:val="00AC6366"/>
    <w:rsid w:val="00AC7C96"/>
    <w:rsid w:val="00AD0078"/>
    <w:rsid w:val="00AD2394"/>
    <w:rsid w:val="00AE14AB"/>
    <w:rsid w:val="00AE237D"/>
    <w:rsid w:val="00AE502A"/>
    <w:rsid w:val="00AF7AF7"/>
    <w:rsid w:val="00AF7C07"/>
    <w:rsid w:val="00B00930"/>
    <w:rsid w:val="00B02769"/>
    <w:rsid w:val="00B02C53"/>
    <w:rsid w:val="00B04F72"/>
    <w:rsid w:val="00B05F14"/>
    <w:rsid w:val="00B17621"/>
    <w:rsid w:val="00B21085"/>
    <w:rsid w:val="00B22C93"/>
    <w:rsid w:val="00B23E3A"/>
    <w:rsid w:val="00B2414B"/>
    <w:rsid w:val="00B27589"/>
    <w:rsid w:val="00B3084E"/>
    <w:rsid w:val="00B36352"/>
    <w:rsid w:val="00B405B7"/>
    <w:rsid w:val="00B429D9"/>
    <w:rsid w:val="00B44EF9"/>
    <w:rsid w:val="00B4614B"/>
    <w:rsid w:val="00B4696B"/>
    <w:rsid w:val="00B47E92"/>
    <w:rsid w:val="00B500DE"/>
    <w:rsid w:val="00B500F8"/>
    <w:rsid w:val="00B52222"/>
    <w:rsid w:val="00B52B95"/>
    <w:rsid w:val="00B534C7"/>
    <w:rsid w:val="00B54FE7"/>
    <w:rsid w:val="00B55A43"/>
    <w:rsid w:val="00B56122"/>
    <w:rsid w:val="00B57F0F"/>
    <w:rsid w:val="00B622AE"/>
    <w:rsid w:val="00B66901"/>
    <w:rsid w:val="00B66A8D"/>
    <w:rsid w:val="00B67ED0"/>
    <w:rsid w:val="00B709EC"/>
    <w:rsid w:val="00B71E6D"/>
    <w:rsid w:val="00B72070"/>
    <w:rsid w:val="00B739EC"/>
    <w:rsid w:val="00B779E1"/>
    <w:rsid w:val="00B81DE5"/>
    <w:rsid w:val="00B852B6"/>
    <w:rsid w:val="00B86CC6"/>
    <w:rsid w:val="00B91EE1"/>
    <w:rsid w:val="00B93200"/>
    <w:rsid w:val="00BA0090"/>
    <w:rsid w:val="00BA1A67"/>
    <w:rsid w:val="00BB0499"/>
    <w:rsid w:val="00BB36E6"/>
    <w:rsid w:val="00BC02FC"/>
    <w:rsid w:val="00BC63AE"/>
    <w:rsid w:val="00BD0912"/>
    <w:rsid w:val="00BD18A0"/>
    <w:rsid w:val="00BD3D32"/>
    <w:rsid w:val="00BE2246"/>
    <w:rsid w:val="00BE35A5"/>
    <w:rsid w:val="00BE4399"/>
    <w:rsid w:val="00BE543A"/>
    <w:rsid w:val="00BE5B5F"/>
    <w:rsid w:val="00BE6A7E"/>
    <w:rsid w:val="00BF601C"/>
    <w:rsid w:val="00C151B1"/>
    <w:rsid w:val="00C2295F"/>
    <w:rsid w:val="00C26F55"/>
    <w:rsid w:val="00C2718A"/>
    <w:rsid w:val="00C30C63"/>
    <w:rsid w:val="00C33F9C"/>
    <w:rsid w:val="00C36698"/>
    <w:rsid w:val="00C36B8B"/>
    <w:rsid w:val="00C415C1"/>
    <w:rsid w:val="00C42F9E"/>
    <w:rsid w:val="00C4697E"/>
    <w:rsid w:val="00C47DBF"/>
    <w:rsid w:val="00C552FF"/>
    <w:rsid w:val="00C558DA"/>
    <w:rsid w:val="00C55AF3"/>
    <w:rsid w:val="00C57A0E"/>
    <w:rsid w:val="00C61651"/>
    <w:rsid w:val="00C65F29"/>
    <w:rsid w:val="00C7693E"/>
    <w:rsid w:val="00C84759"/>
    <w:rsid w:val="00C85311"/>
    <w:rsid w:val="00C90DE7"/>
    <w:rsid w:val="00C915ED"/>
    <w:rsid w:val="00C940EE"/>
    <w:rsid w:val="00C95052"/>
    <w:rsid w:val="00C97677"/>
    <w:rsid w:val="00CA6C7F"/>
    <w:rsid w:val="00CB0874"/>
    <w:rsid w:val="00CC0411"/>
    <w:rsid w:val="00CC10A6"/>
    <w:rsid w:val="00CD4804"/>
    <w:rsid w:val="00CD5EB8"/>
    <w:rsid w:val="00CD6830"/>
    <w:rsid w:val="00CD7044"/>
    <w:rsid w:val="00CE08B9"/>
    <w:rsid w:val="00CE524C"/>
    <w:rsid w:val="00CE5D01"/>
    <w:rsid w:val="00CF141F"/>
    <w:rsid w:val="00CF35D7"/>
    <w:rsid w:val="00CF4777"/>
    <w:rsid w:val="00CF6571"/>
    <w:rsid w:val="00D067BB"/>
    <w:rsid w:val="00D13471"/>
    <w:rsid w:val="00D1352A"/>
    <w:rsid w:val="00D13B24"/>
    <w:rsid w:val="00D164AB"/>
    <w:rsid w:val="00D169AF"/>
    <w:rsid w:val="00D222A7"/>
    <w:rsid w:val="00D25249"/>
    <w:rsid w:val="00D426BB"/>
    <w:rsid w:val="00D4323E"/>
    <w:rsid w:val="00D432FE"/>
    <w:rsid w:val="00D44172"/>
    <w:rsid w:val="00D44AB5"/>
    <w:rsid w:val="00D45338"/>
    <w:rsid w:val="00D46ED9"/>
    <w:rsid w:val="00D4725C"/>
    <w:rsid w:val="00D55994"/>
    <w:rsid w:val="00D573BD"/>
    <w:rsid w:val="00D57BB3"/>
    <w:rsid w:val="00D63B8C"/>
    <w:rsid w:val="00D716E1"/>
    <w:rsid w:val="00D718E7"/>
    <w:rsid w:val="00D739CC"/>
    <w:rsid w:val="00D7619F"/>
    <w:rsid w:val="00D763B4"/>
    <w:rsid w:val="00D8093D"/>
    <w:rsid w:val="00D8108C"/>
    <w:rsid w:val="00D842AE"/>
    <w:rsid w:val="00D8585D"/>
    <w:rsid w:val="00D870C4"/>
    <w:rsid w:val="00D9211C"/>
    <w:rsid w:val="00D92C4B"/>
    <w:rsid w:val="00D92DDB"/>
    <w:rsid w:val="00D92DE0"/>
    <w:rsid w:val="00D92FEF"/>
    <w:rsid w:val="00D93A0F"/>
    <w:rsid w:val="00DA1BCA"/>
    <w:rsid w:val="00DA747C"/>
    <w:rsid w:val="00DB0048"/>
    <w:rsid w:val="00DC46FF"/>
    <w:rsid w:val="00DC5254"/>
    <w:rsid w:val="00DC62F2"/>
    <w:rsid w:val="00DC7F32"/>
    <w:rsid w:val="00DD087E"/>
    <w:rsid w:val="00DD1A4F"/>
    <w:rsid w:val="00DD3107"/>
    <w:rsid w:val="00DD7C2C"/>
    <w:rsid w:val="00DE1968"/>
    <w:rsid w:val="00DE4F6E"/>
    <w:rsid w:val="00E06279"/>
    <w:rsid w:val="00E06797"/>
    <w:rsid w:val="00E07004"/>
    <w:rsid w:val="00E07F72"/>
    <w:rsid w:val="00E1265B"/>
    <w:rsid w:val="00E13B48"/>
    <w:rsid w:val="00E1404F"/>
    <w:rsid w:val="00E1682D"/>
    <w:rsid w:val="00E203C8"/>
    <w:rsid w:val="00E2111E"/>
    <w:rsid w:val="00E21C83"/>
    <w:rsid w:val="00E24727"/>
    <w:rsid w:val="00E24ADA"/>
    <w:rsid w:val="00E274B1"/>
    <w:rsid w:val="00E32EC0"/>
    <w:rsid w:val="00E32F59"/>
    <w:rsid w:val="00E337FB"/>
    <w:rsid w:val="00E37475"/>
    <w:rsid w:val="00E40ADB"/>
    <w:rsid w:val="00E42283"/>
    <w:rsid w:val="00E46D9A"/>
    <w:rsid w:val="00E551DF"/>
    <w:rsid w:val="00E565FF"/>
    <w:rsid w:val="00E57E57"/>
    <w:rsid w:val="00E6274B"/>
    <w:rsid w:val="00E62CC3"/>
    <w:rsid w:val="00E65388"/>
    <w:rsid w:val="00E732E8"/>
    <w:rsid w:val="00E74BBC"/>
    <w:rsid w:val="00E75FBA"/>
    <w:rsid w:val="00E76C6F"/>
    <w:rsid w:val="00E76E78"/>
    <w:rsid w:val="00E826B7"/>
    <w:rsid w:val="00E83464"/>
    <w:rsid w:val="00E85B7D"/>
    <w:rsid w:val="00E865A1"/>
    <w:rsid w:val="00E9121B"/>
    <w:rsid w:val="00E92D7D"/>
    <w:rsid w:val="00E94651"/>
    <w:rsid w:val="00EA0AE2"/>
    <w:rsid w:val="00EA10C5"/>
    <w:rsid w:val="00EA19B4"/>
    <w:rsid w:val="00EA3296"/>
    <w:rsid w:val="00EA39E5"/>
    <w:rsid w:val="00EA47EF"/>
    <w:rsid w:val="00EA52F2"/>
    <w:rsid w:val="00EB56A4"/>
    <w:rsid w:val="00EC08F6"/>
    <w:rsid w:val="00EC1C50"/>
    <w:rsid w:val="00EC5A46"/>
    <w:rsid w:val="00EC63E2"/>
    <w:rsid w:val="00EC6DCF"/>
    <w:rsid w:val="00EC78A7"/>
    <w:rsid w:val="00ED3828"/>
    <w:rsid w:val="00EE727C"/>
    <w:rsid w:val="00EF0CCB"/>
    <w:rsid w:val="00EF0D88"/>
    <w:rsid w:val="00EF22B3"/>
    <w:rsid w:val="00EF3C94"/>
    <w:rsid w:val="00EF688E"/>
    <w:rsid w:val="00F01391"/>
    <w:rsid w:val="00F01426"/>
    <w:rsid w:val="00F02B09"/>
    <w:rsid w:val="00F03B69"/>
    <w:rsid w:val="00F044D5"/>
    <w:rsid w:val="00F068E5"/>
    <w:rsid w:val="00F07A50"/>
    <w:rsid w:val="00F113DA"/>
    <w:rsid w:val="00F247C2"/>
    <w:rsid w:val="00F27D8B"/>
    <w:rsid w:val="00F31231"/>
    <w:rsid w:val="00F323DA"/>
    <w:rsid w:val="00F32A80"/>
    <w:rsid w:val="00F33502"/>
    <w:rsid w:val="00F35511"/>
    <w:rsid w:val="00F37DC8"/>
    <w:rsid w:val="00F406E1"/>
    <w:rsid w:val="00F439B3"/>
    <w:rsid w:val="00F53F13"/>
    <w:rsid w:val="00F5576F"/>
    <w:rsid w:val="00F55AC9"/>
    <w:rsid w:val="00F62BF5"/>
    <w:rsid w:val="00F63598"/>
    <w:rsid w:val="00F63874"/>
    <w:rsid w:val="00F63F1F"/>
    <w:rsid w:val="00F650C3"/>
    <w:rsid w:val="00F65D85"/>
    <w:rsid w:val="00F735F3"/>
    <w:rsid w:val="00F74C72"/>
    <w:rsid w:val="00F76C91"/>
    <w:rsid w:val="00F8091E"/>
    <w:rsid w:val="00F84409"/>
    <w:rsid w:val="00F8615C"/>
    <w:rsid w:val="00F87640"/>
    <w:rsid w:val="00F969E5"/>
    <w:rsid w:val="00F97F2F"/>
    <w:rsid w:val="00FA13C6"/>
    <w:rsid w:val="00FA582B"/>
    <w:rsid w:val="00FA6BB0"/>
    <w:rsid w:val="00FB5CCB"/>
    <w:rsid w:val="00FC2CE7"/>
    <w:rsid w:val="00FC3CA6"/>
    <w:rsid w:val="00FC4CB6"/>
    <w:rsid w:val="00FD22BD"/>
    <w:rsid w:val="00FD5860"/>
    <w:rsid w:val="00FE352D"/>
    <w:rsid w:val="00FE40EB"/>
    <w:rsid w:val="00FE4D02"/>
    <w:rsid w:val="00FE58F0"/>
    <w:rsid w:val="00FE5CC6"/>
    <w:rsid w:val="00FE7D62"/>
    <w:rsid w:val="00FF3819"/>
    <w:rsid w:val="00FF44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6ED1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391"/>
    <w:pPr>
      <w:tabs>
        <w:tab w:val="left" w:pos="1247"/>
        <w:tab w:val="left" w:pos="1814"/>
        <w:tab w:val="left" w:pos="2381"/>
        <w:tab w:val="left" w:pos="2948"/>
        <w:tab w:val="left" w:pos="3515"/>
      </w:tabs>
    </w:pPr>
    <w:rPr>
      <w:lang w:val="fr-FR"/>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Ref. de nota al pie),number,SUPERS,Footnote Reference Superscript,Footnote Reference S"/>
    <w:qFormat/>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 text,Footnotes,Footnote ak,ft,fn cafc,Footnotes Char Char,Footnote Text Char Char,fn Char Char,footnote text Char Char Char Ch,footnote text Char Char Char Ch Char,-E Fußnotentext"/>
    <w:basedOn w:val="Normalpool"/>
    <w:link w:val="FootnoteTextChar"/>
    <w:rsid w:val="000D6941"/>
    <w:pPr>
      <w:spacing w:before="20" w:after="40"/>
      <w:ind w:left="1247"/>
    </w:pPr>
    <w:rPr>
      <w:sz w:val="18"/>
    </w:rPr>
  </w:style>
  <w:style w:type="character" w:customStyle="1" w:styleId="Heading1Char">
    <w:name w:val="Heading 1 Char"/>
    <w:link w:val="Heading1"/>
    <w:uiPriority w:val="9"/>
    <w:locked/>
    <w:rsid w:val="00B02C53"/>
    <w:rPr>
      <w:b/>
      <w:sz w:val="28"/>
      <w:lang w:val="fr-FR" w:eastAsia="en-US" w:bidi="ar-SA"/>
    </w:rPr>
  </w:style>
  <w:style w:type="character" w:customStyle="1" w:styleId="FootnoteTextChar">
    <w:name w:val="Footnote Text Char"/>
    <w:aliases w:val="Geneva 9 Char1,Font: Geneva 9 Char1,Boston 10 Char1,f Char1,DNV-FT Char1,fn Char,footnote text Char,Footnotes Char,Footnote ak Char,ft Char,fn cafc Char,Footnotes Char Char Char,Footnote Text Char Char Char,fn Char Char Char"/>
    <w:link w:val="FootnoteText"/>
    <w:rsid w:val="009349CC"/>
    <w:rPr>
      <w:sz w:val="18"/>
      <w:lang w:val="fr-FR"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lang w:val="en-GB"/>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rPr>
  </w:style>
  <w:style w:type="paragraph" w:customStyle="1" w:styleId="ColorfulList-Accent11">
    <w:name w:val="Colorful List - Accent 11"/>
    <w:basedOn w:val="Normal"/>
    <w:uiPriority w:val="34"/>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nhideWhenUsed/>
    <w:rsid w:val="009349CC"/>
    <w:pPr>
      <w:tabs>
        <w:tab w:val="clear" w:pos="1247"/>
        <w:tab w:val="clear" w:pos="1814"/>
        <w:tab w:val="clear" w:pos="2381"/>
        <w:tab w:val="clear" w:pos="2948"/>
        <w:tab w:val="clear" w:pos="3515"/>
      </w:tabs>
    </w:pPr>
    <w:rPr>
      <w:rFonts w:ascii="Tahoma" w:eastAsia="MS Mincho" w:hAnsi="Tahoma" w:cs="Tahoma"/>
      <w:sz w:val="16"/>
      <w:szCs w:val="16"/>
      <w:lang w:val="en-GB" w:eastAsia="ja-JP"/>
    </w:rPr>
  </w:style>
  <w:style w:type="character" w:customStyle="1" w:styleId="BalloonTextChar">
    <w:name w:val="Balloon Text Char"/>
    <w:link w:val="BalloonText"/>
    <w:rsid w:val="009349CC"/>
    <w:rPr>
      <w:rFonts w:ascii="Tahoma" w:eastAsia="MS Mincho" w:hAnsi="Tahoma" w:cs="Tahoma"/>
      <w:sz w:val="16"/>
      <w:szCs w:val="16"/>
      <w:lang w:eastAsia="ja-JP"/>
    </w:rPr>
  </w:style>
  <w:style w:type="paragraph" w:customStyle="1" w:styleId="TOCHeading1">
    <w:name w:val="TOC Heading1"/>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uiPriority w:val="9"/>
    <w:rsid w:val="009349CC"/>
    <w:rPr>
      <w:b/>
      <w:sz w:val="24"/>
      <w:szCs w:val="24"/>
      <w:lang w:val="fr-FR"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styleId="Title">
    <w:name w:val="Title"/>
    <w:basedOn w:val="Normal"/>
    <w:link w:val="TitleChar"/>
    <w:qFormat/>
    <w:rsid w:val="003E1CCD"/>
    <w:pPr>
      <w:tabs>
        <w:tab w:val="clear" w:pos="1247"/>
        <w:tab w:val="clear" w:pos="1814"/>
        <w:tab w:val="clear" w:pos="2381"/>
        <w:tab w:val="clear" w:pos="2948"/>
        <w:tab w:val="clear" w:pos="3515"/>
      </w:tabs>
      <w:ind w:right="567"/>
      <w:jc w:val="center"/>
      <w:outlineLvl w:val="0"/>
    </w:pPr>
    <w:rPr>
      <w:rFonts w:ascii="Tahoma" w:eastAsia="MS Mincho" w:hAnsi="Tahoma" w:cs="Tahoma"/>
      <w:b/>
      <w:bCs/>
      <w:kern w:val="28"/>
      <w:sz w:val="24"/>
      <w:szCs w:val="28"/>
      <w:lang w:val="en-GB"/>
    </w:rPr>
  </w:style>
  <w:style w:type="character" w:customStyle="1" w:styleId="TitleChar">
    <w:name w:val="Title Char"/>
    <w:link w:val="Title"/>
    <w:rsid w:val="003E1CCD"/>
    <w:rPr>
      <w:rFonts w:ascii="Tahoma" w:eastAsia="MS Mincho" w:hAnsi="Tahoma" w:cs="Tahoma"/>
      <w:b/>
      <w:bCs/>
      <w:kern w:val="28"/>
      <w:sz w:val="24"/>
      <w:szCs w:val="28"/>
      <w:lang w:eastAsia="en-US"/>
    </w:rPr>
  </w:style>
  <w:style w:type="character" w:customStyle="1" w:styleId="NormalNonumberChar">
    <w:name w:val="Normal_No_number Char"/>
    <w:link w:val="NormalNonumber"/>
    <w:rsid w:val="003E1CCD"/>
    <w:rPr>
      <w:lang w:eastAsia="en-US"/>
    </w:rPr>
  </w:style>
  <w:style w:type="paragraph" w:customStyle="1" w:styleId="Default">
    <w:name w:val="Default"/>
    <w:rsid w:val="003E1CCD"/>
    <w:pPr>
      <w:autoSpaceDE w:val="0"/>
      <w:autoSpaceDN w:val="0"/>
      <w:adjustRightInd w:val="0"/>
    </w:pPr>
    <w:rPr>
      <w:rFonts w:ascii="Symbol" w:hAnsi="Symbol" w:cs="Symbol"/>
      <w:color w:val="000000"/>
      <w:sz w:val="24"/>
      <w:szCs w:val="24"/>
    </w:rPr>
  </w:style>
  <w:style w:type="table" w:styleId="TableGrid">
    <w:name w:val="Table Grid"/>
    <w:basedOn w:val="TableNormal"/>
    <w:uiPriority w:val="59"/>
    <w:rsid w:val="003E1C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rsid w:val="00F33502"/>
    <w:rPr>
      <w:lang w:val="en-GB"/>
    </w:rPr>
  </w:style>
  <w:style w:type="paragraph" w:styleId="ListParagraph">
    <w:name w:val="List Paragraph"/>
    <w:basedOn w:val="Normal"/>
    <w:uiPriority w:val="99"/>
    <w:qFormat/>
    <w:rsid w:val="004F5555"/>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Normal-poolChar">
    <w:name w:val="Normal-pool Char"/>
    <w:link w:val="Normal-pool"/>
    <w:locked/>
    <w:rsid w:val="004F5555"/>
    <w:rPr>
      <w:lang w:val="en-GB"/>
    </w:rPr>
  </w:style>
  <w:style w:type="paragraph" w:styleId="Subtitle">
    <w:name w:val="Subtitle"/>
    <w:basedOn w:val="Normal"/>
    <w:next w:val="Normal"/>
    <w:link w:val="SubtitleChar"/>
    <w:rsid w:val="004A6852"/>
    <w:pPr>
      <w:keepNext/>
      <w:keepLines/>
      <w:spacing w:before="360" w:after="80"/>
      <w:contextualSpacing/>
    </w:pPr>
    <w:rPr>
      <w:rFonts w:ascii="Georgia" w:eastAsia="Georgia" w:hAnsi="Georgia" w:cs="Georgia"/>
      <w:i/>
      <w:color w:val="666666"/>
      <w:sz w:val="48"/>
      <w:szCs w:val="48"/>
      <w:lang w:val="en-US"/>
    </w:rPr>
  </w:style>
  <w:style w:type="character" w:customStyle="1" w:styleId="SubtitleChar">
    <w:name w:val="Subtitle Char"/>
    <w:link w:val="Subtitle"/>
    <w:rsid w:val="004A6852"/>
    <w:rPr>
      <w:rFonts w:ascii="Georgia" w:eastAsia="Georgia" w:hAnsi="Georgia" w:cs="Georgia"/>
      <w:i/>
      <w:color w:val="666666"/>
      <w:sz w:val="48"/>
      <w:szCs w:val="48"/>
    </w:rPr>
  </w:style>
  <w:style w:type="character" w:styleId="CommentReference">
    <w:name w:val="annotation reference"/>
    <w:uiPriority w:val="99"/>
    <w:unhideWhenUsed/>
    <w:rsid w:val="004A6852"/>
    <w:rPr>
      <w:sz w:val="16"/>
      <w:szCs w:val="16"/>
    </w:rPr>
  </w:style>
  <w:style w:type="paragraph" w:styleId="CommentText">
    <w:name w:val="annotation text"/>
    <w:basedOn w:val="Normal"/>
    <w:link w:val="CommentTextChar"/>
    <w:uiPriority w:val="99"/>
    <w:unhideWhenUsed/>
    <w:rsid w:val="004A6852"/>
    <w:rPr>
      <w:color w:val="000000"/>
      <w:lang w:val="en-US"/>
    </w:rPr>
  </w:style>
  <w:style w:type="character" w:customStyle="1" w:styleId="CommentTextChar">
    <w:name w:val="Comment Text Char"/>
    <w:link w:val="CommentText"/>
    <w:uiPriority w:val="99"/>
    <w:rsid w:val="004A6852"/>
    <w:rPr>
      <w:color w:val="000000"/>
    </w:rPr>
  </w:style>
  <w:style w:type="paragraph" w:styleId="CommentSubject">
    <w:name w:val="annotation subject"/>
    <w:basedOn w:val="CommentText"/>
    <w:next w:val="CommentText"/>
    <w:link w:val="CommentSubjectChar"/>
    <w:uiPriority w:val="99"/>
    <w:unhideWhenUsed/>
    <w:rsid w:val="004A6852"/>
    <w:rPr>
      <w:b/>
      <w:bCs/>
    </w:rPr>
  </w:style>
  <w:style w:type="character" w:customStyle="1" w:styleId="CommentSubjectChar">
    <w:name w:val="Comment Subject Char"/>
    <w:link w:val="CommentSubject"/>
    <w:uiPriority w:val="99"/>
    <w:rsid w:val="004A6852"/>
    <w:rPr>
      <w:b/>
      <w:bCs/>
      <w:color w:val="000000"/>
    </w:rPr>
  </w:style>
  <w:style w:type="paragraph" w:styleId="Revision">
    <w:name w:val="Revision"/>
    <w:hidden/>
    <w:uiPriority w:val="99"/>
    <w:semiHidden/>
    <w:rsid w:val="004A6852"/>
    <w:rPr>
      <w:color w:val="000000"/>
    </w:rPr>
  </w:style>
  <w:style w:type="character" w:customStyle="1" w:styleId="FooterChar">
    <w:name w:val="Footer Char"/>
    <w:link w:val="Footer"/>
    <w:uiPriority w:val="99"/>
    <w:rsid w:val="004A6852"/>
    <w:rPr>
      <w:sz w:val="18"/>
      <w:lang w:val="fr-FR"/>
    </w:rPr>
  </w:style>
  <w:style w:type="character" w:customStyle="1" w:styleId="FootnoteTextChar1">
    <w:name w:val="Footnote Text Char1"/>
    <w:aliases w:val="Geneva 9 Char,Font: Geneva 9 Char,Boston 10 Char,f Char,DNV-FT Char"/>
    <w:uiPriority w:val="99"/>
    <w:semiHidden/>
    <w:locked/>
    <w:rsid w:val="007F5418"/>
    <w:rPr>
      <w:color w:val="auto"/>
      <w:sz w:val="18"/>
      <w:lang w:val="fr-FR"/>
    </w:rPr>
  </w:style>
  <w:style w:type="paragraph" w:styleId="NoSpacing">
    <w:name w:val="No Spacing"/>
    <w:uiPriority w:val="1"/>
    <w:qFormat/>
    <w:rsid w:val="007F5418"/>
    <w:pPr>
      <w:tabs>
        <w:tab w:val="left" w:pos="1247"/>
        <w:tab w:val="left" w:pos="1814"/>
        <w:tab w:val="left" w:pos="2381"/>
        <w:tab w:val="left" w:pos="2948"/>
        <w:tab w:val="left" w:pos="3515"/>
      </w:tabs>
    </w:pPr>
    <w:rPr>
      <w:color w:val="000000"/>
    </w:rPr>
  </w:style>
  <w:style w:type="paragraph" w:customStyle="1" w:styleId="H1">
    <w:name w:val="_ H_1"/>
    <w:basedOn w:val="Normal"/>
    <w:next w:val="SingleTxt"/>
    <w:rsid w:val="007F2793"/>
    <w:pPr>
      <w:keepNext/>
      <w:keepLines/>
      <w:tabs>
        <w:tab w:val="clear" w:pos="1247"/>
        <w:tab w:val="clear" w:pos="1814"/>
        <w:tab w:val="clear" w:pos="2381"/>
        <w:tab w:val="clear" w:pos="2948"/>
        <w:tab w:val="clear" w:pos="3515"/>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70" w:lineRule="exact"/>
      <w:ind w:left="1267" w:right="1267" w:hanging="1267"/>
      <w:outlineLvl w:val="0"/>
    </w:pPr>
    <w:rPr>
      <w:rFonts w:eastAsia="Calibri"/>
      <w:b/>
      <w:spacing w:val="4"/>
      <w:w w:val="103"/>
      <w:kern w:val="14"/>
      <w:sz w:val="24"/>
      <w:lang w:val="en-GB"/>
    </w:rPr>
  </w:style>
  <w:style w:type="paragraph" w:customStyle="1" w:styleId="SingleTxt">
    <w:name w:val="__Single Txt"/>
    <w:basedOn w:val="Normal"/>
    <w:rsid w:val="007F2793"/>
    <w:pPr>
      <w:tabs>
        <w:tab w:val="clear" w:pos="1247"/>
        <w:tab w:val="clear" w:pos="1814"/>
        <w:tab w:val="clear" w:pos="2381"/>
        <w:tab w:val="clear" w:pos="2948"/>
        <w:tab w:val="clear" w:pos="351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Calibri"/>
      <w:spacing w:val="4"/>
      <w:w w:val="103"/>
      <w:kern w:val="14"/>
      <w:lang w:val="en-GB"/>
    </w:rPr>
  </w:style>
  <w:style w:type="paragraph" w:styleId="NormalWeb">
    <w:name w:val="Normal (Web)"/>
    <w:basedOn w:val="Normal"/>
    <w:uiPriority w:val="99"/>
    <w:unhideWhenUsed/>
    <w:rsid w:val="007F2793"/>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character" w:styleId="FollowedHyperlink">
    <w:name w:val="FollowedHyperlink"/>
    <w:rsid w:val="007F2793"/>
    <w:rPr>
      <w:color w:val="800080"/>
      <w:u w:val="single"/>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F33502"/>
    <w:pPr>
      <w:numPr>
        <w:numId w:val="4"/>
      </w:numPr>
      <w:tabs>
        <w:tab w:val="clear" w:pos="1814"/>
        <w:tab w:val="clear" w:pos="2381"/>
        <w:tab w:val="clear" w:pos="2948"/>
        <w:tab w:val="clear" w:pos="3515"/>
        <w:tab w:val="clear" w:pos="4082"/>
        <w:tab w:val="left" w:pos="624"/>
        <w:tab w:val="left" w:pos="1871"/>
        <w:tab w:val="left" w:pos="2495"/>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numbering" w:customStyle="1" w:styleId="List21">
    <w:name w:val="List 21"/>
    <w:basedOn w:val="NoList"/>
    <w:rsid w:val="00EF688E"/>
    <w:pPr>
      <w:numPr>
        <w:numId w:val="19"/>
      </w:numPr>
    </w:pPr>
  </w:style>
  <w:style w:type="character" w:styleId="Strong">
    <w:name w:val="Strong"/>
    <w:uiPriority w:val="22"/>
    <w:qFormat/>
    <w:rsid w:val="00EF688E"/>
    <w:rPr>
      <w:szCs w:val="16"/>
    </w:rPr>
  </w:style>
  <w:style w:type="paragraph" w:customStyle="1" w:styleId="Subtitle0">
    <w:name w:val="Sub title"/>
    <w:basedOn w:val="Heading2"/>
    <w:rsid w:val="00EF688E"/>
    <w:pPr>
      <w:tabs>
        <w:tab w:val="clear" w:pos="1247"/>
        <w:tab w:val="clear" w:pos="1814"/>
        <w:tab w:val="clear" w:pos="2381"/>
        <w:tab w:val="clear" w:pos="2948"/>
        <w:tab w:val="clear" w:pos="3515"/>
      </w:tabs>
      <w:spacing w:before="0" w:after="0"/>
      <w:ind w:firstLine="0"/>
    </w:pPr>
    <w:rPr>
      <w:rFonts w:eastAsia="MS Mincho"/>
      <w:lang w:val="en-GB"/>
    </w:rPr>
  </w:style>
  <w:style w:type="character" w:customStyle="1" w:styleId="HeaderChar">
    <w:name w:val="Header Char"/>
    <w:basedOn w:val="DefaultParagraphFont"/>
    <w:link w:val="Header"/>
    <w:semiHidden/>
    <w:rsid w:val="006851F6"/>
    <w:rPr>
      <w:b/>
      <w:sz w:val="18"/>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annotation subjec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391"/>
    <w:pPr>
      <w:tabs>
        <w:tab w:val="left" w:pos="1247"/>
        <w:tab w:val="left" w:pos="1814"/>
        <w:tab w:val="left" w:pos="2381"/>
        <w:tab w:val="left" w:pos="2948"/>
        <w:tab w:val="left" w:pos="3515"/>
      </w:tabs>
    </w:pPr>
    <w:rPr>
      <w:lang w:val="fr-FR"/>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Ref. de nota al pie),number,SUPERS,Footnote Reference Superscript,Footnote Reference S"/>
    <w:qFormat/>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 text,Footnotes,Footnote ak,ft,fn cafc,Footnotes Char Char,Footnote Text Char Char,fn Char Char,footnote text Char Char Char Ch,footnote text Char Char Char Ch Char,-E Fußnotentext"/>
    <w:basedOn w:val="Normalpool"/>
    <w:link w:val="FootnoteTextChar"/>
    <w:rsid w:val="000D6941"/>
    <w:pPr>
      <w:spacing w:before="20" w:after="40"/>
      <w:ind w:left="1247"/>
    </w:pPr>
    <w:rPr>
      <w:sz w:val="18"/>
    </w:rPr>
  </w:style>
  <w:style w:type="character" w:customStyle="1" w:styleId="Heading1Char">
    <w:name w:val="Heading 1 Char"/>
    <w:link w:val="Heading1"/>
    <w:uiPriority w:val="9"/>
    <w:locked/>
    <w:rsid w:val="00B02C53"/>
    <w:rPr>
      <w:b/>
      <w:sz w:val="28"/>
      <w:lang w:val="fr-FR" w:eastAsia="en-US" w:bidi="ar-SA"/>
    </w:rPr>
  </w:style>
  <w:style w:type="character" w:customStyle="1" w:styleId="FootnoteTextChar">
    <w:name w:val="Footnote Text Char"/>
    <w:aliases w:val="Geneva 9 Char1,Font: Geneva 9 Char1,Boston 10 Char1,f Char1,DNV-FT Char1,fn Char,footnote text Char,Footnotes Char,Footnote ak Char,ft Char,fn cafc Char,Footnotes Char Char Char,Footnote Text Char Char Char,fn Char Char Char"/>
    <w:link w:val="FootnoteText"/>
    <w:rsid w:val="009349CC"/>
    <w:rPr>
      <w:sz w:val="18"/>
      <w:lang w:val="fr-FR"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lang w:val="en-GB"/>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rPr>
  </w:style>
  <w:style w:type="paragraph" w:customStyle="1" w:styleId="ColorfulList-Accent11">
    <w:name w:val="Colorful List - Accent 11"/>
    <w:basedOn w:val="Normal"/>
    <w:uiPriority w:val="34"/>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nhideWhenUsed/>
    <w:rsid w:val="009349CC"/>
    <w:pPr>
      <w:tabs>
        <w:tab w:val="clear" w:pos="1247"/>
        <w:tab w:val="clear" w:pos="1814"/>
        <w:tab w:val="clear" w:pos="2381"/>
        <w:tab w:val="clear" w:pos="2948"/>
        <w:tab w:val="clear" w:pos="3515"/>
      </w:tabs>
    </w:pPr>
    <w:rPr>
      <w:rFonts w:ascii="Tahoma" w:eastAsia="MS Mincho" w:hAnsi="Tahoma" w:cs="Tahoma"/>
      <w:sz w:val="16"/>
      <w:szCs w:val="16"/>
      <w:lang w:val="en-GB" w:eastAsia="ja-JP"/>
    </w:rPr>
  </w:style>
  <w:style w:type="character" w:customStyle="1" w:styleId="BalloonTextChar">
    <w:name w:val="Balloon Text Char"/>
    <w:link w:val="BalloonText"/>
    <w:rsid w:val="009349CC"/>
    <w:rPr>
      <w:rFonts w:ascii="Tahoma" w:eastAsia="MS Mincho" w:hAnsi="Tahoma" w:cs="Tahoma"/>
      <w:sz w:val="16"/>
      <w:szCs w:val="16"/>
      <w:lang w:eastAsia="ja-JP"/>
    </w:rPr>
  </w:style>
  <w:style w:type="paragraph" w:customStyle="1" w:styleId="TOCHeading1">
    <w:name w:val="TOC Heading1"/>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uiPriority w:val="9"/>
    <w:rsid w:val="009349CC"/>
    <w:rPr>
      <w:b/>
      <w:sz w:val="24"/>
      <w:szCs w:val="24"/>
      <w:lang w:val="fr-FR"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styleId="Title">
    <w:name w:val="Title"/>
    <w:basedOn w:val="Normal"/>
    <w:link w:val="TitleChar"/>
    <w:qFormat/>
    <w:rsid w:val="003E1CCD"/>
    <w:pPr>
      <w:tabs>
        <w:tab w:val="clear" w:pos="1247"/>
        <w:tab w:val="clear" w:pos="1814"/>
        <w:tab w:val="clear" w:pos="2381"/>
        <w:tab w:val="clear" w:pos="2948"/>
        <w:tab w:val="clear" w:pos="3515"/>
      </w:tabs>
      <w:ind w:right="567"/>
      <w:jc w:val="center"/>
      <w:outlineLvl w:val="0"/>
    </w:pPr>
    <w:rPr>
      <w:rFonts w:ascii="Tahoma" w:eastAsia="MS Mincho" w:hAnsi="Tahoma" w:cs="Tahoma"/>
      <w:b/>
      <w:bCs/>
      <w:kern w:val="28"/>
      <w:sz w:val="24"/>
      <w:szCs w:val="28"/>
      <w:lang w:val="en-GB"/>
    </w:rPr>
  </w:style>
  <w:style w:type="character" w:customStyle="1" w:styleId="TitleChar">
    <w:name w:val="Title Char"/>
    <w:link w:val="Title"/>
    <w:rsid w:val="003E1CCD"/>
    <w:rPr>
      <w:rFonts w:ascii="Tahoma" w:eastAsia="MS Mincho" w:hAnsi="Tahoma" w:cs="Tahoma"/>
      <w:b/>
      <w:bCs/>
      <w:kern w:val="28"/>
      <w:sz w:val="24"/>
      <w:szCs w:val="28"/>
      <w:lang w:eastAsia="en-US"/>
    </w:rPr>
  </w:style>
  <w:style w:type="character" w:customStyle="1" w:styleId="NormalNonumberChar">
    <w:name w:val="Normal_No_number Char"/>
    <w:link w:val="NormalNonumber"/>
    <w:rsid w:val="003E1CCD"/>
    <w:rPr>
      <w:lang w:eastAsia="en-US"/>
    </w:rPr>
  </w:style>
  <w:style w:type="paragraph" w:customStyle="1" w:styleId="Default">
    <w:name w:val="Default"/>
    <w:rsid w:val="003E1CCD"/>
    <w:pPr>
      <w:autoSpaceDE w:val="0"/>
      <w:autoSpaceDN w:val="0"/>
      <w:adjustRightInd w:val="0"/>
    </w:pPr>
    <w:rPr>
      <w:rFonts w:ascii="Symbol" w:hAnsi="Symbol" w:cs="Symbol"/>
      <w:color w:val="000000"/>
      <w:sz w:val="24"/>
      <w:szCs w:val="24"/>
    </w:rPr>
  </w:style>
  <w:style w:type="table" w:styleId="TableGrid">
    <w:name w:val="Table Grid"/>
    <w:basedOn w:val="TableNormal"/>
    <w:uiPriority w:val="59"/>
    <w:rsid w:val="003E1C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rsid w:val="00F33502"/>
    <w:rPr>
      <w:lang w:val="en-GB"/>
    </w:rPr>
  </w:style>
  <w:style w:type="paragraph" w:styleId="ListParagraph">
    <w:name w:val="List Paragraph"/>
    <w:basedOn w:val="Normal"/>
    <w:uiPriority w:val="99"/>
    <w:qFormat/>
    <w:rsid w:val="004F5555"/>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Normal-poolChar">
    <w:name w:val="Normal-pool Char"/>
    <w:link w:val="Normal-pool"/>
    <w:locked/>
    <w:rsid w:val="004F5555"/>
    <w:rPr>
      <w:lang w:val="en-GB"/>
    </w:rPr>
  </w:style>
  <w:style w:type="paragraph" w:styleId="Subtitle">
    <w:name w:val="Subtitle"/>
    <w:basedOn w:val="Normal"/>
    <w:next w:val="Normal"/>
    <w:link w:val="SubtitleChar"/>
    <w:rsid w:val="004A6852"/>
    <w:pPr>
      <w:keepNext/>
      <w:keepLines/>
      <w:spacing w:before="360" w:after="80"/>
      <w:contextualSpacing/>
    </w:pPr>
    <w:rPr>
      <w:rFonts w:ascii="Georgia" w:eastAsia="Georgia" w:hAnsi="Georgia" w:cs="Georgia"/>
      <w:i/>
      <w:color w:val="666666"/>
      <w:sz w:val="48"/>
      <w:szCs w:val="48"/>
      <w:lang w:val="en-US"/>
    </w:rPr>
  </w:style>
  <w:style w:type="character" w:customStyle="1" w:styleId="SubtitleChar">
    <w:name w:val="Subtitle Char"/>
    <w:link w:val="Subtitle"/>
    <w:rsid w:val="004A6852"/>
    <w:rPr>
      <w:rFonts w:ascii="Georgia" w:eastAsia="Georgia" w:hAnsi="Georgia" w:cs="Georgia"/>
      <w:i/>
      <w:color w:val="666666"/>
      <w:sz w:val="48"/>
      <w:szCs w:val="48"/>
    </w:rPr>
  </w:style>
  <w:style w:type="character" w:styleId="CommentReference">
    <w:name w:val="annotation reference"/>
    <w:uiPriority w:val="99"/>
    <w:unhideWhenUsed/>
    <w:rsid w:val="004A6852"/>
    <w:rPr>
      <w:sz w:val="16"/>
      <w:szCs w:val="16"/>
    </w:rPr>
  </w:style>
  <w:style w:type="paragraph" w:styleId="CommentText">
    <w:name w:val="annotation text"/>
    <w:basedOn w:val="Normal"/>
    <w:link w:val="CommentTextChar"/>
    <w:uiPriority w:val="99"/>
    <w:unhideWhenUsed/>
    <w:rsid w:val="004A6852"/>
    <w:rPr>
      <w:color w:val="000000"/>
      <w:lang w:val="en-US"/>
    </w:rPr>
  </w:style>
  <w:style w:type="character" w:customStyle="1" w:styleId="CommentTextChar">
    <w:name w:val="Comment Text Char"/>
    <w:link w:val="CommentText"/>
    <w:uiPriority w:val="99"/>
    <w:rsid w:val="004A6852"/>
    <w:rPr>
      <w:color w:val="000000"/>
    </w:rPr>
  </w:style>
  <w:style w:type="paragraph" w:styleId="CommentSubject">
    <w:name w:val="annotation subject"/>
    <w:basedOn w:val="CommentText"/>
    <w:next w:val="CommentText"/>
    <w:link w:val="CommentSubjectChar"/>
    <w:uiPriority w:val="99"/>
    <w:unhideWhenUsed/>
    <w:rsid w:val="004A6852"/>
    <w:rPr>
      <w:b/>
      <w:bCs/>
    </w:rPr>
  </w:style>
  <w:style w:type="character" w:customStyle="1" w:styleId="CommentSubjectChar">
    <w:name w:val="Comment Subject Char"/>
    <w:link w:val="CommentSubject"/>
    <w:uiPriority w:val="99"/>
    <w:rsid w:val="004A6852"/>
    <w:rPr>
      <w:b/>
      <w:bCs/>
      <w:color w:val="000000"/>
    </w:rPr>
  </w:style>
  <w:style w:type="paragraph" w:styleId="Revision">
    <w:name w:val="Revision"/>
    <w:hidden/>
    <w:uiPriority w:val="99"/>
    <w:semiHidden/>
    <w:rsid w:val="004A6852"/>
    <w:rPr>
      <w:color w:val="000000"/>
    </w:rPr>
  </w:style>
  <w:style w:type="character" w:customStyle="1" w:styleId="FooterChar">
    <w:name w:val="Footer Char"/>
    <w:link w:val="Footer"/>
    <w:uiPriority w:val="99"/>
    <w:rsid w:val="004A6852"/>
    <w:rPr>
      <w:sz w:val="18"/>
      <w:lang w:val="fr-FR"/>
    </w:rPr>
  </w:style>
  <w:style w:type="character" w:customStyle="1" w:styleId="FootnoteTextChar1">
    <w:name w:val="Footnote Text Char1"/>
    <w:aliases w:val="Geneva 9 Char,Font: Geneva 9 Char,Boston 10 Char,f Char,DNV-FT Char"/>
    <w:uiPriority w:val="99"/>
    <w:semiHidden/>
    <w:locked/>
    <w:rsid w:val="007F5418"/>
    <w:rPr>
      <w:color w:val="auto"/>
      <w:sz w:val="18"/>
      <w:lang w:val="fr-FR"/>
    </w:rPr>
  </w:style>
  <w:style w:type="paragraph" w:styleId="NoSpacing">
    <w:name w:val="No Spacing"/>
    <w:uiPriority w:val="1"/>
    <w:qFormat/>
    <w:rsid w:val="007F5418"/>
    <w:pPr>
      <w:tabs>
        <w:tab w:val="left" w:pos="1247"/>
        <w:tab w:val="left" w:pos="1814"/>
        <w:tab w:val="left" w:pos="2381"/>
        <w:tab w:val="left" w:pos="2948"/>
        <w:tab w:val="left" w:pos="3515"/>
      </w:tabs>
    </w:pPr>
    <w:rPr>
      <w:color w:val="000000"/>
    </w:rPr>
  </w:style>
  <w:style w:type="paragraph" w:customStyle="1" w:styleId="H1">
    <w:name w:val="_ H_1"/>
    <w:basedOn w:val="Normal"/>
    <w:next w:val="SingleTxt"/>
    <w:rsid w:val="007F2793"/>
    <w:pPr>
      <w:keepNext/>
      <w:keepLines/>
      <w:tabs>
        <w:tab w:val="clear" w:pos="1247"/>
        <w:tab w:val="clear" w:pos="1814"/>
        <w:tab w:val="clear" w:pos="2381"/>
        <w:tab w:val="clear" w:pos="2948"/>
        <w:tab w:val="clear" w:pos="3515"/>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70" w:lineRule="exact"/>
      <w:ind w:left="1267" w:right="1267" w:hanging="1267"/>
      <w:outlineLvl w:val="0"/>
    </w:pPr>
    <w:rPr>
      <w:rFonts w:eastAsia="Calibri"/>
      <w:b/>
      <w:spacing w:val="4"/>
      <w:w w:val="103"/>
      <w:kern w:val="14"/>
      <w:sz w:val="24"/>
      <w:lang w:val="en-GB"/>
    </w:rPr>
  </w:style>
  <w:style w:type="paragraph" w:customStyle="1" w:styleId="SingleTxt">
    <w:name w:val="__Single Txt"/>
    <w:basedOn w:val="Normal"/>
    <w:rsid w:val="007F2793"/>
    <w:pPr>
      <w:tabs>
        <w:tab w:val="clear" w:pos="1247"/>
        <w:tab w:val="clear" w:pos="1814"/>
        <w:tab w:val="clear" w:pos="2381"/>
        <w:tab w:val="clear" w:pos="2948"/>
        <w:tab w:val="clear" w:pos="3515"/>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Calibri"/>
      <w:spacing w:val="4"/>
      <w:w w:val="103"/>
      <w:kern w:val="14"/>
      <w:lang w:val="en-GB"/>
    </w:rPr>
  </w:style>
  <w:style w:type="paragraph" w:styleId="NormalWeb">
    <w:name w:val="Normal (Web)"/>
    <w:basedOn w:val="Normal"/>
    <w:uiPriority w:val="99"/>
    <w:unhideWhenUsed/>
    <w:rsid w:val="007F2793"/>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character" w:styleId="FollowedHyperlink">
    <w:name w:val="FollowedHyperlink"/>
    <w:rsid w:val="007F2793"/>
    <w:rPr>
      <w:color w:val="800080"/>
      <w:u w:val="single"/>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link w:val="HeaderChar"/>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F33502"/>
    <w:pPr>
      <w:numPr>
        <w:numId w:val="4"/>
      </w:numPr>
      <w:tabs>
        <w:tab w:val="clear" w:pos="1814"/>
        <w:tab w:val="clear" w:pos="2381"/>
        <w:tab w:val="clear" w:pos="2948"/>
        <w:tab w:val="clear" w:pos="3515"/>
        <w:tab w:val="clear" w:pos="4082"/>
        <w:tab w:val="left" w:pos="624"/>
        <w:tab w:val="left" w:pos="1871"/>
        <w:tab w:val="left" w:pos="2495"/>
      </w:tabs>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numbering" w:customStyle="1" w:styleId="List21">
    <w:name w:val="List 21"/>
    <w:basedOn w:val="NoList"/>
    <w:rsid w:val="00EF688E"/>
    <w:pPr>
      <w:numPr>
        <w:numId w:val="19"/>
      </w:numPr>
    </w:pPr>
  </w:style>
  <w:style w:type="character" w:styleId="Strong">
    <w:name w:val="Strong"/>
    <w:uiPriority w:val="22"/>
    <w:qFormat/>
    <w:rsid w:val="00EF688E"/>
    <w:rPr>
      <w:szCs w:val="16"/>
    </w:rPr>
  </w:style>
  <w:style w:type="paragraph" w:customStyle="1" w:styleId="Subtitle0">
    <w:name w:val="Sub title"/>
    <w:basedOn w:val="Heading2"/>
    <w:rsid w:val="00EF688E"/>
    <w:pPr>
      <w:tabs>
        <w:tab w:val="clear" w:pos="1247"/>
        <w:tab w:val="clear" w:pos="1814"/>
        <w:tab w:val="clear" w:pos="2381"/>
        <w:tab w:val="clear" w:pos="2948"/>
        <w:tab w:val="clear" w:pos="3515"/>
      </w:tabs>
      <w:spacing w:before="0" w:after="0"/>
      <w:ind w:firstLine="0"/>
    </w:pPr>
    <w:rPr>
      <w:rFonts w:eastAsia="MS Mincho"/>
      <w:lang w:val="en-GB"/>
    </w:rPr>
  </w:style>
  <w:style w:type="character" w:customStyle="1" w:styleId="HeaderChar">
    <w:name w:val="Header Char"/>
    <w:basedOn w:val="DefaultParagraphFont"/>
    <w:link w:val="Header"/>
    <w:semiHidden/>
    <w:rsid w:val="006851F6"/>
    <w:rPr>
      <w:b/>
      <w:sz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03932">
      <w:bodyDiv w:val="1"/>
      <w:marLeft w:val="0"/>
      <w:marRight w:val="0"/>
      <w:marTop w:val="0"/>
      <w:marBottom w:val="0"/>
      <w:divBdr>
        <w:top w:val="none" w:sz="0" w:space="0" w:color="auto"/>
        <w:left w:val="none" w:sz="0" w:space="0" w:color="auto"/>
        <w:bottom w:val="none" w:sz="0" w:space="0" w:color="auto"/>
        <w:right w:val="none" w:sz="0" w:space="0" w:color="auto"/>
      </w:divBdr>
    </w:div>
    <w:div w:id="370230357">
      <w:bodyDiv w:val="1"/>
      <w:marLeft w:val="0"/>
      <w:marRight w:val="0"/>
      <w:marTop w:val="0"/>
      <w:marBottom w:val="0"/>
      <w:divBdr>
        <w:top w:val="none" w:sz="0" w:space="0" w:color="auto"/>
        <w:left w:val="none" w:sz="0" w:space="0" w:color="auto"/>
        <w:bottom w:val="none" w:sz="0" w:space="0" w:color="auto"/>
        <w:right w:val="none" w:sz="0" w:space="0" w:color="auto"/>
      </w:divBdr>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57309079">
      <w:bodyDiv w:val="1"/>
      <w:marLeft w:val="0"/>
      <w:marRight w:val="0"/>
      <w:marTop w:val="0"/>
      <w:marBottom w:val="0"/>
      <w:divBdr>
        <w:top w:val="none" w:sz="0" w:space="0" w:color="auto"/>
        <w:left w:val="none" w:sz="0" w:space="0" w:color="auto"/>
        <w:bottom w:val="none" w:sz="0" w:space="0" w:color="auto"/>
        <w:right w:val="none" w:sz="0" w:space="0" w:color="auto"/>
      </w:divBdr>
      <w:divsChild>
        <w:div w:id="1910842355">
          <w:marLeft w:val="0"/>
          <w:marRight w:val="0"/>
          <w:marTop w:val="0"/>
          <w:marBottom w:val="0"/>
          <w:divBdr>
            <w:top w:val="none" w:sz="0" w:space="0" w:color="auto"/>
            <w:left w:val="none" w:sz="0" w:space="0" w:color="auto"/>
            <w:bottom w:val="none" w:sz="0" w:space="0" w:color="auto"/>
            <w:right w:val="none" w:sz="0" w:space="0" w:color="auto"/>
          </w:divBdr>
          <w:divsChild>
            <w:div w:id="1456368560">
              <w:marLeft w:val="0"/>
              <w:marRight w:val="0"/>
              <w:marTop w:val="0"/>
              <w:marBottom w:val="0"/>
              <w:divBdr>
                <w:top w:val="none" w:sz="0" w:space="0" w:color="auto"/>
                <w:left w:val="none" w:sz="0" w:space="0" w:color="auto"/>
                <w:bottom w:val="none" w:sz="0" w:space="0" w:color="auto"/>
                <w:right w:val="none" w:sz="0" w:space="0" w:color="auto"/>
              </w:divBdr>
              <w:divsChild>
                <w:div w:id="72937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epmap.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32C61-5EB3-46D3-B219-B0DB8437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1724</Words>
  <Characters>9829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11530</CharactersWithSpaces>
  <SharedDoc>false</SharedDoc>
  <HLinks>
    <vt:vector size="24" baseType="variant">
      <vt:variant>
        <vt:i4>5701725</vt:i4>
      </vt:variant>
      <vt:variant>
        <vt:i4>3</vt:i4>
      </vt:variant>
      <vt:variant>
        <vt:i4>0</vt:i4>
      </vt:variant>
      <vt:variant>
        <vt:i4>5</vt:i4>
      </vt:variant>
      <vt:variant>
        <vt:lpwstr>http://www.marinelittermooc.org/learn/marine-litter-mooc-october-2015</vt:lpwstr>
      </vt:variant>
      <vt:variant>
        <vt:lpwstr/>
      </vt:variant>
      <vt:variant>
        <vt:i4>4718662</vt:i4>
      </vt:variant>
      <vt:variant>
        <vt:i4>6</vt:i4>
      </vt:variant>
      <vt:variant>
        <vt:i4>0</vt:i4>
      </vt:variant>
      <vt:variant>
        <vt:i4>5</vt:i4>
      </vt:variant>
      <vt:variant>
        <vt:lpwstr>http://www.unep.org/</vt:lpwstr>
      </vt:variant>
      <vt:variant>
        <vt:lpwstr/>
      </vt:variant>
      <vt:variant>
        <vt:i4>1114192</vt:i4>
      </vt:variant>
      <vt:variant>
        <vt:i4>3</vt:i4>
      </vt:variant>
      <vt:variant>
        <vt:i4>0</vt:i4>
      </vt:variant>
      <vt:variant>
        <vt:i4>5</vt:i4>
      </vt:variant>
      <vt:variant>
        <vt:lpwstr>www.marinelittermooc.org/learn/massive-open-online-course-mooc-on-marine-litter-october-2015</vt:lpwstr>
      </vt:variant>
      <vt:variant>
        <vt:lpwstr/>
      </vt:variant>
      <vt:variant>
        <vt:i4>3014779</vt:i4>
      </vt:variant>
      <vt:variant>
        <vt:i4>0</vt:i4>
      </vt:variant>
      <vt:variant>
        <vt:i4>0</vt:i4>
      </vt:variant>
      <vt:variant>
        <vt:i4>5</vt:i4>
      </vt:variant>
      <vt:variant>
        <vt:lpwstr>http://unep.org/gpa/documents/publications/PlasticinCosmetics2015Factsheet.pdf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Nikki Criticos</dc:creator>
  <cp:lastModifiedBy>John Njuguna</cp:lastModifiedBy>
  <cp:revision>2</cp:revision>
  <cp:lastPrinted>2016-03-10T08:51:00Z</cp:lastPrinted>
  <dcterms:created xsi:type="dcterms:W3CDTF">2016-05-21T12:18:00Z</dcterms:created>
  <dcterms:modified xsi:type="dcterms:W3CDTF">2016-05-21T12:18:00Z</dcterms:modified>
</cp:coreProperties>
</file>