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E70" w:rsidRDefault="00085E70">
      <w:pPr>
        <w:widowControl w:val="0"/>
        <w:overflowPunct w:val="0"/>
        <w:autoSpaceDE w:val="0"/>
        <w:autoSpaceDN w:val="0"/>
        <w:adjustRightInd w:val="0"/>
        <w:spacing w:after="0" w:line="275" w:lineRule="auto"/>
        <w:ind w:left="6" w:right="160"/>
        <w:rPr>
          <w:rFonts w:ascii="Times New Roman" w:hAnsi="Times New Roman"/>
          <w:sz w:val="24"/>
          <w:szCs w:val="24"/>
        </w:rPr>
      </w:pPr>
      <w:bookmarkStart w:id="0" w:name="page1"/>
      <w:bookmarkStart w:id="1" w:name="_GoBack"/>
      <w:bookmarkEnd w:id="0"/>
      <w:bookmarkEnd w:id="1"/>
      <w:r>
        <w:rPr>
          <w:rFonts w:ascii="Times New Roman" w:hAnsi="Times New Roman"/>
          <w:b/>
          <w:bCs/>
          <w:sz w:val="28"/>
          <w:szCs w:val="28"/>
        </w:rPr>
        <w:t>2/22 Review of the cycle of the United Nations Environment Assembly of the United Nations Environment Programme</w:t>
      </w:r>
    </w:p>
    <w:p w:rsidR="00085E70" w:rsidRDefault="00085E70">
      <w:pPr>
        <w:widowControl w:val="0"/>
        <w:autoSpaceDE w:val="0"/>
        <w:autoSpaceDN w:val="0"/>
        <w:adjustRightInd w:val="0"/>
        <w:spacing w:after="0" w:line="230" w:lineRule="exact"/>
        <w:rPr>
          <w:rFonts w:ascii="Times New Roman" w:hAnsi="Times New Roman"/>
          <w:sz w:val="24"/>
          <w:szCs w:val="24"/>
        </w:rPr>
      </w:pPr>
    </w:p>
    <w:p w:rsidR="00085E70" w:rsidRDefault="00085E70">
      <w:pPr>
        <w:widowControl w:val="0"/>
        <w:autoSpaceDE w:val="0"/>
        <w:autoSpaceDN w:val="0"/>
        <w:adjustRightInd w:val="0"/>
        <w:spacing w:after="0" w:line="240" w:lineRule="auto"/>
        <w:ind w:left="6"/>
        <w:rPr>
          <w:rFonts w:ascii="Times New Roman" w:hAnsi="Times New Roman"/>
          <w:sz w:val="24"/>
          <w:szCs w:val="24"/>
        </w:rPr>
      </w:pPr>
      <w:r>
        <w:rPr>
          <w:rFonts w:ascii="Times New Roman" w:hAnsi="Times New Roman"/>
          <w:i/>
          <w:iCs/>
          <w:sz w:val="20"/>
          <w:szCs w:val="20"/>
        </w:rPr>
        <w:t>The United Nations Environment Assembly,</w:t>
      </w:r>
    </w:p>
    <w:p w:rsidR="00085E70" w:rsidRDefault="00085E70">
      <w:pPr>
        <w:widowControl w:val="0"/>
        <w:autoSpaceDE w:val="0"/>
        <w:autoSpaceDN w:val="0"/>
        <w:adjustRightInd w:val="0"/>
        <w:spacing w:after="0" w:line="231" w:lineRule="exact"/>
        <w:rPr>
          <w:rFonts w:ascii="Times New Roman" w:hAnsi="Times New Roman"/>
          <w:sz w:val="24"/>
          <w:szCs w:val="24"/>
        </w:rPr>
      </w:pPr>
    </w:p>
    <w:p w:rsidR="00085E70" w:rsidRDefault="00085E70">
      <w:pPr>
        <w:widowControl w:val="0"/>
        <w:overflowPunct w:val="0"/>
        <w:autoSpaceDE w:val="0"/>
        <w:autoSpaceDN w:val="0"/>
        <w:adjustRightInd w:val="0"/>
        <w:spacing w:after="0" w:line="241" w:lineRule="auto"/>
        <w:ind w:left="6" w:right="400"/>
        <w:rPr>
          <w:rFonts w:ascii="Times New Roman" w:hAnsi="Times New Roman"/>
          <w:sz w:val="24"/>
          <w:szCs w:val="24"/>
        </w:rPr>
      </w:pPr>
      <w:r>
        <w:rPr>
          <w:rFonts w:ascii="Times New Roman" w:hAnsi="Times New Roman"/>
          <w:i/>
          <w:iCs/>
          <w:sz w:val="20"/>
          <w:szCs w:val="20"/>
        </w:rPr>
        <w:t xml:space="preserve">Recalling </w:t>
      </w:r>
      <w:r>
        <w:rPr>
          <w:rFonts w:ascii="Times New Roman" w:hAnsi="Times New Roman"/>
          <w:sz w:val="20"/>
          <w:szCs w:val="20"/>
        </w:rPr>
        <w:t>General Assembly resolutions 2997(XXVII) of 15 December 1972, 42/185 of 11 December 1987, 67/213 of 21</w:t>
      </w:r>
      <w:r>
        <w:rPr>
          <w:rFonts w:ascii="Times New Roman" w:hAnsi="Times New Roman"/>
          <w:i/>
          <w:iCs/>
          <w:sz w:val="20"/>
          <w:szCs w:val="20"/>
        </w:rPr>
        <w:t xml:space="preserve"> </w:t>
      </w:r>
      <w:r>
        <w:rPr>
          <w:rFonts w:ascii="Times New Roman" w:hAnsi="Times New Roman"/>
          <w:sz w:val="20"/>
          <w:szCs w:val="20"/>
        </w:rPr>
        <w:t>December 2012 and 67/251 of 13 March 2013 as well as Governing Council decision 27/2 of 22 February 2013,</w:t>
      </w:r>
    </w:p>
    <w:p w:rsidR="00085E70" w:rsidRDefault="00085E70">
      <w:pPr>
        <w:widowControl w:val="0"/>
        <w:autoSpaceDE w:val="0"/>
        <w:autoSpaceDN w:val="0"/>
        <w:adjustRightInd w:val="0"/>
        <w:spacing w:after="0" w:line="2" w:lineRule="exact"/>
        <w:rPr>
          <w:rFonts w:ascii="Times New Roman" w:hAnsi="Times New Roman"/>
          <w:sz w:val="24"/>
          <w:szCs w:val="24"/>
        </w:rPr>
      </w:pPr>
    </w:p>
    <w:p w:rsidR="00085E70" w:rsidRDefault="00085E70">
      <w:pPr>
        <w:widowControl w:val="0"/>
        <w:numPr>
          <w:ilvl w:val="0"/>
          <w:numId w:val="1"/>
        </w:numPr>
        <w:tabs>
          <w:tab w:val="clear" w:pos="720"/>
          <w:tab w:val="num" w:pos="206"/>
        </w:tabs>
        <w:overflowPunct w:val="0"/>
        <w:autoSpaceDE w:val="0"/>
        <w:autoSpaceDN w:val="0"/>
        <w:adjustRightInd w:val="0"/>
        <w:spacing w:after="0" w:line="240" w:lineRule="auto"/>
        <w:ind w:left="206" w:hanging="206"/>
        <w:jc w:val="both"/>
        <w:rPr>
          <w:rFonts w:ascii="Times New Roman" w:hAnsi="Times New Roman"/>
          <w:sz w:val="20"/>
          <w:szCs w:val="20"/>
        </w:rPr>
      </w:pPr>
      <w:r>
        <w:rPr>
          <w:rFonts w:ascii="Times New Roman" w:hAnsi="Times New Roman"/>
          <w:i/>
          <w:iCs/>
          <w:sz w:val="20"/>
          <w:szCs w:val="20"/>
        </w:rPr>
        <w:t xml:space="preserve">Decides </w:t>
      </w:r>
      <w:r>
        <w:rPr>
          <w:rFonts w:ascii="Times New Roman" w:hAnsi="Times New Roman"/>
          <w:sz w:val="20"/>
          <w:szCs w:val="20"/>
        </w:rPr>
        <w:t>to hold its regular sessions in odd numbered years commencing with its third session in 2017;</w:t>
      </w:r>
      <w:r>
        <w:rPr>
          <w:rFonts w:ascii="Times New Roman" w:hAnsi="Times New Roman"/>
          <w:i/>
          <w:iCs/>
          <w:sz w:val="20"/>
          <w:szCs w:val="20"/>
        </w:rPr>
        <w:t xml:space="preserve"> </w:t>
      </w:r>
    </w:p>
    <w:p w:rsidR="00085E70" w:rsidRDefault="00085E70">
      <w:pPr>
        <w:widowControl w:val="0"/>
        <w:autoSpaceDE w:val="0"/>
        <w:autoSpaceDN w:val="0"/>
        <w:adjustRightInd w:val="0"/>
        <w:spacing w:after="0" w:line="135" w:lineRule="exact"/>
        <w:rPr>
          <w:rFonts w:ascii="Times New Roman" w:hAnsi="Times New Roman"/>
          <w:sz w:val="20"/>
          <w:szCs w:val="20"/>
        </w:rPr>
      </w:pPr>
    </w:p>
    <w:p w:rsidR="00085E70" w:rsidRDefault="00085E70">
      <w:pPr>
        <w:widowControl w:val="0"/>
        <w:numPr>
          <w:ilvl w:val="0"/>
          <w:numId w:val="1"/>
        </w:numPr>
        <w:tabs>
          <w:tab w:val="clear" w:pos="720"/>
          <w:tab w:val="num" w:pos="207"/>
        </w:tabs>
        <w:overflowPunct w:val="0"/>
        <w:autoSpaceDE w:val="0"/>
        <w:autoSpaceDN w:val="0"/>
        <w:adjustRightInd w:val="0"/>
        <w:spacing w:after="0" w:line="275" w:lineRule="auto"/>
        <w:ind w:left="6" w:right="240" w:hanging="6"/>
        <w:jc w:val="both"/>
        <w:rPr>
          <w:rFonts w:ascii="Times New Roman" w:hAnsi="Times New Roman"/>
          <w:sz w:val="20"/>
          <w:szCs w:val="20"/>
        </w:rPr>
      </w:pPr>
      <w:r>
        <w:rPr>
          <w:rFonts w:ascii="Times New Roman" w:hAnsi="Times New Roman"/>
          <w:i/>
          <w:iCs/>
          <w:sz w:val="20"/>
          <w:szCs w:val="20"/>
        </w:rPr>
        <w:t xml:space="preserve">Also decides </w:t>
      </w:r>
      <w:r>
        <w:rPr>
          <w:rFonts w:ascii="Times New Roman" w:hAnsi="Times New Roman"/>
          <w:sz w:val="20"/>
          <w:szCs w:val="20"/>
        </w:rPr>
        <w:t>that the above-mentioned cycle shall also apply to the open-ended meetings of the Committee of Permanent</w:t>
      </w:r>
      <w:r>
        <w:rPr>
          <w:rFonts w:ascii="Times New Roman" w:hAnsi="Times New Roman"/>
          <w:i/>
          <w:iCs/>
          <w:sz w:val="20"/>
          <w:szCs w:val="20"/>
        </w:rPr>
        <w:t xml:space="preserve"> </w:t>
      </w:r>
      <w:r>
        <w:rPr>
          <w:rFonts w:ascii="Times New Roman" w:hAnsi="Times New Roman"/>
          <w:sz w:val="20"/>
          <w:szCs w:val="20"/>
        </w:rPr>
        <w:t xml:space="preserve">Representatives to be held in accordance with Governing Council decision 27/2, </w:t>
      </w:r>
    </w:p>
    <w:p w:rsidR="00085E70" w:rsidRDefault="00085E70">
      <w:pPr>
        <w:widowControl w:val="0"/>
        <w:autoSpaceDE w:val="0"/>
        <w:autoSpaceDN w:val="0"/>
        <w:adjustRightInd w:val="0"/>
        <w:spacing w:after="0" w:line="71" w:lineRule="exact"/>
        <w:rPr>
          <w:rFonts w:ascii="Times New Roman" w:hAnsi="Times New Roman"/>
          <w:sz w:val="20"/>
          <w:szCs w:val="20"/>
        </w:rPr>
      </w:pPr>
    </w:p>
    <w:p w:rsidR="00085E70" w:rsidRDefault="00085E70">
      <w:pPr>
        <w:widowControl w:val="0"/>
        <w:numPr>
          <w:ilvl w:val="0"/>
          <w:numId w:val="1"/>
        </w:numPr>
        <w:tabs>
          <w:tab w:val="clear" w:pos="720"/>
          <w:tab w:val="num" w:pos="206"/>
        </w:tabs>
        <w:overflowPunct w:val="0"/>
        <w:autoSpaceDE w:val="0"/>
        <w:autoSpaceDN w:val="0"/>
        <w:adjustRightInd w:val="0"/>
        <w:spacing w:after="0" w:line="240" w:lineRule="auto"/>
        <w:ind w:left="206" w:hanging="206"/>
        <w:jc w:val="both"/>
        <w:rPr>
          <w:rFonts w:ascii="Times New Roman" w:hAnsi="Times New Roman"/>
          <w:sz w:val="20"/>
          <w:szCs w:val="20"/>
        </w:rPr>
      </w:pPr>
      <w:r>
        <w:rPr>
          <w:rFonts w:ascii="Times New Roman" w:hAnsi="Times New Roman"/>
          <w:i/>
          <w:iCs/>
          <w:sz w:val="20"/>
          <w:szCs w:val="20"/>
        </w:rPr>
        <w:t xml:space="preserve">Further decides </w:t>
      </w:r>
      <w:r>
        <w:rPr>
          <w:rFonts w:ascii="Times New Roman" w:hAnsi="Times New Roman"/>
          <w:sz w:val="20"/>
          <w:szCs w:val="20"/>
        </w:rPr>
        <w:t>that, on an exceptional basis:</w:t>
      </w:r>
      <w:r>
        <w:rPr>
          <w:rFonts w:ascii="Times New Roman" w:hAnsi="Times New Roman"/>
          <w:i/>
          <w:iCs/>
          <w:sz w:val="20"/>
          <w:szCs w:val="20"/>
        </w:rPr>
        <w:t xml:space="preserve"> </w:t>
      </w:r>
    </w:p>
    <w:p w:rsidR="00085E70" w:rsidRDefault="00085E70">
      <w:pPr>
        <w:widowControl w:val="0"/>
        <w:autoSpaceDE w:val="0"/>
        <w:autoSpaceDN w:val="0"/>
        <w:adjustRightInd w:val="0"/>
        <w:spacing w:after="0" w:line="142" w:lineRule="exact"/>
        <w:rPr>
          <w:rFonts w:ascii="Times New Roman" w:hAnsi="Times New Roman"/>
          <w:sz w:val="20"/>
          <w:szCs w:val="20"/>
        </w:rPr>
      </w:pPr>
    </w:p>
    <w:p w:rsidR="00085E70" w:rsidRDefault="00085E70">
      <w:pPr>
        <w:widowControl w:val="0"/>
        <w:numPr>
          <w:ilvl w:val="1"/>
          <w:numId w:val="1"/>
        </w:numPr>
        <w:tabs>
          <w:tab w:val="clear" w:pos="1440"/>
          <w:tab w:val="num" w:pos="997"/>
        </w:tabs>
        <w:overflowPunct w:val="0"/>
        <w:autoSpaceDE w:val="0"/>
        <w:autoSpaceDN w:val="0"/>
        <w:adjustRightInd w:val="0"/>
        <w:spacing w:after="0" w:line="272" w:lineRule="auto"/>
        <w:ind w:left="726" w:right="180" w:hanging="6"/>
        <w:jc w:val="both"/>
        <w:rPr>
          <w:rFonts w:ascii="Times New Roman" w:hAnsi="Times New Roman"/>
          <w:sz w:val="20"/>
          <w:szCs w:val="20"/>
        </w:rPr>
      </w:pPr>
      <w:r>
        <w:rPr>
          <w:rFonts w:ascii="Times New Roman" w:hAnsi="Times New Roman"/>
          <w:sz w:val="20"/>
          <w:szCs w:val="20"/>
        </w:rPr>
        <w:t xml:space="preserve">Its third session shall consist of a 3 day meeting without prejudice to the duration and functions of its high-level segment as set out in Governing Council decision 27/2; </w:t>
      </w:r>
    </w:p>
    <w:p w:rsidR="00085E70" w:rsidRDefault="00085E70">
      <w:pPr>
        <w:widowControl w:val="0"/>
        <w:autoSpaceDE w:val="0"/>
        <w:autoSpaceDN w:val="0"/>
        <w:adjustRightInd w:val="0"/>
        <w:spacing w:after="0" w:line="168" w:lineRule="exact"/>
        <w:rPr>
          <w:rFonts w:ascii="Times New Roman" w:hAnsi="Times New Roman"/>
          <w:sz w:val="20"/>
          <w:szCs w:val="20"/>
        </w:rPr>
      </w:pPr>
    </w:p>
    <w:p w:rsidR="00085E70" w:rsidRDefault="00085E70">
      <w:pPr>
        <w:widowControl w:val="0"/>
        <w:numPr>
          <w:ilvl w:val="1"/>
          <w:numId w:val="1"/>
        </w:numPr>
        <w:tabs>
          <w:tab w:val="clear" w:pos="1440"/>
          <w:tab w:val="num" w:pos="1010"/>
        </w:tabs>
        <w:overflowPunct w:val="0"/>
        <w:autoSpaceDE w:val="0"/>
        <w:autoSpaceDN w:val="0"/>
        <w:adjustRightInd w:val="0"/>
        <w:spacing w:after="0" w:line="255" w:lineRule="auto"/>
        <w:ind w:left="726" w:right="20" w:hanging="6"/>
        <w:rPr>
          <w:rFonts w:ascii="Times New Roman" w:hAnsi="Times New Roman"/>
          <w:sz w:val="20"/>
          <w:szCs w:val="20"/>
        </w:rPr>
      </w:pPr>
      <w:r>
        <w:rPr>
          <w:rFonts w:ascii="Times New Roman" w:hAnsi="Times New Roman"/>
          <w:sz w:val="20"/>
          <w:szCs w:val="20"/>
        </w:rPr>
        <w:t xml:space="preserve">The third session of the open-ended meeting of the Committee of Permanent Representatives shall consist of a 3 day meeting and will be convened back-to-back with the third session of the Assembly in order to minimize financial costs; </w:t>
      </w:r>
    </w:p>
    <w:p w:rsidR="00085E70" w:rsidRDefault="00085E70">
      <w:pPr>
        <w:widowControl w:val="0"/>
        <w:autoSpaceDE w:val="0"/>
        <w:autoSpaceDN w:val="0"/>
        <w:adjustRightInd w:val="0"/>
        <w:spacing w:after="0" w:line="187" w:lineRule="exact"/>
        <w:rPr>
          <w:rFonts w:ascii="Times New Roman" w:hAnsi="Times New Roman"/>
          <w:sz w:val="20"/>
          <w:szCs w:val="20"/>
        </w:rPr>
      </w:pPr>
    </w:p>
    <w:p w:rsidR="00085E70" w:rsidRDefault="00085E70">
      <w:pPr>
        <w:widowControl w:val="0"/>
        <w:numPr>
          <w:ilvl w:val="1"/>
          <w:numId w:val="1"/>
        </w:numPr>
        <w:tabs>
          <w:tab w:val="clear" w:pos="1440"/>
          <w:tab w:val="num" w:pos="998"/>
        </w:tabs>
        <w:overflowPunct w:val="0"/>
        <w:autoSpaceDE w:val="0"/>
        <w:autoSpaceDN w:val="0"/>
        <w:adjustRightInd w:val="0"/>
        <w:spacing w:after="0" w:line="255" w:lineRule="auto"/>
        <w:ind w:left="726" w:right="40" w:hanging="6"/>
        <w:rPr>
          <w:rFonts w:ascii="Times New Roman" w:hAnsi="Times New Roman"/>
          <w:sz w:val="20"/>
          <w:szCs w:val="20"/>
        </w:rPr>
      </w:pPr>
      <w:r>
        <w:rPr>
          <w:rFonts w:ascii="Times New Roman" w:hAnsi="Times New Roman"/>
          <w:sz w:val="20"/>
          <w:szCs w:val="20"/>
        </w:rPr>
        <w:t xml:space="preserve">The fourth meeting of the Subcommittee of the Committee of Permanent Representatives shall take place in 2017 and that the Committee of Permanent Representatives shall review the agenda and organizational modalities of the Subcommittee; </w:t>
      </w:r>
    </w:p>
    <w:p w:rsidR="00085E70" w:rsidRDefault="00085E70">
      <w:pPr>
        <w:widowControl w:val="0"/>
        <w:autoSpaceDE w:val="0"/>
        <w:autoSpaceDN w:val="0"/>
        <w:adjustRightInd w:val="0"/>
        <w:spacing w:after="0" w:line="203" w:lineRule="exact"/>
        <w:rPr>
          <w:rFonts w:ascii="Times New Roman" w:hAnsi="Times New Roman"/>
          <w:sz w:val="20"/>
          <w:szCs w:val="20"/>
        </w:rPr>
      </w:pPr>
    </w:p>
    <w:p w:rsidR="00085E70" w:rsidRDefault="00085E70">
      <w:pPr>
        <w:widowControl w:val="0"/>
        <w:numPr>
          <w:ilvl w:val="0"/>
          <w:numId w:val="1"/>
        </w:numPr>
        <w:tabs>
          <w:tab w:val="clear" w:pos="720"/>
          <w:tab w:val="num" w:pos="207"/>
        </w:tabs>
        <w:overflowPunct w:val="0"/>
        <w:autoSpaceDE w:val="0"/>
        <w:autoSpaceDN w:val="0"/>
        <w:adjustRightInd w:val="0"/>
        <w:spacing w:after="0" w:line="257" w:lineRule="auto"/>
        <w:ind w:left="6" w:right="100" w:hanging="6"/>
        <w:rPr>
          <w:rFonts w:ascii="Times New Roman" w:hAnsi="Times New Roman"/>
          <w:sz w:val="20"/>
          <w:szCs w:val="20"/>
        </w:rPr>
      </w:pPr>
      <w:r>
        <w:rPr>
          <w:rFonts w:ascii="Times New Roman" w:hAnsi="Times New Roman"/>
          <w:i/>
          <w:iCs/>
          <w:sz w:val="20"/>
          <w:szCs w:val="20"/>
        </w:rPr>
        <w:t xml:space="preserve">Recognizes </w:t>
      </w:r>
      <w:r>
        <w:rPr>
          <w:rFonts w:ascii="Times New Roman" w:hAnsi="Times New Roman"/>
          <w:sz w:val="20"/>
          <w:szCs w:val="20"/>
        </w:rPr>
        <w:t>that the cost of the 2017 Assembly’s session and the 2017 open-ended meeting of the Committee of Permanent</w:t>
      </w:r>
      <w:r>
        <w:rPr>
          <w:rFonts w:ascii="Times New Roman" w:hAnsi="Times New Roman"/>
          <w:i/>
          <w:iCs/>
          <w:sz w:val="20"/>
          <w:szCs w:val="20"/>
        </w:rPr>
        <w:t xml:space="preserve"> </w:t>
      </w:r>
      <w:r>
        <w:rPr>
          <w:rFonts w:ascii="Times New Roman" w:hAnsi="Times New Roman"/>
          <w:sz w:val="20"/>
          <w:szCs w:val="20"/>
        </w:rPr>
        <w:t xml:space="preserve">Representatives have not been reflected in UNEP’s 2016-2017 programme of work and budget, and encourages member States and others in a position to do so to contribute funds for the convening of these meetings; </w:t>
      </w:r>
    </w:p>
    <w:p w:rsidR="00085E70" w:rsidRDefault="00085E70">
      <w:pPr>
        <w:widowControl w:val="0"/>
        <w:autoSpaceDE w:val="0"/>
        <w:autoSpaceDN w:val="0"/>
        <w:adjustRightInd w:val="0"/>
        <w:spacing w:after="0" w:line="201" w:lineRule="exact"/>
        <w:rPr>
          <w:rFonts w:ascii="Times New Roman" w:hAnsi="Times New Roman"/>
          <w:sz w:val="20"/>
          <w:szCs w:val="20"/>
        </w:rPr>
      </w:pPr>
    </w:p>
    <w:p w:rsidR="00085E70" w:rsidRDefault="00085E70">
      <w:pPr>
        <w:widowControl w:val="0"/>
        <w:numPr>
          <w:ilvl w:val="0"/>
          <w:numId w:val="1"/>
        </w:numPr>
        <w:tabs>
          <w:tab w:val="clear" w:pos="720"/>
          <w:tab w:val="num" w:pos="207"/>
        </w:tabs>
        <w:overflowPunct w:val="0"/>
        <w:autoSpaceDE w:val="0"/>
        <w:autoSpaceDN w:val="0"/>
        <w:adjustRightInd w:val="0"/>
        <w:spacing w:after="0"/>
        <w:ind w:left="6" w:right="320" w:hanging="6"/>
        <w:jc w:val="both"/>
        <w:rPr>
          <w:rFonts w:ascii="Times New Roman" w:hAnsi="Times New Roman"/>
          <w:sz w:val="20"/>
          <w:szCs w:val="20"/>
        </w:rPr>
      </w:pPr>
      <w:r>
        <w:rPr>
          <w:rFonts w:ascii="Times New Roman" w:hAnsi="Times New Roman"/>
          <w:i/>
          <w:iCs/>
          <w:sz w:val="20"/>
          <w:szCs w:val="20"/>
        </w:rPr>
        <w:t xml:space="preserve">Requests </w:t>
      </w:r>
      <w:r>
        <w:rPr>
          <w:rFonts w:ascii="Times New Roman" w:hAnsi="Times New Roman"/>
          <w:sz w:val="20"/>
          <w:szCs w:val="20"/>
        </w:rPr>
        <w:t>the Executive Director to undertake resource mobilisation efforts and to report to the Committee of Permanent</w:t>
      </w:r>
      <w:r>
        <w:rPr>
          <w:rFonts w:ascii="Times New Roman" w:hAnsi="Times New Roman"/>
          <w:i/>
          <w:iCs/>
          <w:sz w:val="20"/>
          <w:szCs w:val="20"/>
        </w:rPr>
        <w:t xml:space="preserve"> </w:t>
      </w:r>
      <w:r>
        <w:rPr>
          <w:rFonts w:ascii="Times New Roman" w:hAnsi="Times New Roman"/>
          <w:sz w:val="20"/>
          <w:szCs w:val="20"/>
        </w:rPr>
        <w:t xml:space="preserve">Representatives on funding gaps; </w:t>
      </w:r>
    </w:p>
    <w:p w:rsidR="00085E70" w:rsidRDefault="00085E70">
      <w:pPr>
        <w:widowControl w:val="0"/>
        <w:autoSpaceDE w:val="0"/>
        <w:autoSpaceDN w:val="0"/>
        <w:adjustRightInd w:val="0"/>
        <w:spacing w:after="0" w:line="181" w:lineRule="exact"/>
        <w:rPr>
          <w:rFonts w:ascii="Times New Roman" w:hAnsi="Times New Roman"/>
          <w:sz w:val="20"/>
          <w:szCs w:val="20"/>
        </w:rPr>
      </w:pPr>
    </w:p>
    <w:p w:rsidR="00085E70" w:rsidRDefault="00085E70">
      <w:pPr>
        <w:widowControl w:val="0"/>
        <w:numPr>
          <w:ilvl w:val="0"/>
          <w:numId w:val="1"/>
        </w:numPr>
        <w:tabs>
          <w:tab w:val="clear" w:pos="720"/>
          <w:tab w:val="num" w:pos="207"/>
        </w:tabs>
        <w:overflowPunct w:val="0"/>
        <w:autoSpaceDE w:val="0"/>
        <w:autoSpaceDN w:val="0"/>
        <w:adjustRightInd w:val="0"/>
        <w:spacing w:after="0" w:line="258" w:lineRule="auto"/>
        <w:ind w:left="6" w:right="60" w:hanging="6"/>
        <w:rPr>
          <w:rFonts w:ascii="Times New Roman" w:hAnsi="Times New Roman"/>
          <w:sz w:val="20"/>
          <w:szCs w:val="20"/>
        </w:rPr>
      </w:pPr>
      <w:r>
        <w:rPr>
          <w:rFonts w:ascii="Times New Roman" w:hAnsi="Times New Roman"/>
          <w:i/>
          <w:iCs/>
          <w:sz w:val="20"/>
          <w:szCs w:val="20"/>
        </w:rPr>
        <w:t xml:space="preserve">Requests </w:t>
      </w:r>
      <w:r>
        <w:rPr>
          <w:rFonts w:ascii="Times New Roman" w:hAnsi="Times New Roman"/>
          <w:sz w:val="20"/>
          <w:szCs w:val="20"/>
        </w:rPr>
        <w:t>the Executive Director to present to the third session of the Assembly, where applicable, updates on the</w:t>
      </w:r>
      <w:r>
        <w:rPr>
          <w:rFonts w:ascii="Times New Roman" w:hAnsi="Times New Roman"/>
          <w:i/>
          <w:iCs/>
          <w:sz w:val="20"/>
          <w:szCs w:val="20"/>
        </w:rPr>
        <w:t xml:space="preserve"> </w:t>
      </w:r>
      <w:r>
        <w:rPr>
          <w:rFonts w:ascii="Times New Roman" w:hAnsi="Times New Roman"/>
          <w:sz w:val="20"/>
          <w:szCs w:val="20"/>
        </w:rPr>
        <w:t xml:space="preserve">implementation of the resolutions adopted at its second session, and </w:t>
      </w:r>
      <w:r>
        <w:rPr>
          <w:rFonts w:ascii="Times New Roman" w:hAnsi="Times New Roman"/>
          <w:i/>
          <w:iCs/>
          <w:sz w:val="20"/>
          <w:szCs w:val="20"/>
        </w:rPr>
        <w:t>decides</w:t>
      </w:r>
      <w:r>
        <w:rPr>
          <w:rFonts w:ascii="Times New Roman" w:hAnsi="Times New Roman"/>
          <w:sz w:val="20"/>
          <w:szCs w:val="20"/>
        </w:rPr>
        <w:t xml:space="preserve"> to defer to the fourth session of the Assembly the formal consideration of the reports by the Executive Director; </w:t>
      </w:r>
    </w:p>
    <w:p w:rsidR="00085E70" w:rsidRDefault="00085E70">
      <w:pPr>
        <w:widowControl w:val="0"/>
        <w:autoSpaceDE w:val="0"/>
        <w:autoSpaceDN w:val="0"/>
        <w:adjustRightInd w:val="0"/>
        <w:spacing w:after="0" w:line="200" w:lineRule="exact"/>
        <w:rPr>
          <w:rFonts w:ascii="Times New Roman" w:hAnsi="Times New Roman"/>
          <w:sz w:val="20"/>
          <w:szCs w:val="20"/>
        </w:rPr>
      </w:pPr>
    </w:p>
    <w:p w:rsidR="00085E70" w:rsidRDefault="00085E70">
      <w:pPr>
        <w:widowControl w:val="0"/>
        <w:numPr>
          <w:ilvl w:val="0"/>
          <w:numId w:val="1"/>
        </w:numPr>
        <w:tabs>
          <w:tab w:val="clear" w:pos="720"/>
          <w:tab w:val="num" w:pos="207"/>
        </w:tabs>
        <w:overflowPunct w:val="0"/>
        <w:autoSpaceDE w:val="0"/>
        <w:autoSpaceDN w:val="0"/>
        <w:adjustRightInd w:val="0"/>
        <w:spacing w:after="0" w:line="275" w:lineRule="auto"/>
        <w:ind w:left="6" w:hanging="6"/>
        <w:jc w:val="both"/>
        <w:rPr>
          <w:rFonts w:ascii="Times New Roman" w:hAnsi="Times New Roman"/>
          <w:sz w:val="20"/>
          <w:szCs w:val="20"/>
        </w:rPr>
      </w:pPr>
      <w:r>
        <w:rPr>
          <w:rFonts w:ascii="Times New Roman" w:hAnsi="Times New Roman"/>
          <w:i/>
          <w:iCs/>
          <w:sz w:val="20"/>
          <w:szCs w:val="20"/>
        </w:rPr>
        <w:t xml:space="preserve">Invites </w:t>
      </w:r>
      <w:r>
        <w:rPr>
          <w:rFonts w:ascii="Times New Roman" w:hAnsi="Times New Roman"/>
          <w:sz w:val="20"/>
          <w:szCs w:val="20"/>
        </w:rPr>
        <w:t>the General Assembly to consider the report of the United Nations Environment Assembly’s third session at its 72nd</w:t>
      </w:r>
      <w:r>
        <w:rPr>
          <w:rFonts w:ascii="Times New Roman" w:hAnsi="Times New Roman"/>
          <w:i/>
          <w:iCs/>
          <w:sz w:val="20"/>
          <w:szCs w:val="20"/>
        </w:rPr>
        <w:t xml:space="preserve"> </w:t>
      </w:r>
      <w:r>
        <w:rPr>
          <w:rFonts w:ascii="Times New Roman" w:hAnsi="Times New Roman"/>
          <w:sz w:val="20"/>
          <w:szCs w:val="20"/>
        </w:rPr>
        <w:t xml:space="preserve">session; </w:t>
      </w:r>
    </w:p>
    <w:p w:rsidR="00085E70" w:rsidRDefault="00085E70">
      <w:pPr>
        <w:widowControl w:val="0"/>
        <w:autoSpaceDE w:val="0"/>
        <w:autoSpaceDN w:val="0"/>
        <w:adjustRightInd w:val="0"/>
        <w:spacing w:after="0" w:line="183" w:lineRule="exact"/>
        <w:rPr>
          <w:rFonts w:ascii="Times New Roman" w:hAnsi="Times New Roman"/>
          <w:sz w:val="20"/>
          <w:szCs w:val="20"/>
        </w:rPr>
      </w:pPr>
    </w:p>
    <w:p w:rsidR="00085E70" w:rsidRDefault="00085E70">
      <w:pPr>
        <w:widowControl w:val="0"/>
        <w:numPr>
          <w:ilvl w:val="0"/>
          <w:numId w:val="1"/>
        </w:numPr>
        <w:tabs>
          <w:tab w:val="clear" w:pos="720"/>
          <w:tab w:val="num" w:pos="207"/>
        </w:tabs>
        <w:overflowPunct w:val="0"/>
        <w:autoSpaceDE w:val="0"/>
        <w:autoSpaceDN w:val="0"/>
        <w:adjustRightInd w:val="0"/>
        <w:spacing w:after="0" w:line="257" w:lineRule="auto"/>
        <w:ind w:left="6" w:right="60" w:hanging="6"/>
        <w:rPr>
          <w:rFonts w:ascii="Times New Roman" w:hAnsi="Times New Roman"/>
          <w:sz w:val="20"/>
          <w:szCs w:val="20"/>
        </w:rPr>
      </w:pPr>
      <w:r>
        <w:rPr>
          <w:rFonts w:ascii="Times New Roman" w:hAnsi="Times New Roman"/>
          <w:i/>
          <w:iCs/>
          <w:sz w:val="20"/>
          <w:szCs w:val="20"/>
        </w:rPr>
        <w:t xml:space="preserve">Decides </w:t>
      </w:r>
      <w:r>
        <w:rPr>
          <w:rFonts w:ascii="Times New Roman" w:hAnsi="Times New Roman"/>
          <w:sz w:val="20"/>
          <w:szCs w:val="20"/>
        </w:rPr>
        <w:t>to consider at its third session, inter alia, the organizational modalities of regular sessions of the Assembly in order</w:t>
      </w:r>
      <w:r>
        <w:rPr>
          <w:rFonts w:ascii="Times New Roman" w:hAnsi="Times New Roman"/>
          <w:i/>
          <w:iCs/>
          <w:sz w:val="20"/>
          <w:szCs w:val="20"/>
        </w:rPr>
        <w:t xml:space="preserve"> </w:t>
      </w:r>
      <w:r>
        <w:rPr>
          <w:rFonts w:ascii="Times New Roman" w:hAnsi="Times New Roman"/>
          <w:sz w:val="20"/>
          <w:szCs w:val="20"/>
        </w:rPr>
        <w:t xml:space="preserve">to enhance the budgeting process of the Programme and to better assess the resources allocated by the United Nations to service the meetings of the United Nations Environment Assembly. </w:t>
      </w:r>
    </w:p>
    <w:sectPr w:rsidR="00085E70">
      <w:pgSz w:w="12240" w:h="20160"/>
      <w:pgMar w:top="963" w:right="700" w:bottom="1440" w:left="1414" w:header="720" w:footer="720" w:gutter="0"/>
      <w:cols w:space="720" w:equalWidth="0">
        <w:col w:w="10126"/>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0000678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7FE"/>
    <w:rsid w:val="00085E70"/>
    <w:rsid w:val="002467FE"/>
    <w:rsid w:val="00C45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390</Words>
  <Characters>2226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SGB Intern28-Timon Bonde</dc:creator>
  <cp:lastModifiedBy>SGB Intern28-Timon Bonde</cp:lastModifiedBy>
  <cp:revision>2</cp:revision>
  <dcterms:created xsi:type="dcterms:W3CDTF">2017-08-22T07:19:00Z</dcterms:created>
  <dcterms:modified xsi:type="dcterms:W3CDTF">2017-08-22T07:19:00Z</dcterms:modified>
</cp:coreProperties>
</file>