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3A0" w:rsidRPr="00444D8F" w:rsidRDefault="002333A0" w:rsidP="002333A0">
      <w:pPr>
        <w:tabs>
          <w:tab w:val="clear" w:pos="1247"/>
          <w:tab w:val="clear" w:pos="1814"/>
          <w:tab w:val="clear" w:pos="2381"/>
          <w:tab w:val="clear" w:pos="2948"/>
          <w:tab w:val="clear" w:pos="3515"/>
        </w:tabs>
        <w:autoSpaceDE w:val="0"/>
        <w:autoSpaceDN w:val="0"/>
        <w:adjustRightInd w:val="0"/>
        <w:rPr>
          <w:rStyle w:val="Emphasis"/>
        </w:rPr>
      </w:pPr>
      <w:bookmarkStart w:id="0" w:name="_GoBack"/>
      <w:bookmarkEnd w:id="0"/>
    </w:p>
    <w:tbl>
      <w:tblPr>
        <w:tblW w:w="5000" w:type="pct"/>
        <w:jc w:val="right"/>
        <w:tblLayout w:type="fixed"/>
        <w:tblLook w:val="0000" w:firstRow="0" w:lastRow="0" w:firstColumn="0" w:lastColumn="0" w:noHBand="0" w:noVBand="0"/>
      </w:tblPr>
      <w:tblGrid>
        <w:gridCol w:w="1550"/>
        <w:gridCol w:w="6071"/>
        <w:gridCol w:w="2091"/>
      </w:tblGrid>
      <w:tr w:rsidR="002333A0" w:rsidRPr="00142081" w:rsidTr="005E11DE">
        <w:trPr>
          <w:cantSplit/>
          <w:trHeight w:val="850"/>
          <w:jc w:val="right"/>
        </w:trPr>
        <w:tc>
          <w:tcPr>
            <w:tcW w:w="1550" w:type="dxa"/>
          </w:tcPr>
          <w:p w:rsidR="002333A0" w:rsidRPr="00142081" w:rsidRDefault="002333A0" w:rsidP="005E11DE">
            <w:pPr>
              <w:rPr>
                <w:rFonts w:ascii="Univers" w:hAnsi="Univers"/>
                <w:b/>
                <w:noProof/>
                <w:sz w:val="27"/>
                <w:szCs w:val="27"/>
                <w:lang w:val="en-GB"/>
              </w:rPr>
            </w:pPr>
            <w:r w:rsidRPr="00142081">
              <w:rPr>
                <w:rFonts w:ascii="Arial" w:hAnsi="Arial" w:cs="Arial"/>
                <w:b/>
                <w:noProof/>
                <w:sz w:val="27"/>
                <w:szCs w:val="27"/>
                <w:lang w:val="en-GB"/>
              </w:rPr>
              <w:t>UNITED</w:t>
            </w:r>
            <w:r w:rsidRPr="00142081">
              <w:rPr>
                <w:rFonts w:ascii="Arial" w:hAnsi="Arial" w:cs="Arial"/>
                <w:b/>
                <w:noProof/>
                <w:sz w:val="27"/>
                <w:szCs w:val="27"/>
                <w:lang w:val="en-GB"/>
              </w:rPr>
              <w:br/>
              <w:t>NATIONS</w:t>
            </w:r>
          </w:p>
        </w:tc>
        <w:tc>
          <w:tcPr>
            <w:tcW w:w="6071" w:type="dxa"/>
          </w:tcPr>
          <w:p w:rsidR="002333A0" w:rsidRPr="00142081" w:rsidRDefault="002333A0" w:rsidP="005E11DE">
            <w:pPr>
              <w:rPr>
                <w:rFonts w:ascii="Univers" w:hAnsi="Univers"/>
                <w:b/>
                <w:sz w:val="27"/>
                <w:szCs w:val="27"/>
                <w:lang w:val="en-GB"/>
              </w:rPr>
            </w:pPr>
          </w:p>
        </w:tc>
        <w:tc>
          <w:tcPr>
            <w:tcW w:w="2091" w:type="dxa"/>
          </w:tcPr>
          <w:p w:rsidR="002333A0" w:rsidRPr="00142081" w:rsidRDefault="002333A0" w:rsidP="005E11DE">
            <w:pPr>
              <w:jc w:val="right"/>
              <w:rPr>
                <w:rFonts w:ascii="Arial" w:hAnsi="Arial" w:cs="Arial"/>
                <w:b/>
                <w:sz w:val="64"/>
                <w:szCs w:val="64"/>
                <w:lang w:val="en-GB"/>
              </w:rPr>
            </w:pPr>
            <w:r w:rsidRPr="00142081">
              <w:rPr>
                <w:rFonts w:ascii="Arial" w:hAnsi="Arial" w:cs="Arial"/>
                <w:b/>
                <w:sz w:val="64"/>
                <w:szCs w:val="64"/>
                <w:lang w:val="en-GB"/>
              </w:rPr>
              <w:t>EP</w:t>
            </w:r>
          </w:p>
        </w:tc>
      </w:tr>
      <w:tr w:rsidR="002333A0" w:rsidRPr="00142081" w:rsidTr="005E11DE">
        <w:trPr>
          <w:cantSplit/>
          <w:trHeight w:val="281"/>
          <w:jc w:val="right"/>
        </w:trPr>
        <w:tc>
          <w:tcPr>
            <w:tcW w:w="1550" w:type="dxa"/>
            <w:tcBorders>
              <w:bottom w:val="single" w:sz="4" w:space="0" w:color="auto"/>
            </w:tcBorders>
          </w:tcPr>
          <w:p w:rsidR="002333A0" w:rsidRPr="00142081" w:rsidRDefault="002333A0" w:rsidP="005E11DE">
            <w:pPr>
              <w:rPr>
                <w:noProof/>
                <w:sz w:val="18"/>
                <w:szCs w:val="18"/>
                <w:lang w:val="en-GB"/>
              </w:rPr>
            </w:pPr>
          </w:p>
        </w:tc>
        <w:tc>
          <w:tcPr>
            <w:tcW w:w="6071" w:type="dxa"/>
            <w:tcBorders>
              <w:bottom w:val="single" w:sz="4" w:space="0" w:color="auto"/>
            </w:tcBorders>
          </w:tcPr>
          <w:p w:rsidR="002333A0" w:rsidRPr="00142081" w:rsidRDefault="002333A0" w:rsidP="005E11DE">
            <w:pPr>
              <w:rPr>
                <w:rFonts w:ascii="Univers" w:hAnsi="Univers"/>
                <w:b/>
                <w:sz w:val="18"/>
                <w:szCs w:val="18"/>
                <w:lang w:val="en-GB"/>
              </w:rPr>
            </w:pPr>
          </w:p>
        </w:tc>
        <w:tc>
          <w:tcPr>
            <w:tcW w:w="2091" w:type="dxa"/>
            <w:tcBorders>
              <w:bottom w:val="single" w:sz="4" w:space="0" w:color="auto"/>
            </w:tcBorders>
          </w:tcPr>
          <w:p w:rsidR="002333A0" w:rsidRPr="00142081" w:rsidRDefault="002333A0" w:rsidP="005E11DE">
            <w:pPr>
              <w:rPr>
                <w:noProof/>
                <w:sz w:val="18"/>
                <w:szCs w:val="18"/>
                <w:lang w:val="en-GB"/>
              </w:rPr>
            </w:pPr>
            <w:r w:rsidRPr="00142081">
              <w:rPr>
                <w:b/>
                <w:bCs/>
                <w:sz w:val="28"/>
                <w:lang w:val="en-GB"/>
              </w:rPr>
              <w:t>UNEP</w:t>
            </w:r>
            <w:r w:rsidRPr="00142081">
              <w:rPr>
                <w:lang w:val="en-GB"/>
              </w:rPr>
              <w:t>/EA.2</w:t>
            </w:r>
            <w:r w:rsidRPr="005E6C6D">
              <w:rPr>
                <w:lang w:val="en-GB"/>
              </w:rPr>
              <w:t>/Res</w:t>
            </w:r>
            <w:r>
              <w:rPr>
                <w:lang w:val="en-GB"/>
              </w:rPr>
              <w:t>.2</w:t>
            </w:r>
          </w:p>
        </w:tc>
      </w:tr>
      <w:bookmarkStart w:id="1" w:name="_MON_1021710482"/>
      <w:bookmarkEnd w:id="1"/>
      <w:tr w:rsidR="002333A0" w:rsidRPr="009225CD" w:rsidTr="005E11DE">
        <w:trPr>
          <w:cantSplit/>
          <w:trHeight w:val="1003"/>
          <w:jc w:val="right"/>
        </w:trPr>
        <w:tc>
          <w:tcPr>
            <w:tcW w:w="1550" w:type="dxa"/>
            <w:vMerge w:val="restart"/>
            <w:tcBorders>
              <w:top w:val="single" w:sz="4" w:space="0" w:color="auto"/>
            </w:tcBorders>
          </w:tcPr>
          <w:p w:rsidR="002333A0" w:rsidRPr="00142081" w:rsidRDefault="002333A0" w:rsidP="005E11DE">
            <w:pPr>
              <w:jc w:val="center"/>
              <w:rPr>
                <w:noProof/>
                <w:lang w:val="en-GB"/>
              </w:rPr>
            </w:pPr>
            <w:r w:rsidRPr="000377B3">
              <w:rPr>
                <w:noProof/>
                <w:lang w:val="en-GB"/>
              </w:rPr>
              <w:object w:dxaOrig="1831" w:dyaOrig="17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pt;height:61.8pt" o:ole="" fillcolor="window">
                  <v:imagedata r:id="rId8" o:title=""/>
                </v:shape>
                <o:OLEObject Type="Embed" ProgID="Word.Picture.8" ShapeID="_x0000_i1025" DrawAspect="Content" ObjectID="_1535182170" r:id="rId9"/>
              </w:object>
            </w:r>
            <w:r w:rsidRPr="000377B3">
              <w:rPr>
                <w:noProof/>
                <w:lang w:val="en-US"/>
              </w:rPr>
              <w:drawing>
                <wp:inline distT="0" distB="0" distL="0" distR="0" wp14:anchorId="0BC9AF5D" wp14:editId="53594625">
                  <wp:extent cx="655093" cy="639292"/>
                  <wp:effectExtent l="0" t="0" r="0" b="889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58723" cy="642834"/>
                          </a:xfrm>
                          <a:prstGeom prst="rect">
                            <a:avLst/>
                          </a:prstGeom>
                          <a:noFill/>
                          <a:ln>
                            <a:noFill/>
                          </a:ln>
                        </pic:spPr>
                      </pic:pic>
                    </a:graphicData>
                  </a:graphic>
                </wp:inline>
              </w:drawing>
            </w:r>
          </w:p>
        </w:tc>
        <w:tc>
          <w:tcPr>
            <w:tcW w:w="6071" w:type="dxa"/>
            <w:tcBorders>
              <w:top w:val="single" w:sz="4" w:space="0" w:color="auto"/>
            </w:tcBorders>
          </w:tcPr>
          <w:p w:rsidR="002333A0" w:rsidRPr="00142081" w:rsidRDefault="002333A0" w:rsidP="005E11DE">
            <w:pPr>
              <w:spacing w:before="360" w:after="120"/>
              <w:rPr>
                <w:rFonts w:ascii="Univers" w:hAnsi="Univers"/>
                <w:b/>
                <w:sz w:val="28"/>
                <w:szCs w:val="28"/>
                <w:lang w:val="en-GB"/>
              </w:rPr>
            </w:pPr>
          </w:p>
        </w:tc>
        <w:tc>
          <w:tcPr>
            <w:tcW w:w="2091" w:type="dxa"/>
            <w:tcBorders>
              <w:top w:val="single" w:sz="4" w:space="0" w:color="auto"/>
            </w:tcBorders>
          </w:tcPr>
          <w:p w:rsidR="002333A0" w:rsidRPr="00142081" w:rsidRDefault="002333A0" w:rsidP="005E11DE">
            <w:pPr>
              <w:spacing w:before="120"/>
              <w:rPr>
                <w:lang w:val="en-GB"/>
              </w:rPr>
            </w:pPr>
            <w:r w:rsidRPr="00142081">
              <w:rPr>
                <w:lang w:val="en-GB"/>
              </w:rPr>
              <w:t xml:space="preserve">Distr.: </w:t>
            </w:r>
            <w:r>
              <w:rPr>
                <w:lang w:val="en-GB"/>
              </w:rPr>
              <w:t>General</w:t>
            </w:r>
            <w:r w:rsidRPr="00142081">
              <w:rPr>
                <w:lang w:val="en-GB"/>
              </w:rPr>
              <w:br/>
            </w:r>
            <w:r>
              <w:rPr>
                <w:lang w:val="en-GB"/>
              </w:rPr>
              <w:t xml:space="preserve">3 August </w:t>
            </w:r>
            <w:r w:rsidRPr="00142081">
              <w:rPr>
                <w:lang w:val="en-GB"/>
              </w:rPr>
              <w:t>2016</w:t>
            </w:r>
          </w:p>
          <w:p w:rsidR="002333A0" w:rsidRPr="00142081" w:rsidRDefault="002333A0" w:rsidP="005E11DE">
            <w:pPr>
              <w:spacing w:before="120"/>
              <w:rPr>
                <w:lang w:val="en-GB"/>
              </w:rPr>
            </w:pPr>
            <w:r w:rsidRPr="00822421">
              <w:rPr>
                <w:lang w:val="en-GB"/>
              </w:rPr>
              <w:t>Original: English</w:t>
            </w:r>
          </w:p>
        </w:tc>
      </w:tr>
      <w:tr w:rsidR="002333A0" w:rsidRPr="009225CD" w:rsidTr="005E11DE">
        <w:trPr>
          <w:cantSplit/>
          <w:trHeight w:val="934"/>
          <w:jc w:val="right"/>
        </w:trPr>
        <w:tc>
          <w:tcPr>
            <w:tcW w:w="1550" w:type="dxa"/>
            <w:vMerge/>
            <w:tcBorders>
              <w:bottom w:val="single" w:sz="24" w:space="0" w:color="auto"/>
            </w:tcBorders>
          </w:tcPr>
          <w:p w:rsidR="002333A0" w:rsidRPr="000377B3" w:rsidRDefault="002333A0" w:rsidP="005E11DE">
            <w:pPr>
              <w:jc w:val="center"/>
              <w:rPr>
                <w:noProof/>
                <w:lang w:val="en-GB"/>
              </w:rPr>
            </w:pPr>
          </w:p>
        </w:tc>
        <w:tc>
          <w:tcPr>
            <w:tcW w:w="8162" w:type="dxa"/>
            <w:gridSpan w:val="2"/>
            <w:tcBorders>
              <w:bottom w:val="single" w:sz="24" w:space="0" w:color="auto"/>
            </w:tcBorders>
          </w:tcPr>
          <w:p w:rsidR="002333A0" w:rsidRPr="00142081" w:rsidRDefault="002333A0" w:rsidP="005E11DE">
            <w:pPr>
              <w:spacing w:before="360" w:after="120"/>
              <w:rPr>
                <w:lang w:val="en-GB"/>
              </w:rPr>
            </w:pPr>
            <w:r w:rsidRPr="00142081">
              <w:rPr>
                <w:rFonts w:ascii="Arial" w:hAnsi="Arial" w:cs="Arial"/>
                <w:b/>
                <w:sz w:val="28"/>
                <w:szCs w:val="28"/>
                <w:lang w:val="en-GB"/>
              </w:rPr>
              <w:t xml:space="preserve">United Nations </w:t>
            </w:r>
            <w:r>
              <w:rPr>
                <w:rFonts w:ascii="Arial" w:hAnsi="Arial" w:cs="Arial"/>
                <w:b/>
                <w:sz w:val="28"/>
                <w:szCs w:val="28"/>
                <w:lang w:val="en-GB"/>
              </w:rPr>
              <w:br/>
            </w:r>
            <w:r w:rsidRPr="00142081">
              <w:rPr>
                <w:rFonts w:ascii="Arial" w:hAnsi="Arial" w:cs="Arial"/>
                <w:b/>
                <w:sz w:val="28"/>
                <w:szCs w:val="28"/>
                <w:lang w:val="en-GB"/>
              </w:rPr>
              <w:t>Environment Assembly</w:t>
            </w:r>
            <w:r>
              <w:rPr>
                <w:rFonts w:ascii="Arial" w:hAnsi="Arial" w:cs="Arial"/>
                <w:b/>
                <w:sz w:val="28"/>
                <w:szCs w:val="28"/>
                <w:lang w:val="en-GB"/>
              </w:rPr>
              <w:t xml:space="preserve"> </w:t>
            </w:r>
            <w:r w:rsidRPr="00142081">
              <w:rPr>
                <w:rFonts w:ascii="Arial" w:hAnsi="Arial" w:cs="Arial"/>
                <w:b/>
                <w:sz w:val="28"/>
                <w:szCs w:val="28"/>
                <w:lang w:val="en-GB"/>
              </w:rPr>
              <w:t xml:space="preserve">of the </w:t>
            </w:r>
            <w:r>
              <w:rPr>
                <w:rFonts w:ascii="Arial" w:hAnsi="Arial" w:cs="Arial"/>
                <w:b/>
                <w:sz w:val="28"/>
                <w:szCs w:val="28"/>
                <w:lang w:val="en-GB"/>
              </w:rPr>
              <w:br/>
            </w:r>
            <w:r w:rsidRPr="00142081">
              <w:rPr>
                <w:rFonts w:ascii="Arial" w:hAnsi="Arial" w:cs="Arial"/>
                <w:b/>
                <w:sz w:val="28"/>
                <w:szCs w:val="28"/>
                <w:lang w:val="en-GB"/>
              </w:rPr>
              <w:t xml:space="preserve">United Nations Environment </w:t>
            </w:r>
            <w:r>
              <w:rPr>
                <w:rFonts w:ascii="Arial" w:hAnsi="Arial" w:cs="Arial"/>
                <w:b/>
                <w:sz w:val="28"/>
                <w:szCs w:val="28"/>
                <w:lang w:val="en-GB"/>
              </w:rPr>
              <w:br/>
            </w:r>
            <w:r w:rsidRPr="00142081">
              <w:rPr>
                <w:rFonts w:ascii="Arial" w:hAnsi="Arial" w:cs="Arial"/>
                <w:b/>
                <w:sz w:val="28"/>
                <w:szCs w:val="28"/>
                <w:lang w:val="en-GB"/>
              </w:rPr>
              <w:t>Programme</w:t>
            </w:r>
          </w:p>
        </w:tc>
      </w:tr>
    </w:tbl>
    <w:p w:rsidR="002333A0" w:rsidRPr="00FE2AD9" w:rsidRDefault="002333A0" w:rsidP="002333A0">
      <w:pPr>
        <w:pStyle w:val="AATitle"/>
        <w:tabs>
          <w:tab w:val="clear" w:pos="2381"/>
          <w:tab w:val="clear" w:pos="2948"/>
          <w:tab w:val="clear" w:pos="3515"/>
          <w:tab w:val="clear" w:pos="4082"/>
        </w:tabs>
        <w:ind w:right="-2"/>
        <w:rPr>
          <w:lang w:val="en-US"/>
        </w:rPr>
      </w:pPr>
      <w:r w:rsidRPr="00FE2AD9">
        <w:rPr>
          <w:lang w:val="en-US"/>
        </w:rPr>
        <w:t>United Nations Environment Assembly of the</w:t>
      </w:r>
      <w:r w:rsidRPr="00FE2AD9">
        <w:rPr>
          <w:lang w:val="en-US"/>
        </w:rPr>
        <w:br/>
        <w:t xml:space="preserve">United Nations Environment </w:t>
      </w:r>
      <w:proofErr w:type="spellStart"/>
      <w:r w:rsidRPr="00FE2AD9">
        <w:rPr>
          <w:lang w:val="en-US"/>
        </w:rPr>
        <w:t>Programme</w:t>
      </w:r>
      <w:proofErr w:type="spellEnd"/>
    </w:p>
    <w:p w:rsidR="002333A0" w:rsidRPr="00FE2AD9" w:rsidRDefault="002333A0" w:rsidP="002333A0">
      <w:pPr>
        <w:pStyle w:val="AATitle"/>
        <w:tabs>
          <w:tab w:val="clear" w:pos="2381"/>
          <w:tab w:val="clear" w:pos="2948"/>
          <w:tab w:val="clear" w:pos="3515"/>
          <w:tab w:val="clear" w:pos="4082"/>
        </w:tabs>
        <w:ind w:right="-2"/>
        <w:rPr>
          <w:lang w:val="en-US"/>
        </w:rPr>
      </w:pPr>
      <w:r w:rsidRPr="00FE2AD9">
        <w:rPr>
          <w:lang w:val="en-US"/>
        </w:rPr>
        <w:t>Second session</w:t>
      </w:r>
    </w:p>
    <w:p w:rsidR="00FE2AD9" w:rsidRPr="00AE128E" w:rsidRDefault="00FE2AD9" w:rsidP="006727DC">
      <w:pPr>
        <w:pStyle w:val="AATitle"/>
        <w:keepNext w:val="0"/>
        <w:keepLines w:val="0"/>
        <w:tabs>
          <w:tab w:val="clear" w:pos="2381"/>
          <w:tab w:val="clear" w:pos="2948"/>
          <w:tab w:val="clear" w:pos="3515"/>
          <w:tab w:val="clear" w:pos="4082"/>
        </w:tabs>
        <w:ind w:right="-2"/>
        <w:outlineLvl w:val="0"/>
        <w:rPr>
          <w:b w:val="0"/>
          <w:lang w:val="en-US"/>
        </w:rPr>
      </w:pPr>
      <w:r w:rsidRPr="00AE128E">
        <w:rPr>
          <w:b w:val="0"/>
          <w:lang w:val="en-US"/>
        </w:rPr>
        <w:t>Nairobi, 23–27 May 2016</w:t>
      </w:r>
    </w:p>
    <w:p w:rsidR="00152E7E" w:rsidRPr="00152E7E" w:rsidRDefault="00152E7E" w:rsidP="001575DE">
      <w:pPr>
        <w:pStyle w:val="BBTitle"/>
        <w:keepNext w:val="0"/>
        <w:keepLines w:val="0"/>
        <w:tabs>
          <w:tab w:val="clear" w:pos="1247"/>
          <w:tab w:val="clear" w:pos="1814"/>
          <w:tab w:val="clear" w:pos="2381"/>
          <w:tab w:val="clear" w:pos="2948"/>
          <w:tab w:val="clear" w:pos="3515"/>
          <w:tab w:val="clear" w:pos="4082"/>
          <w:tab w:val="left" w:pos="2127"/>
        </w:tabs>
        <w:spacing w:before="240" w:after="120"/>
        <w:ind w:left="1871" w:hanging="624"/>
      </w:pPr>
      <w:r w:rsidRPr="00152E7E">
        <w:t>2/2.</w:t>
      </w:r>
      <w:r w:rsidRPr="00152E7E">
        <w:tab/>
        <w:t xml:space="preserve">Role and functions of the regional forums of ministers of the environment and environment authorities </w:t>
      </w:r>
    </w:p>
    <w:p w:rsidR="00152E7E" w:rsidRPr="00152E7E" w:rsidRDefault="00152E7E" w:rsidP="00152E7E">
      <w:pPr>
        <w:pStyle w:val="NormalNonumber"/>
        <w:ind w:firstLine="624"/>
        <w:rPr>
          <w:rFonts w:eastAsia="Calibri"/>
          <w:i/>
        </w:rPr>
      </w:pPr>
      <w:r w:rsidRPr="00152E7E">
        <w:rPr>
          <w:rFonts w:eastAsia="Calibri"/>
          <w:i/>
        </w:rPr>
        <w:t>The United Nations Environment Assembly,</w:t>
      </w:r>
    </w:p>
    <w:p w:rsidR="00152E7E" w:rsidRPr="001E3350" w:rsidRDefault="00152E7E" w:rsidP="00152E7E">
      <w:pPr>
        <w:pStyle w:val="NormalNonumber"/>
        <w:tabs>
          <w:tab w:val="clear" w:pos="1247"/>
          <w:tab w:val="clear" w:pos="1814"/>
          <w:tab w:val="clear" w:pos="2381"/>
          <w:tab w:val="clear" w:pos="2948"/>
          <w:tab w:val="clear" w:pos="3515"/>
          <w:tab w:val="clear" w:pos="4082"/>
          <w:tab w:val="left" w:pos="624"/>
        </w:tabs>
        <w:ind w:firstLine="624"/>
      </w:pPr>
      <w:r w:rsidRPr="001E3350">
        <w:rPr>
          <w:i/>
        </w:rPr>
        <w:t xml:space="preserve">Recalling </w:t>
      </w:r>
      <w:r w:rsidRPr="007B10BC">
        <w:t>decision 27/2 of the Governing Council, taken at its twenty-seventh and first universal session, held in Nairobi from 18 to 22 February 2013, to strengthen the regional presence of the United Nations Environment Programme in order to assist countries in the implementation of their national environmental programmes, policies and plans</w:t>
      </w:r>
      <w:r w:rsidRPr="001E3350">
        <w:t>,</w:t>
      </w:r>
    </w:p>
    <w:p w:rsidR="00152E7E" w:rsidRPr="001E3350" w:rsidRDefault="00152E7E" w:rsidP="00152E7E">
      <w:pPr>
        <w:pStyle w:val="Normal-pool"/>
        <w:tabs>
          <w:tab w:val="clear" w:pos="1247"/>
          <w:tab w:val="clear" w:pos="1814"/>
          <w:tab w:val="clear" w:pos="2381"/>
          <w:tab w:val="clear" w:pos="2948"/>
          <w:tab w:val="clear" w:pos="3515"/>
          <w:tab w:val="clear" w:pos="4082"/>
          <w:tab w:val="left" w:pos="624"/>
        </w:tabs>
        <w:spacing w:after="120"/>
        <w:ind w:left="1247" w:firstLine="624"/>
      </w:pPr>
      <w:r w:rsidRPr="001E3350">
        <w:rPr>
          <w:i/>
        </w:rPr>
        <w:t>Recalling</w:t>
      </w:r>
      <w:r w:rsidRPr="001E3350">
        <w:t xml:space="preserve"> </w:t>
      </w:r>
      <w:r w:rsidRPr="001C123E">
        <w:rPr>
          <w:i/>
          <w:iCs/>
        </w:rPr>
        <w:t>also</w:t>
      </w:r>
      <w:r w:rsidRPr="001E3350">
        <w:t xml:space="preserve"> </w:t>
      </w:r>
      <w:r w:rsidRPr="007B10BC">
        <w:rPr>
          <w:lang w:val="en-US"/>
        </w:rPr>
        <w:t xml:space="preserve">Governing Council decisions 13/6 of 1985 on the African environmental conference and 11/7 of 1983 on the Regional </w:t>
      </w:r>
      <w:proofErr w:type="spellStart"/>
      <w:r w:rsidRPr="007B10BC">
        <w:rPr>
          <w:lang w:val="en-US"/>
        </w:rPr>
        <w:t>Programme</w:t>
      </w:r>
      <w:proofErr w:type="spellEnd"/>
      <w:r w:rsidRPr="007B10BC">
        <w:rPr>
          <w:lang w:val="en-US"/>
        </w:rPr>
        <w:t xml:space="preserve"> for Africa, inviting the Governments of the region to convene, in cooperation with regional organizations and institutions, an African environmental conference to discuss national environmental priorities and identify common problems worthy of a regional </w:t>
      </w:r>
      <w:proofErr w:type="spellStart"/>
      <w:r w:rsidRPr="007B10BC">
        <w:rPr>
          <w:lang w:val="en-US"/>
        </w:rPr>
        <w:t>programme</w:t>
      </w:r>
      <w:proofErr w:type="spellEnd"/>
      <w:r w:rsidRPr="007B10BC">
        <w:rPr>
          <w:lang w:val="en-US"/>
        </w:rPr>
        <w:t xml:space="preserve"> of action to deal with serious environmental problems in Africa and requesting the Executive Director to provide the secretariat services for the conference through the Regional Office for Africa,</w:t>
      </w:r>
    </w:p>
    <w:p w:rsidR="00152E7E" w:rsidRPr="008B3A94" w:rsidRDefault="00152E7E" w:rsidP="00152E7E">
      <w:pPr>
        <w:pStyle w:val="Normal-pool"/>
        <w:tabs>
          <w:tab w:val="clear" w:pos="1247"/>
          <w:tab w:val="clear" w:pos="1814"/>
          <w:tab w:val="clear" w:pos="2381"/>
          <w:tab w:val="clear" w:pos="2948"/>
          <w:tab w:val="clear" w:pos="3515"/>
          <w:tab w:val="clear" w:pos="4082"/>
          <w:tab w:val="left" w:pos="624"/>
        </w:tabs>
        <w:spacing w:after="120"/>
        <w:ind w:left="1247" w:firstLine="624"/>
      </w:pPr>
      <w:r w:rsidRPr="001E3350">
        <w:rPr>
          <w:i/>
        </w:rPr>
        <w:t>Recalling</w:t>
      </w:r>
      <w:r w:rsidRPr="001E3350">
        <w:t xml:space="preserve"> </w:t>
      </w:r>
      <w:r w:rsidRPr="001C123E">
        <w:rPr>
          <w:i/>
          <w:iCs/>
        </w:rPr>
        <w:t xml:space="preserve">further </w:t>
      </w:r>
      <w:r w:rsidRPr="007B10BC">
        <w:rPr>
          <w:lang w:val="en-US"/>
        </w:rPr>
        <w:t xml:space="preserve">Governing Council decision 20/11 of 1999 on support for cooperation between the Council of Arab Ministers Responsible for the Environment and the United Nations Environment </w:t>
      </w:r>
      <w:proofErr w:type="spellStart"/>
      <w:r w:rsidRPr="007B10BC">
        <w:rPr>
          <w:lang w:val="en-US"/>
        </w:rPr>
        <w:t>Programme</w:t>
      </w:r>
      <w:proofErr w:type="spellEnd"/>
      <w:r w:rsidRPr="007B10BC">
        <w:rPr>
          <w:lang w:val="en-US"/>
        </w:rPr>
        <w:t xml:space="preserve"> through the regional offices for West Asia and Africa, requesting the Executive Director to support, within available resources, the goals and aims of the Council of Arab Ministers Responsible for the Environment and the regional offices for West Asia and Africa and to establish an appropriate mechanism with a view to supporting the implementation and coordination of regional </w:t>
      </w:r>
      <w:proofErr w:type="spellStart"/>
      <w:r w:rsidRPr="007B10BC">
        <w:rPr>
          <w:lang w:val="en-US"/>
        </w:rPr>
        <w:t>programmes</w:t>
      </w:r>
      <w:proofErr w:type="spellEnd"/>
      <w:r w:rsidRPr="007B10BC">
        <w:rPr>
          <w:lang w:val="en-US"/>
        </w:rPr>
        <w:t xml:space="preserve"> in the Arab region, </w:t>
      </w:r>
    </w:p>
    <w:p w:rsidR="00152E7E" w:rsidRPr="001E3350" w:rsidRDefault="00152E7E" w:rsidP="00152E7E">
      <w:pPr>
        <w:pStyle w:val="Normal-pool"/>
        <w:tabs>
          <w:tab w:val="clear" w:pos="1247"/>
          <w:tab w:val="clear" w:pos="1814"/>
          <w:tab w:val="clear" w:pos="2381"/>
          <w:tab w:val="clear" w:pos="2948"/>
          <w:tab w:val="clear" w:pos="3515"/>
          <w:tab w:val="clear" w:pos="4082"/>
          <w:tab w:val="left" w:pos="624"/>
        </w:tabs>
        <w:spacing w:after="120"/>
        <w:ind w:left="1247" w:firstLine="624"/>
      </w:pPr>
      <w:r w:rsidRPr="007B10BC">
        <w:rPr>
          <w:i/>
          <w:lang w:val="en-US"/>
        </w:rPr>
        <w:t>Recalling</w:t>
      </w:r>
      <w:r w:rsidRPr="007B10BC">
        <w:rPr>
          <w:lang w:val="en-US"/>
        </w:rPr>
        <w:t xml:space="preserve"> Governing Council resolution 10/</w:t>
      </w:r>
      <w:r>
        <w:rPr>
          <w:lang w:val="en-US"/>
        </w:rPr>
        <w:t>V</w:t>
      </w:r>
      <w:r w:rsidRPr="007B10BC">
        <w:rPr>
          <w:lang w:val="en-US"/>
        </w:rPr>
        <w:t xml:space="preserve"> of 1982 recommending to the Governments of Latin America and the Caribbean that they periodically convoke intergovernmental regional meeting</w:t>
      </w:r>
      <w:r>
        <w:rPr>
          <w:lang w:val="en-US"/>
        </w:rPr>
        <w:t>s</w:t>
      </w:r>
      <w:r w:rsidRPr="007B10BC">
        <w:rPr>
          <w:lang w:val="en-US"/>
        </w:rPr>
        <w:t xml:space="preserve"> on the environment in Latin America and the Caribbean in order to establish policies and a strategy for the region in this field </w:t>
      </w:r>
      <w:r w:rsidRPr="00557689">
        <w:rPr>
          <w:lang w:val="en-US"/>
        </w:rPr>
        <w:t xml:space="preserve">and requesting the Executive Director of the United Nations Environment </w:t>
      </w:r>
      <w:proofErr w:type="spellStart"/>
      <w:r w:rsidRPr="00557689">
        <w:rPr>
          <w:lang w:val="en-US"/>
        </w:rPr>
        <w:t>Programme</w:t>
      </w:r>
      <w:proofErr w:type="spellEnd"/>
      <w:r w:rsidRPr="00557689">
        <w:rPr>
          <w:lang w:val="en-US"/>
        </w:rPr>
        <w:t xml:space="preserve"> to lend the support of the permanent secretariat for these intergovernmental regional meetings, through the Regional Office for Latin America and the Caribbean,</w:t>
      </w:r>
    </w:p>
    <w:p w:rsidR="00152E7E" w:rsidRPr="001E3350" w:rsidRDefault="00152E7E" w:rsidP="00152E7E">
      <w:pPr>
        <w:pStyle w:val="Normal-pool"/>
        <w:tabs>
          <w:tab w:val="clear" w:pos="1247"/>
          <w:tab w:val="clear" w:pos="1814"/>
          <w:tab w:val="clear" w:pos="2381"/>
          <w:tab w:val="clear" w:pos="2948"/>
          <w:tab w:val="clear" w:pos="3515"/>
          <w:tab w:val="clear" w:pos="4082"/>
          <w:tab w:val="left" w:pos="624"/>
        </w:tabs>
        <w:spacing w:after="120"/>
        <w:ind w:left="1247" w:firstLine="624"/>
      </w:pPr>
      <w:r w:rsidRPr="001E3350">
        <w:rPr>
          <w:i/>
        </w:rPr>
        <w:t>Welcoming</w:t>
      </w:r>
      <w:r w:rsidRPr="001E3350">
        <w:t xml:space="preserve"> the progress and achievements of regional forums of environment ministers to which the United Nations Environment Programme provides support, and recognizing those forums as important platforms for strengthening the engagement of countries in the preparation of and follow-up to sessions of the United Nations Environment Assembly,</w:t>
      </w:r>
    </w:p>
    <w:p w:rsidR="00152E7E" w:rsidRPr="001E3350" w:rsidRDefault="00152E7E" w:rsidP="00152E7E">
      <w:pPr>
        <w:pStyle w:val="Normal-pool"/>
        <w:tabs>
          <w:tab w:val="clear" w:pos="1247"/>
          <w:tab w:val="clear" w:pos="1814"/>
          <w:tab w:val="clear" w:pos="2381"/>
          <w:tab w:val="clear" w:pos="2948"/>
          <w:tab w:val="clear" w:pos="3515"/>
          <w:tab w:val="clear" w:pos="4082"/>
          <w:tab w:val="left" w:pos="624"/>
        </w:tabs>
        <w:spacing w:after="120"/>
        <w:ind w:left="1247" w:firstLine="624"/>
      </w:pPr>
      <w:r w:rsidRPr="001E3350">
        <w:rPr>
          <w:i/>
        </w:rPr>
        <w:t>Acknowledging with appreciation</w:t>
      </w:r>
      <w:r w:rsidRPr="001E3350">
        <w:t xml:space="preserve"> the </w:t>
      </w:r>
      <w:r w:rsidRPr="007B10BC">
        <w:rPr>
          <w:lang w:val="en-US"/>
        </w:rPr>
        <w:t>First Forum of Ministers and Environment Authorities of Asia and the Pacific, held in Bangkok on 19 and 20 May 2015, co-hosted by the Government of Thailand,</w:t>
      </w:r>
    </w:p>
    <w:p w:rsidR="00152E7E" w:rsidRPr="001E3350" w:rsidRDefault="00152E7E" w:rsidP="00152E7E">
      <w:pPr>
        <w:pStyle w:val="Normal-pool"/>
        <w:tabs>
          <w:tab w:val="clear" w:pos="1247"/>
          <w:tab w:val="clear" w:pos="1814"/>
          <w:tab w:val="clear" w:pos="2381"/>
          <w:tab w:val="clear" w:pos="2948"/>
          <w:tab w:val="clear" w:pos="3515"/>
          <w:tab w:val="clear" w:pos="4082"/>
          <w:tab w:val="left" w:pos="624"/>
        </w:tabs>
        <w:spacing w:after="120"/>
        <w:ind w:left="1247" w:firstLine="624"/>
      </w:pPr>
      <w:r w:rsidRPr="001E3350">
        <w:rPr>
          <w:i/>
        </w:rPr>
        <w:lastRenderedPageBreak/>
        <w:t>Noting</w:t>
      </w:r>
      <w:r w:rsidRPr="001E3350">
        <w:t xml:space="preserve"> the request of the </w:t>
      </w:r>
      <w:r w:rsidRPr="007B10BC">
        <w:rPr>
          <w:lang w:val="en-US"/>
        </w:rPr>
        <w:t>First Forum of Ministers and Environment Authorities of Asia and the Pacific</w:t>
      </w:r>
      <w:r w:rsidRPr="001E3350">
        <w:t xml:space="preserve"> to the Executive Director of the United Nations Environment Programme to hold regular sessions of the </w:t>
      </w:r>
      <w:r w:rsidRPr="007B10BC">
        <w:rPr>
          <w:lang w:val="en-US"/>
        </w:rPr>
        <w:t>Forum of Ministers and Environment Authorities of Asia and the Pacific</w:t>
      </w:r>
      <w:r w:rsidRPr="001E3350">
        <w:t>,</w:t>
      </w:r>
    </w:p>
    <w:p w:rsidR="00152E7E" w:rsidRPr="001E3350" w:rsidRDefault="00152E7E" w:rsidP="00152E7E">
      <w:pPr>
        <w:pStyle w:val="Normal-pool"/>
        <w:tabs>
          <w:tab w:val="clear" w:pos="1247"/>
          <w:tab w:val="clear" w:pos="1814"/>
          <w:tab w:val="clear" w:pos="2381"/>
          <w:tab w:val="clear" w:pos="2948"/>
          <w:tab w:val="clear" w:pos="3515"/>
          <w:tab w:val="clear" w:pos="4082"/>
          <w:tab w:val="left" w:pos="624"/>
        </w:tabs>
        <w:spacing w:after="120"/>
        <w:ind w:left="1247" w:firstLine="624"/>
      </w:pPr>
      <w:r w:rsidRPr="001E3350">
        <w:rPr>
          <w:i/>
          <w:iCs/>
        </w:rPr>
        <w:t>Expressing appreciation</w:t>
      </w:r>
      <w:r w:rsidRPr="001E3350">
        <w:t xml:space="preserve"> for the support provided by the United Nations Environment Programme to the African Ministerial Conference on the Environment through its Regional Office for Africa,</w:t>
      </w:r>
    </w:p>
    <w:p w:rsidR="00152E7E" w:rsidRPr="001E3350" w:rsidRDefault="00152E7E" w:rsidP="00152E7E">
      <w:pPr>
        <w:pStyle w:val="Normal-pool"/>
        <w:tabs>
          <w:tab w:val="clear" w:pos="1247"/>
          <w:tab w:val="clear" w:pos="1814"/>
          <w:tab w:val="clear" w:pos="2381"/>
          <w:tab w:val="clear" w:pos="2948"/>
          <w:tab w:val="clear" w:pos="3515"/>
          <w:tab w:val="clear" w:pos="4082"/>
          <w:tab w:val="left" w:pos="624"/>
        </w:tabs>
        <w:spacing w:after="120"/>
        <w:ind w:left="1247" w:firstLine="624"/>
      </w:pPr>
      <w:r w:rsidRPr="001E3350">
        <w:rPr>
          <w:i/>
          <w:iCs/>
        </w:rPr>
        <w:t>Acknowledging</w:t>
      </w:r>
      <w:r w:rsidRPr="001E3350">
        <w:t xml:space="preserve"> the </w:t>
      </w:r>
      <w:proofErr w:type="spellStart"/>
      <w:r w:rsidRPr="001E3350">
        <w:t>ongoing</w:t>
      </w:r>
      <w:proofErr w:type="spellEnd"/>
      <w:r w:rsidRPr="001E3350">
        <w:t xml:space="preserve"> work of the </w:t>
      </w:r>
      <w:r w:rsidRPr="007B10BC">
        <w:rPr>
          <w:lang w:val="en-US"/>
        </w:rPr>
        <w:t xml:space="preserve">Forum of Ministers of the Environment of Latin America and the </w:t>
      </w:r>
      <w:proofErr w:type="gramStart"/>
      <w:r w:rsidRPr="007B10BC">
        <w:rPr>
          <w:lang w:val="en-US"/>
        </w:rPr>
        <w:t>Caribbean</w:t>
      </w:r>
      <w:r w:rsidRPr="001E3350">
        <w:t>,</w:t>
      </w:r>
      <w:proofErr w:type="gramEnd"/>
      <w:r w:rsidRPr="001E3350">
        <w:t xml:space="preserve"> and taking note of the outcomes of the </w:t>
      </w:r>
      <w:r w:rsidRPr="007B10BC">
        <w:rPr>
          <w:lang w:val="en-US"/>
        </w:rPr>
        <w:t>twentieth meeting of the Forum, held in March 2016 in Cartagena,</w:t>
      </w:r>
      <w:r w:rsidRPr="001E3350">
        <w:t xml:space="preserve"> Colombia,</w:t>
      </w:r>
    </w:p>
    <w:p w:rsidR="00152E7E" w:rsidRPr="001E3350" w:rsidRDefault="00152E7E" w:rsidP="00152E7E">
      <w:pPr>
        <w:pStyle w:val="Normalnumber"/>
        <w:numPr>
          <w:ilvl w:val="0"/>
          <w:numId w:val="3"/>
        </w:numPr>
        <w:ind w:firstLine="624"/>
      </w:pPr>
      <w:r w:rsidRPr="001E3350">
        <w:rPr>
          <w:i/>
          <w:iCs/>
        </w:rPr>
        <w:t>Requests</w:t>
      </w:r>
      <w:r w:rsidRPr="001E3350">
        <w:t xml:space="preserve"> the Executive Director, within the mandate of the United Nations Environment Programme, and in accordance with the programme of work and budget, to support and to facilitate convening and/or strengthening the existing regional forums of ministers of the environment and environment authorities;</w:t>
      </w:r>
    </w:p>
    <w:p w:rsidR="00152E7E" w:rsidRPr="004951E5" w:rsidRDefault="00152E7E" w:rsidP="00152E7E">
      <w:pPr>
        <w:pStyle w:val="Normalnumber"/>
        <w:numPr>
          <w:ilvl w:val="0"/>
          <w:numId w:val="3"/>
        </w:numPr>
        <w:ind w:firstLine="624"/>
      </w:pPr>
      <w:r w:rsidRPr="001E3350">
        <w:rPr>
          <w:i/>
          <w:iCs/>
        </w:rPr>
        <w:t>Also requests</w:t>
      </w:r>
      <w:r w:rsidRPr="001E3350">
        <w:t xml:space="preserve"> the Executive Director, within the mandate of the United Nations Environment Programme, to support and to facilitate convening new regional forums of ministers of the environment and environment </w:t>
      </w:r>
      <w:r w:rsidRPr="004951E5">
        <w:t xml:space="preserve">authorities upon the request of </w:t>
      </w:r>
      <w:r w:rsidRPr="007B10BC">
        <w:t>the</w:t>
      </w:r>
      <w:r w:rsidRPr="004951E5">
        <w:t xml:space="preserve"> regions, through </w:t>
      </w:r>
      <w:r w:rsidRPr="007B10BC">
        <w:t>the</w:t>
      </w:r>
      <w:r w:rsidRPr="004951E5">
        <w:t xml:space="preserve"> intergovernmental process</w:t>
      </w:r>
      <w:r w:rsidRPr="007B10BC">
        <w:t>,</w:t>
      </w:r>
      <w:r w:rsidRPr="004951E5">
        <w:t xml:space="preserve"> with all countries in the respective regions, and subject to the availability of financial resources;</w:t>
      </w:r>
    </w:p>
    <w:p w:rsidR="00CA20BB" w:rsidRPr="00152E7E" w:rsidRDefault="00152E7E" w:rsidP="00152E7E">
      <w:pPr>
        <w:pStyle w:val="Normalnumber"/>
        <w:numPr>
          <w:ilvl w:val="0"/>
          <w:numId w:val="3"/>
        </w:numPr>
        <w:ind w:firstLine="624"/>
      </w:pPr>
      <w:r w:rsidRPr="001E3350">
        <w:rPr>
          <w:i/>
          <w:iCs/>
        </w:rPr>
        <w:t>Further requests</w:t>
      </w:r>
      <w:r w:rsidRPr="001E3350">
        <w:t xml:space="preserve"> the Executive Director to provide an update on progress made in implementing the present resolution through </w:t>
      </w:r>
      <w:proofErr w:type="spellStart"/>
      <w:r w:rsidRPr="001E3350">
        <w:t>intersessional</w:t>
      </w:r>
      <w:proofErr w:type="spellEnd"/>
      <w:r w:rsidRPr="001E3350">
        <w:t xml:space="preserve"> work relevant to the United Nations Environment </w:t>
      </w:r>
      <w:r w:rsidRPr="005D4EC4">
        <w:t>Assembly as appropriate</w:t>
      </w:r>
      <w:r w:rsidRPr="001E3350">
        <w:t>.</w:t>
      </w:r>
    </w:p>
    <w:p w:rsidR="006727DC" w:rsidRPr="006727DC" w:rsidRDefault="006727DC" w:rsidP="00A43A4D">
      <w:pPr>
        <w:pStyle w:val="Normal-pool"/>
        <w:jc w:val="right"/>
        <w:rPr>
          <w:i/>
        </w:rPr>
      </w:pPr>
      <w:r w:rsidRPr="006727DC">
        <w:rPr>
          <w:i/>
        </w:rPr>
        <w:t>6th plenary meeting</w:t>
      </w:r>
    </w:p>
    <w:p w:rsidR="006727DC" w:rsidRPr="006727DC" w:rsidRDefault="006727DC" w:rsidP="00A43A4D">
      <w:pPr>
        <w:pStyle w:val="Normal-pool"/>
        <w:spacing w:after="120"/>
        <w:jc w:val="right"/>
        <w:rPr>
          <w:i/>
        </w:rPr>
      </w:pPr>
      <w:r w:rsidRPr="006727DC">
        <w:rPr>
          <w:i/>
        </w:rPr>
        <w:t>27 May 2016</w:t>
      </w:r>
    </w:p>
    <w:tbl>
      <w:tblPr>
        <w:tblStyle w:val="Tabledocright"/>
        <w:tblW w:w="9610" w:type="dxa"/>
        <w:tblInd w:w="40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1"/>
        <w:gridCol w:w="1920"/>
        <w:gridCol w:w="1920"/>
        <w:gridCol w:w="1928"/>
        <w:gridCol w:w="1921"/>
      </w:tblGrid>
      <w:tr w:rsidR="00CA20BB" w:rsidRPr="00152E7E" w:rsidTr="00444D8F">
        <w:tc>
          <w:tcPr>
            <w:tcW w:w="1921" w:type="dxa"/>
          </w:tcPr>
          <w:p w:rsidR="00CA20BB" w:rsidRDefault="00CA20BB" w:rsidP="008B5283">
            <w:pPr>
              <w:pStyle w:val="Normal-pool"/>
              <w:spacing w:before="520"/>
            </w:pPr>
          </w:p>
        </w:tc>
        <w:tc>
          <w:tcPr>
            <w:tcW w:w="1920" w:type="dxa"/>
          </w:tcPr>
          <w:p w:rsidR="00CA20BB" w:rsidRDefault="00CA20BB" w:rsidP="008B5283">
            <w:pPr>
              <w:pStyle w:val="Normal-pool"/>
              <w:spacing w:before="520"/>
            </w:pPr>
          </w:p>
        </w:tc>
        <w:tc>
          <w:tcPr>
            <w:tcW w:w="1920" w:type="dxa"/>
            <w:tcBorders>
              <w:bottom w:val="single" w:sz="4" w:space="0" w:color="auto"/>
            </w:tcBorders>
          </w:tcPr>
          <w:p w:rsidR="00CA20BB" w:rsidRDefault="00CA20BB" w:rsidP="008B5283">
            <w:pPr>
              <w:pStyle w:val="Normal-pool"/>
              <w:spacing w:before="520"/>
            </w:pPr>
          </w:p>
        </w:tc>
        <w:tc>
          <w:tcPr>
            <w:tcW w:w="1928" w:type="dxa"/>
          </w:tcPr>
          <w:p w:rsidR="00C14100" w:rsidRPr="00152E7E" w:rsidRDefault="00C14100" w:rsidP="00444D8F">
            <w:pPr>
              <w:jc w:val="right"/>
              <w:rPr>
                <w:i/>
                <w:highlight w:val="cyan"/>
                <w:lang w:val="en-US"/>
              </w:rPr>
            </w:pPr>
          </w:p>
        </w:tc>
        <w:tc>
          <w:tcPr>
            <w:tcW w:w="1921" w:type="dxa"/>
          </w:tcPr>
          <w:p w:rsidR="00CA20BB" w:rsidRPr="00152E7E" w:rsidRDefault="00CA20BB" w:rsidP="00444D8F">
            <w:pPr>
              <w:jc w:val="right"/>
              <w:rPr>
                <w:i/>
                <w:highlight w:val="cyan"/>
                <w:lang w:val="en-US"/>
              </w:rPr>
            </w:pPr>
          </w:p>
        </w:tc>
      </w:tr>
    </w:tbl>
    <w:p w:rsidR="00CA20BB" w:rsidRPr="00EB4654" w:rsidRDefault="00CA20BB" w:rsidP="00CA20BB">
      <w:pPr>
        <w:pStyle w:val="Normal-pool"/>
      </w:pPr>
    </w:p>
    <w:sectPr w:rsidR="00CA20BB" w:rsidRPr="00EB4654" w:rsidSect="000B4AF8">
      <w:headerReference w:type="even" r:id="rId11"/>
      <w:headerReference w:type="default" r:id="rId12"/>
      <w:footerReference w:type="even" r:id="rId13"/>
      <w:footerReference w:type="default" r:id="rId14"/>
      <w:footerReference w:type="first" r:id="rId15"/>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16F9" w:rsidRDefault="003816F9">
      <w:r>
        <w:separator/>
      </w:r>
    </w:p>
  </w:endnote>
  <w:endnote w:type="continuationSeparator" w:id="0">
    <w:p w:rsidR="003816F9" w:rsidRDefault="00381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699" w:rsidRDefault="00123699">
    <w:pPr>
      <w:pStyle w:val="Footer"/>
    </w:pPr>
    <w:r>
      <w:rPr>
        <w:rStyle w:val="PageNumber"/>
      </w:rPr>
      <w:fldChar w:fldCharType="begin"/>
    </w:r>
    <w:r>
      <w:rPr>
        <w:rStyle w:val="PageNumber"/>
      </w:rPr>
      <w:instrText xml:space="preserve"> PAGE </w:instrText>
    </w:r>
    <w:r>
      <w:rPr>
        <w:rStyle w:val="PageNumber"/>
      </w:rPr>
      <w:fldChar w:fldCharType="separate"/>
    </w:r>
    <w:r w:rsidR="000349F7">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699" w:rsidRDefault="00123699"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A43A4D">
      <w:rPr>
        <w:rStyle w:val="PageNumber"/>
        <w:noProof/>
      </w:rPr>
      <w:t>49</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0BB" w:rsidRPr="00CA20BB" w:rsidRDefault="00A43A4D">
    <w:pPr>
      <w:pStyle w:val="Footer"/>
      <w:rPr>
        <w:sz w:val="20"/>
      </w:rPr>
    </w:pPr>
    <w:r>
      <w:rPr>
        <w:sz w:val="20"/>
      </w:rPr>
      <w:t>K16</w:t>
    </w:r>
    <w:r w:rsidR="00152E7E">
      <w:rPr>
        <w:sz w:val="20"/>
      </w:rPr>
      <w:t>07119</w:t>
    </w:r>
    <w:r>
      <w:rPr>
        <w:sz w:val="20"/>
      </w:rPr>
      <w:tab/>
    </w:r>
    <w:r w:rsidR="002D6B1F">
      <w:rPr>
        <w:sz w:val="20"/>
      </w:rPr>
      <w:t>05</w:t>
    </w:r>
    <w:r>
      <w:rPr>
        <w:sz w:val="20"/>
      </w:rPr>
      <w:t>09</w:t>
    </w:r>
    <w:r w:rsidR="00CA20BB" w:rsidRPr="00CA20BB">
      <w:rPr>
        <w:sz w:val="20"/>
      </w:rPr>
      <w:t>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16F9" w:rsidRDefault="003816F9" w:rsidP="00D92DE0">
      <w:pPr>
        <w:ind w:left="624"/>
      </w:pPr>
      <w:r>
        <w:separator/>
      </w:r>
    </w:p>
  </w:footnote>
  <w:footnote w:type="continuationSeparator" w:id="0">
    <w:p w:rsidR="003816F9" w:rsidRDefault="003816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699" w:rsidRPr="00CA20BB" w:rsidRDefault="00CA20BB" w:rsidP="00CA20BB">
    <w:pPr>
      <w:pStyle w:val="Header"/>
      <w:rPr>
        <w:szCs w:val="18"/>
      </w:rPr>
    </w:pPr>
    <w:r w:rsidRPr="00EB4654">
      <w:rPr>
        <w:szCs w:val="18"/>
      </w:rPr>
      <w:t>UNEP</w:t>
    </w:r>
    <w:r>
      <w:rPr>
        <w:szCs w:val="18"/>
      </w:rPr>
      <w:t>/EA</w:t>
    </w:r>
    <w:r w:rsidRPr="00EF4A81">
      <w:rPr>
        <w:szCs w:val="18"/>
      </w:rPr>
      <w:t>.2</w:t>
    </w:r>
    <w:r w:rsidR="004D21A8" w:rsidRPr="00EF4A81">
      <w:rPr>
        <w:szCs w:val="18"/>
      </w:rPr>
      <w:t>/R</w:t>
    </w:r>
    <w:r w:rsidR="005E6C6D" w:rsidRPr="00EF4A81">
      <w:rPr>
        <w:szCs w:val="18"/>
      </w:rPr>
      <w:t>es</w:t>
    </w:r>
    <w:r w:rsidR="00152E7E">
      <w:rPr>
        <w:szCs w:val="18"/>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699" w:rsidRDefault="00123699" w:rsidP="00035EDE">
    <w:pPr>
      <w:pStyle w:val="Header"/>
      <w:jc w:val="right"/>
    </w:pPr>
    <w:r>
      <w:t>UNON/DCS/ELU/TEMPLATE.1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83988"/>
    <w:multiLevelType w:val="hybridMultilevel"/>
    <w:tmpl w:val="3856A3B2"/>
    <w:lvl w:ilvl="0" w:tplc="0409000F">
      <w:start w:val="1"/>
      <w:numFmt w:val="decimal"/>
      <w:lvlText w:val="%1."/>
      <w:lvlJc w:val="left"/>
      <w:pPr>
        <w:ind w:left="2591" w:hanging="360"/>
      </w:pPr>
    </w:lvl>
    <w:lvl w:ilvl="1" w:tplc="A59264C6">
      <w:start w:val="1"/>
      <w:numFmt w:val="lowerLetter"/>
      <w:lvlText w:val="(%2)"/>
      <w:lvlJc w:val="left"/>
      <w:pPr>
        <w:ind w:left="3311" w:hanging="360"/>
      </w:pPr>
      <w:rPr>
        <w:rFonts w:hint="default"/>
        <w:b w:val="0"/>
      </w:r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nsid w:val="314678EB"/>
    <w:multiLevelType w:val="hybridMultilevel"/>
    <w:tmpl w:val="6DAAAD9C"/>
    <w:lvl w:ilvl="0" w:tplc="CD944B7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nsid w:val="52A66A9D"/>
    <w:multiLevelType w:val="multilevel"/>
    <w:tmpl w:val="D07A6E4C"/>
    <w:styleLink w:val="Normallist"/>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5">
    <w:nsid w:val="60990D3D"/>
    <w:multiLevelType w:val="multilevel"/>
    <w:tmpl w:val="AF48E7E2"/>
    <w:lvl w:ilvl="0">
      <w:start w:val="1"/>
      <w:numFmt w:val="lowerLetter"/>
      <w:lvlText w:val="(%1)"/>
      <w:lvlJc w:val="left"/>
      <w:pPr>
        <w:tabs>
          <w:tab w:val="num" w:pos="1134"/>
        </w:tabs>
        <w:ind w:left="1247" w:firstLine="0"/>
      </w:pPr>
      <w:rPr>
        <w:b w:val="0"/>
      </w:rPr>
    </w:lvl>
    <w:lvl w:ilvl="1">
      <w:start w:val="1"/>
      <w:numFmt w:val="lowerLetter"/>
      <w:lvlText w:val="(%2)"/>
      <w:lvlJc w:val="left"/>
      <w:pPr>
        <w:tabs>
          <w:tab w:val="num" w:pos="1134"/>
        </w:tabs>
        <w:ind w:left="1247" w:firstLine="567"/>
      </w:pPr>
    </w:lvl>
    <w:lvl w:ilvl="2">
      <w:start w:val="1"/>
      <w:numFmt w:val="lowerRoman"/>
      <w:lvlText w:val="(%3)"/>
      <w:lvlJc w:val="left"/>
      <w:pPr>
        <w:tabs>
          <w:tab w:val="num" w:pos="1134"/>
        </w:tabs>
        <w:ind w:left="2948" w:hanging="567"/>
      </w:pPr>
    </w:lvl>
    <w:lvl w:ilvl="3">
      <w:start w:val="1"/>
      <w:numFmt w:val="lowerLetter"/>
      <w:lvlText w:val="%4."/>
      <w:lvlJc w:val="left"/>
      <w:pPr>
        <w:tabs>
          <w:tab w:val="num" w:pos="1134"/>
        </w:tabs>
        <w:ind w:left="3515" w:hanging="567"/>
      </w:pPr>
    </w:lvl>
    <w:lvl w:ilvl="4">
      <w:start w:val="1"/>
      <w:numFmt w:val="lowerRoman"/>
      <w:lvlText w:val="%5."/>
      <w:lvlJc w:val="left"/>
      <w:pPr>
        <w:tabs>
          <w:tab w:val="num" w:pos="1134"/>
        </w:tabs>
        <w:ind w:left="4082" w:hanging="567"/>
      </w:pPr>
    </w:lvl>
    <w:lvl w:ilvl="5">
      <w:start w:val="1"/>
      <w:numFmt w:val="lowerRoman"/>
      <w:lvlText w:val="%6."/>
      <w:lvlJc w:val="right"/>
      <w:pPr>
        <w:tabs>
          <w:tab w:val="num" w:pos="7835"/>
        </w:tabs>
        <w:ind w:left="7835" w:hanging="180"/>
      </w:pPr>
    </w:lvl>
    <w:lvl w:ilvl="6">
      <w:start w:val="1"/>
      <w:numFmt w:val="decimal"/>
      <w:lvlText w:val="%7."/>
      <w:lvlJc w:val="left"/>
      <w:pPr>
        <w:tabs>
          <w:tab w:val="num" w:pos="8555"/>
        </w:tabs>
        <w:ind w:left="8555" w:hanging="360"/>
      </w:pPr>
    </w:lvl>
    <w:lvl w:ilvl="7">
      <w:start w:val="1"/>
      <w:numFmt w:val="lowerLetter"/>
      <w:lvlText w:val="%8."/>
      <w:lvlJc w:val="left"/>
      <w:pPr>
        <w:tabs>
          <w:tab w:val="num" w:pos="9275"/>
        </w:tabs>
        <w:ind w:left="9275" w:hanging="360"/>
      </w:pPr>
    </w:lvl>
    <w:lvl w:ilvl="8">
      <w:start w:val="1"/>
      <w:numFmt w:val="lowerRoman"/>
      <w:lvlText w:val="%9."/>
      <w:lvlJc w:val="right"/>
      <w:pPr>
        <w:tabs>
          <w:tab w:val="num" w:pos="9995"/>
        </w:tabs>
        <w:ind w:left="9995" w:hanging="180"/>
      </w:pPr>
    </w:lvl>
  </w:abstractNum>
  <w:abstractNum w:abstractNumId="6">
    <w:nsid w:val="62291BF8"/>
    <w:multiLevelType w:val="multilevel"/>
    <w:tmpl w:val="D07A6E4C"/>
    <w:numStyleLink w:val="Normallist"/>
  </w:abstractNum>
  <w:num w:numId="1">
    <w:abstractNumId w:val="1"/>
  </w:num>
  <w:num w:numId="2">
    <w:abstractNumId w:val="3"/>
  </w:num>
  <w:num w:numId="3">
    <w:abstractNumId w:val="4"/>
  </w:num>
  <w:num w:numId="4">
    <w:abstractNumId w:val="6"/>
  </w:num>
  <w:num w:numId="5">
    <w:abstractNumId w:val="1"/>
  </w:num>
  <w:num w:numId="6">
    <w:abstractNumId w:val="3"/>
  </w:num>
  <w:num w:numId="7">
    <w:abstractNumId w:val="4"/>
  </w:num>
  <w:num w:numId="8">
    <w:abstractNumId w:val="6"/>
  </w:num>
  <w:num w:numId="9">
    <w:abstractNumId w:val="1"/>
  </w:num>
  <w:num w:numId="10">
    <w:abstractNumId w:val="3"/>
  </w:num>
  <w:num w:numId="11">
    <w:abstractNumId w:val="4"/>
  </w:num>
  <w:num w:numId="12">
    <w:abstractNumId w:val="6"/>
  </w:num>
  <w:num w:numId="13">
    <w:abstractNumId w:val="4"/>
  </w:num>
  <w:num w:numId="14">
    <w:abstractNumId w:val="6"/>
  </w:num>
  <w:num w:numId="15">
    <w:abstractNumId w:val="1"/>
  </w:num>
  <w:num w:numId="16">
    <w:abstractNumId w:val="3"/>
  </w:num>
  <w:num w:numId="17">
    <w:abstractNumId w:val="4"/>
  </w:num>
  <w:num w:numId="18">
    <w:abstractNumId w:val="6"/>
  </w:num>
  <w:num w:numId="19">
    <w:abstractNumId w:val="1"/>
  </w:num>
  <w:num w:numId="20">
    <w:abstractNumId w:val="3"/>
  </w:num>
  <w:num w:numId="21">
    <w:abstractNumId w:val="4"/>
  </w:num>
  <w:num w:numId="22">
    <w:abstractNumId w:val="6"/>
  </w:num>
  <w:num w:numId="23">
    <w:abstractNumId w:val="1"/>
  </w:num>
  <w:num w:numId="24">
    <w:abstractNumId w:val="3"/>
  </w:num>
  <w:num w:numId="25">
    <w:abstractNumId w:val="4"/>
  </w:num>
  <w:num w:numId="26">
    <w:abstractNumId w:val="6"/>
  </w:num>
  <w:num w:numId="27">
    <w:abstractNumId w:val="1"/>
  </w:num>
  <w:num w:numId="28">
    <w:abstractNumId w:val="3"/>
  </w:num>
  <w:num w:numId="29">
    <w:abstractNumId w:val="4"/>
  </w:num>
  <w:num w:numId="30">
    <w:abstractNumId w:val="6"/>
  </w:num>
  <w:num w:numId="31">
    <w:abstractNumId w:val="1"/>
  </w:num>
  <w:num w:numId="32">
    <w:abstractNumId w:val="3"/>
  </w:num>
  <w:num w:numId="33">
    <w:abstractNumId w:val="4"/>
  </w:num>
  <w:num w:numId="34">
    <w:abstractNumId w:val="6"/>
  </w:num>
  <w:num w:numId="35">
    <w:abstractNumId w:val="4"/>
  </w:num>
  <w:num w:numId="36">
    <w:abstractNumId w:val="6"/>
  </w:num>
  <w:num w:numId="37">
    <w:abstractNumId w:val="4"/>
  </w:num>
  <w:num w:numId="38">
    <w:abstractNumId w:val="4"/>
  </w:num>
  <w:num w:numId="39">
    <w:abstractNumId w:val="4"/>
  </w:num>
  <w:num w:numId="40">
    <w:abstractNumId w:val="4"/>
  </w:num>
  <w:num w:numId="41">
    <w:abstractNumId w:val="4"/>
  </w:num>
  <w:num w:numId="42">
    <w:abstractNumId w:val="4"/>
  </w:num>
  <w:num w:numId="43">
    <w:abstractNumId w:val="5"/>
  </w:num>
  <w:num w:numId="44">
    <w:abstractNumId w:val="0"/>
  </w:num>
  <w:num w:numId="4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0BB"/>
    <w:rsid w:val="000149E6"/>
    <w:rsid w:val="000247B0"/>
    <w:rsid w:val="00026997"/>
    <w:rsid w:val="00033E0B"/>
    <w:rsid w:val="000349F7"/>
    <w:rsid w:val="00035EDE"/>
    <w:rsid w:val="000509B4"/>
    <w:rsid w:val="0006035B"/>
    <w:rsid w:val="00071886"/>
    <w:rsid w:val="000742BC"/>
    <w:rsid w:val="00082A0C"/>
    <w:rsid w:val="00083504"/>
    <w:rsid w:val="0009640C"/>
    <w:rsid w:val="000B22A2"/>
    <w:rsid w:val="000B4AF8"/>
    <w:rsid w:val="000C2A52"/>
    <w:rsid w:val="000D33C0"/>
    <w:rsid w:val="000D6941"/>
    <w:rsid w:val="001202E3"/>
    <w:rsid w:val="00123699"/>
    <w:rsid w:val="0013059D"/>
    <w:rsid w:val="00141A55"/>
    <w:rsid w:val="001446A3"/>
    <w:rsid w:val="00152E7E"/>
    <w:rsid w:val="00155395"/>
    <w:rsid w:val="001575DE"/>
    <w:rsid w:val="00160D74"/>
    <w:rsid w:val="00167D02"/>
    <w:rsid w:val="00170961"/>
    <w:rsid w:val="00181EC8"/>
    <w:rsid w:val="00184349"/>
    <w:rsid w:val="00195F33"/>
    <w:rsid w:val="001B1617"/>
    <w:rsid w:val="001B504B"/>
    <w:rsid w:val="001D3874"/>
    <w:rsid w:val="001D7E75"/>
    <w:rsid w:val="001E56D2"/>
    <w:rsid w:val="001E7D56"/>
    <w:rsid w:val="001F75DE"/>
    <w:rsid w:val="00200D58"/>
    <w:rsid w:val="002013BE"/>
    <w:rsid w:val="002063A4"/>
    <w:rsid w:val="0021145B"/>
    <w:rsid w:val="002333A0"/>
    <w:rsid w:val="00243D36"/>
    <w:rsid w:val="00247707"/>
    <w:rsid w:val="0026018E"/>
    <w:rsid w:val="00286740"/>
    <w:rsid w:val="002929D8"/>
    <w:rsid w:val="002A237D"/>
    <w:rsid w:val="002A4C53"/>
    <w:rsid w:val="002B0672"/>
    <w:rsid w:val="002B247F"/>
    <w:rsid w:val="002C145D"/>
    <w:rsid w:val="002C2C3E"/>
    <w:rsid w:val="002C533E"/>
    <w:rsid w:val="002D027F"/>
    <w:rsid w:val="002D6B1F"/>
    <w:rsid w:val="002D7A85"/>
    <w:rsid w:val="002D7B60"/>
    <w:rsid w:val="002F4761"/>
    <w:rsid w:val="002F5C79"/>
    <w:rsid w:val="003019E2"/>
    <w:rsid w:val="0031413F"/>
    <w:rsid w:val="003148BB"/>
    <w:rsid w:val="00317976"/>
    <w:rsid w:val="00355EA9"/>
    <w:rsid w:val="003578DE"/>
    <w:rsid w:val="003816F9"/>
    <w:rsid w:val="00396257"/>
    <w:rsid w:val="00397EB8"/>
    <w:rsid w:val="003A4FD0"/>
    <w:rsid w:val="003A69D1"/>
    <w:rsid w:val="003A7705"/>
    <w:rsid w:val="003A77F1"/>
    <w:rsid w:val="003B1545"/>
    <w:rsid w:val="003C409D"/>
    <w:rsid w:val="003C5BA6"/>
    <w:rsid w:val="003F0E85"/>
    <w:rsid w:val="00410C55"/>
    <w:rsid w:val="00416854"/>
    <w:rsid w:val="00417725"/>
    <w:rsid w:val="00437F26"/>
    <w:rsid w:val="00444097"/>
    <w:rsid w:val="00444D8F"/>
    <w:rsid w:val="00445487"/>
    <w:rsid w:val="00454769"/>
    <w:rsid w:val="00466991"/>
    <w:rsid w:val="0047064C"/>
    <w:rsid w:val="004A42E1"/>
    <w:rsid w:val="004B162C"/>
    <w:rsid w:val="004C3DBE"/>
    <w:rsid w:val="004C5C96"/>
    <w:rsid w:val="004D06A4"/>
    <w:rsid w:val="004D21A8"/>
    <w:rsid w:val="004F1A81"/>
    <w:rsid w:val="005218D9"/>
    <w:rsid w:val="00536186"/>
    <w:rsid w:val="00544CBB"/>
    <w:rsid w:val="0057315F"/>
    <w:rsid w:val="00576104"/>
    <w:rsid w:val="005A4EED"/>
    <w:rsid w:val="005A5843"/>
    <w:rsid w:val="005C67C8"/>
    <w:rsid w:val="005D000E"/>
    <w:rsid w:val="005D0249"/>
    <w:rsid w:val="005D6E8C"/>
    <w:rsid w:val="005E6C6D"/>
    <w:rsid w:val="005F100C"/>
    <w:rsid w:val="005F68DA"/>
    <w:rsid w:val="0060773B"/>
    <w:rsid w:val="006157B5"/>
    <w:rsid w:val="00626FC6"/>
    <w:rsid w:val="006303B4"/>
    <w:rsid w:val="00633D3D"/>
    <w:rsid w:val="00641703"/>
    <w:rsid w:val="006431A6"/>
    <w:rsid w:val="006459F6"/>
    <w:rsid w:val="006501AD"/>
    <w:rsid w:val="00651BFA"/>
    <w:rsid w:val="00654475"/>
    <w:rsid w:val="00665A4B"/>
    <w:rsid w:val="0067157C"/>
    <w:rsid w:val="006727DC"/>
    <w:rsid w:val="00692E2A"/>
    <w:rsid w:val="006A76F2"/>
    <w:rsid w:val="006D7EFB"/>
    <w:rsid w:val="006E6672"/>
    <w:rsid w:val="006E6722"/>
    <w:rsid w:val="007027B9"/>
    <w:rsid w:val="00715E88"/>
    <w:rsid w:val="00734CAA"/>
    <w:rsid w:val="0075533C"/>
    <w:rsid w:val="00757581"/>
    <w:rsid w:val="007611A0"/>
    <w:rsid w:val="00796D3F"/>
    <w:rsid w:val="007A1683"/>
    <w:rsid w:val="007A5C12"/>
    <w:rsid w:val="007A7CB0"/>
    <w:rsid w:val="007B68A3"/>
    <w:rsid w:val="007C2541"/>
    <w:rsid w:val="007D66A8"/>
    <w:rsid w:val="007E003F"/>
    <w:rsid w:val="008164F2"/>
    <w:rsid w:val="00821395"/>
    <w:rsid w:val="00822421"/>
    <w:rsid w:val="00830E26"/>
    <w:rsid w:val="00843576"/>
    <w:rsid w:val="00843B64"/>
    <w:rsid w:val="008478FC"/>
    <w:rsid w:val="00857384"/>
    <w:rsid w:val="00867BFF"/>
    <w:rsid w:val="008818A5"/>
    <w:rsid w:val="0088480A"/>
    <w:rsid w:val="0088757A"/>
    <w:rsid w:val="008957DD"/>
    <w:rsid w:val="00897D98"/>
    <w:rsid w:val="008A6DF2"/>
    <w:rsid w:val="008A7807"/>
    <w:rsid w:val="008B4CC9"/>
    <w:rsid w:val="008C7780"/>
    <w:rsid w:val="008D7C99"/>
    <w:rsid w:val="008E0FCB"/>
    <w:rsid w:val="0092178C"/>
    <w:rsid w:val="00930B88"/>
    <w:rsid w:val="00940DCC"/>
    <w:rsid w:val="0094179A"/>
    <w:rsid w:val="0094459E"/>
    <w:rsid w:val="00944DBC"/>
    <w:rsid w:val="00950977"/>
    <w:rsid w:val="00951A7B"/>
    <w:rsid w:val="009564A6"/>
    <w:rsid w:val="00967621"/>
    <w:rsid w:val="00967E6A"/>
    <w:rsid w:val="00991611"/>
    <w:rsid w:val="009B4A0F"/>
    <w:rsid w:val="009C11D2"/>
    <w:rsid w:val="009C6C70"/>
    <w:rsid w:val="009D0B63"/>
    <w:rsid w:val="009E307E"/>
    <w:rsid w:val="00A07870"/>
    <w:rsid w:val="00A07F19"/>
    <w:rsid w:val="00A1348D"/>
    <w:rsid w:val="00A232EE"/>
    <w:rsid w:val="00A4175F"/>
    <w:rsid w:val="00A43A4D"/>
    <w:rsid w:val="00A44411"/>
    <w:rsid w:val="00A469FA"/>
    <w:rsid w:val="00A55B01"/>
    <w:rsid w:val="00A56B5B"/>
    <w:rsid w:val="00A603FF"/>
    <w:rsid w:val="00A657DD"/>
    <w:rsid w:val="00A666A6"/>
    <w:rsid w:val="00A675FD"/>
    <w:rsid w:val="00A72437"/>
    <w:rsid w:val="00A80611"/>
    <w:rsid w:val="00AB5340"/>
    <w:rsid w:val="00AC0A89"/>
    <w:rsid w:val="00AC7C96"/>
    <w:rsid w:val="00AE237D"/>
    <w:rsid w:val="00AE502A"/>
    <w:rsid w:val="00AF7C07"/>
    <w:rsid w:val="00B22C93"/>
    <w:rsid w:val="00B27589"/>
    <w:rsid w:val="00B405B7"/>
    <w:rsid w:val="00B52222"/>
    <w:rsid w:val="00B54FE7"/>
    <w:rsid w:val="00B66901"/>
    <w:rsid w:val="00B71E6D"/>
    <w:rsid w:val="00B72070"/>
    <w:rsid w:val="00B779E1"/>
    <w:rsid w:val="00B91EE1"/>
    <w:rsid w:val="00BA0090"/>
    <w:rsid w:val="00BA1A67"/>
    <w:rsid w:val="00BA746E"/>
    <w:rsid w:val="00BE5B5F"/>
    <w:rsid w:val="00C14100"/>
    <w:rsid w:val="00C26F55"/>
    <w:rsid w:val="00C30C63"/>
    <w:rsid w:val="00C36B8B"/>
    <w:rsid w:val="00C415C1"/>
    <w:rsid w:val="00C47DBF"/>
    <w:rsid w:val="00C552FF"/>
    <w:rsid w:val="00C558DA"/>
    <w:rsid w:val="00C55AF3"/>
    <w:rsid w:val="00C63210"/>
    <w:rsid w:val="00C84759"/>
    <w:rsid w:val="00CA20BB"/>
    <w:rsid w:val="00CA6C7F"/>
    <w:rsid w:val="00CC10A6"/>
    <w:rsid w:val="00CD5EB8"/>
    <w:rsid w:val="00CD7044"/>
    <w:rsid w:val="00CE08B9"/>
    <w:rsid w:val="00CE524C"/>
    <w:rsid w:val="00CF141F"/>
    <w:rsid w:val="00CF4777"/>
    <w:rsid w:val="00D067BB"/>
    <w:rsid w:val="00D1352A"/>
    <w:rsid w:val="00D169AF"/>
    <w:rsid w:val="00D25249"/>
    <w:rsid w:val="00D44172"/>
    <w:rsid w:val="00D63B8C"/>
    <w:rsid w:val="00D739CC"/>
    <w:rsid w:val="00D8093D"/>
    <w:rsid w:val="00D8108C"/>
    <w:rsid w:val="00D842AE"/>
    <w:rsid w:val="00D9211C"/>
    <w:rsid w:val="00D92DE0"/>
    <w:rsid w:val="00D92FEF"/>
    <w:rsid w:val="00D93A0F"/>
    <w:rsid w:val="00DA1BCA"/>
    <w:rsid w:val="00DC46FF"/>
    <w:rsid w:val="00DC5254"/>
    <w:rsid w:val="00DD1A4F"/>
    <w:rsid w:val="00DD3107"/>
    <w:rsid w:val="00DD7C2C"/>
    <w:rsid w:val="00E06797"/>
    <w:rsid w:val="00E1265B"/>
    <w:rsid w:val="00E13B48"/>
    <w:rsid w:val="00E1404F"/>
    <w:rsid w:val="00E21C83"/>
    <w:rsid w:val="00E24ADA"/>
    <w:rsid w:val="00E32F59"/>
    <w:rsid w:val="00E46D9A"/>
    <w:rsid w:val="00E565FF"/>
    <w:rsid w:val="00E65388"/>
    <w:rsid w:val="00E85B7D"/>
    <w:rsid w:val="00E9121B"/>
    <w:rsid w:val="00EA0AE2"/>
    <w:rsid w:val="00EA39E5"/>
    <w:rsid w:val="00EC5A46"/>
    <w:rsid w:val="00EC63E2"/>
    <w:rsid w:val="00EF22B3"/>
    <w:rsid w:val="00EF4A81"/>
    <w:rsid w:val="00F03B69"/>
    <w:rsid w:val="00F07A50"/>
    <w:rsid w:val="00F113DA"/>
    <w:rsid w:val="00F26AA2"/>
    <w:rsid w:val="00F37DC8"/>
    <w:rsid w:val="00F439B3"/>
    <w:rsid w:val="00F650C3"/>
    <w:rsid w:val="00F65D85"/>
    <w:rsid w:val="00F8091E"/>
    <w:rsid w:val="00F8615C"/>
    <w:rsid w:val="00F969E5"/>
    <w:rsid w:val="00FA6BB0"/>
    <w:rsid w:val="00FB13F1"/>
    <w:rsid w:val="00FD5860"/>
    <w:rsid w:val="00FE2AD9"/>
    <w:rsid w:val="00FE352D"/>
    <w:rsid w:val="00FE40EB"/>
    <w:rsid w:val="00FE4D02"/>
    <w:rsid w:val="00FE7D62"/>
    <w:rsid w:val="00FF38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D6941"/>
    <w:pPr>
      <w:tabs>
        <w:tab w:val="left" w:pos="1247"/>
        <w:tab w:val="left" w:pos="1814"/>
        <w:tab w:val="left" w:pos="2381"/>
        <w:tab w:val="left" w:pos="2948"/>
        <w:tab w:val="left" w:pos="3515"/>
      </w:tabs>
    </w:pPr>
    <w:rPr>
      <w:lang w:val="fr-FR"/>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3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val="en-GB"/>
    </w:rPr>
  </w:style>
  <w:style w:type="character" w:styleId="FootnoteReference">
    <w:name w:val="footnote reference"/>
    <w:aliases w:val="ftref,16 Point,Superscript 6 Point,number,SUPERS,Footnote Reference Superscript,(Ref. de nota al pie)"/>
    <w:basedOn w:val="DefaultParagraphFont"/>
    <w:uiPriority w:val="99"/>
    <w:rsid w:val="000D6941"/>
    <w:rPr>
      <w:rFonts w:ascii="Times New Roman" w:hAnsi="Times New Roman"/>
      <w:color w:val="auto"/>
      <w:sz w:val="20"/>
      <w:szCs w:val="18"/>
      <w:vertAlign w:val="superscript"/>
    </w:rPr>
  </w:style>
  <w:style w:type="paragraph" w:styleId="FootnoteText">
    <w:name w:val="footnote text"/>
    <w:aliases w:val="Geneva 9,Font: Geneva 9,Boston 10,f,DNV-FT,fn,Footnotes,Footnote ak,ft,fn cafc,Footnotes Char Char,Footnote Text Char Char,fn Char Char,footnote text Char Char Char Ch,Footnote Text Char1,footnote text Char Char Char Ch Char,-E Fußnotente"/>
    <w:basedOn w:val="Normalpool"/>
    <w:link w:val="FootnoteTextChar"/>
    <w:uiPriority w:val="99"/>
    <w:rsid w:val="000D6941"/>
    <w:pPr>
      <w:spacing w:before="20" w:after="40"/>
      <w:ind w:left="1247"/>
    </w:pPr>
    <w:rPr>
      <w:sz w:val="18"/>
    </w:rPr>
  </w:style>
  <w:style w:type="character" w:customStyle="1" w:styleId="FootnoteTextChar">
    <w:name w:val="Footnote Text Char"/>
    <w:aliases w:val="Geneva 9 Char,Font: Geneva 9 Char,Boston 10 Char,f Char,DNV-FT Char,fn Char,Footnotes Char,Footnote ak Char,ft Char,fn cafc Char,Footnotes Char Char Char,Footnote Text Char Char Char,fn Char Char Char,Footnote Text Char1 Char"/>
    <w:link w:val="FootnoteText"/>
    <w:uiPriority w:val="99"/>
    <w:rsid w:val="00CA20BB"/>
    <w:rPr>
      <w:sz w:val="18"/>
      <w:lang w:val="fr-FR"/>
    </w:rPr>
  </w:style>
  <w:style w:type="character" w:customStyle="1" w:styleId="NormalnumberChar">
    <w:name w:val="Normal_number Char"/>
    <w:link w:val="Normalnumber"/>
    <w:rsid w:val="00CA20BB"/>
    <w:rPr>
      <w:lang w:val="en-GB"/>
    </w:rPr>
  </w:style>
  <w:style w:type="character" w:customStyle="1" w:styleId="Normal-poolChar">
    <w:name w:val="Normal-pool Char"/>
    <w:link w:val="Normal-pool"/>
    <w:rsid w:val="00CA20BB"/>
    <w:rPr>
      <w:lang w:val="en-GB"/>
    </w:rPr>
  </w:style>
  <w:style w:type="table" w:customStyle="1" w:styleId="AATable">
    <w:name w:val="AA_Table"/>
    <w:basedOn w:val="TableNormal"/>
    <w:uiPriority w:val="99"/>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uiPriority w:val="99"/>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3"/>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uiPriority w:val="99"/>
    <w:rsid w:val="00160D74"/>
    <w:p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BalloonText">
    <w:name w:val="Balloon Text"/>
    <w:basedOn w:val="Normal"/>
    <w:link w:val="BalloonTextChar"/>
    <w:rsid w:val="005A5843"/>
    <w:rPr>
      <w:rFonts w:ascii="Tahoma" w:hAnsi="Tahoma" w:cs="Tahoma"/>
      <w:sz w:val="16"/>
      <w:szCs w:val="16"/>
    </w:rPr>
  </w:style>
  <w:style w:type="character" w:customStyle="1" w:styleId="BalloonTextChar">
    <w:name w:val="Balloon Text Char"/>
    <w:basedOn w:val="DefaultParagraphFont"/>
    <w:link w:val="BalloonText"/>
    <w:rsid w:val="005A5843"/>
    <w:rPr>
      <w:rFonts w:ascii="Tahoma" w:hAnsi="Tahoma" w:cs="Tahoma"/>
      <w:sz w:val="16"/>
      <w:szCs w:val="16"/>
      <w:lang w:val="fr-FR"/>
    </w:rPr>
  </w:style>
  <w:style w:type="character" w:styleId="Emphasis">
    <w:name w:val="Emphasis"/>
    <w:basedOn w:val="DefaultParagraphFont"/>
    <w:qFormat/>
    <w:rsid w:val="00444D8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D6941"/>
    <w:pPr>
      <w:tabs>
        <w:tab w:val="left" w:pos="1247"/>
        <w:tab w:val="left" w:pos="1814"/>
        <w:tab w:val="left" w:pos="2381"/>
        <w:tab w:val="left" w:pos="2948"/>
        <w:tab w:val="left" w:pos="3515"/>
      </w:tabs>
    </w:pPr>
    <w:rPr>
      <w:lang w:val="fr-FR"/>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3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val="en-GB"/>
    </w:rPr>
  </w:style>
  <w:style w:type="character" w:styleId="FootnoteReference">
    <w:name w:val="footnote reference"/>
    <w:aliases w:val="ftref,16 Point,Superscript 6 Point,number,SUPERS,Footnote Reference Superscript,(Ref. de nota al pie)"/>
    <w:basedOn w:val="DefaultParagraphFont"/>
    <w:uiPriority w:val="99"/>
    <w:rsid w:val="000D6941"/>
    <w:rPr>
      <w:rFonts w:ascii="Times New Roman" w:hAnsi="Times New Roman"/>
      <w:color w:val="auto"/>
      <w:sz w:val="20"/>
      <w:szCs w:val="18"/>
      <w:vertAlign w:val="superscript"/>
    </w:rPr>
  </w:style>
  <w:style w:type="paragraph" w:styleId="FootnoteText">
    <w:name w:val="footnote text"/>
    <w:aliases w:val="Geneva 9,Font: Geneva 9,Boston 10,f,DNV-FT,fn,Footnotes,Footnote ak,ft,fn cafc,Footnotes Char Char,Footnote Text Char Char,fn Char Char,footnote text Char Char Char Ch,Footnote Text Char1,footnote text Char Char Char Ch Char,-E Fußnotente"/>
    <w:basedOn w:val="Normalpool"/>
    <w:link w:val="FootnoteTextChar"/>
    <w:uiPriority w:val="99"/>
    <w:rsid w:val="000D6941"/>
    <w:pPr>
      <w:spacing w:before="20" w:after="40"/>
      <w:ind w:left="1247"/>
    </w:pPr>
    <w:rPr>
      <w:sz w:val="18"/>
    </w:rPr>
  </w:style>
  <w:style w:type="character" w:customStyle="1" w:styleId="FootnoteTextChar">
    <w:name w:val="Footnote Text Char"/>
    <w:aliases w:val="Geneva 9 Char,Font: Geneva 9 Char,Boston 10 Char,f Char,DNV-FT Char,fn Char,Footnotes Char,Footnote ak Char,ft Char,fn cafc Char,Footnotes Char Char Char,Footnote Text Char Char Char,fn Char Char Char,Footnote Text Char1 Char"/>
    <w:link w:val="FootnoteText"/>
    <w:uiPriority w:val="99"/>
    <w:rsid w:val="00CA20BB"/>
    <w:rPr>
      <w:sz w:val="18"/>
      <w:lang w:val="fr-FR"/>
    </w:rPr>
  </w:style>
  <w:style w:type="character" w:customStyle="1" w:styleId="NormalnumberChar">
    <w:name w:val="Normal_number Char"/>
    <w:link w:val="Normalnumber"/>
    <w:rsid w:val="00CA20BB"/>
    <w:rPr>
      <w:lang w:val="en-GB"/>
    </w:rPr>
  </w:style>
  <w:style w:type="character" w:customStyle="1" w:styleId="Normal-poolChar">
    <w:name w:val="Normal-pool Char"/>
    <w:link w:val="Normal-pool"/>
    <w:rsid w:val="00CA20BB"/>
    <w:rPr>
      <w:lang w:val="en-GB"/>
    </w:rPr>
  </w:style>
  <w:style w:type="table" w:customStyle="1" w:styleId="AATable">
    <w:name w:val="AA_Table"/>
    <w:basedOn w:val="TableNormal"/>
    <w:uiPriority w:val="99"/>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uiPriority w:val="99"/>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3"/>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uiPriority w:val="99"/>
    <w:rsid w:val="00160D74"/>
    <w:p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BalloonText">
    <w:name w:val="Balloon Text"/>
    <w:basedOn w:val="Normal"/>
    <w:link w:val="BalloonTextChar"/>
    <w:rsid w:val="005A5843"/>
    <w:rPr>
      <w:rFonts w:ascii="Tahoma" w:hAnsi="Tahoma" w:cs="Tahoma"/>
      <w:sz w:val="16"/>
      <w:szCs w:val="16"/>
    </w:rPr>
  </w:style>
  <w:style w:type="character" w:customStyle="1" w:styleId="BalloonTextChar">
    <w:name w:val="Balloon Text Char"/>
    <w:basedOn w:val="DefaultParagraphFont"/>
    <w:link w:val="BalloonText"/>
    <w:rsid w:val="005A5843"/>
    <w:rPr>
      <w:rFonts w:ascii="Tahoma" w:hAnsi="Tahoma" w:cs="Tahoma"/>
      <w:sz w:val="16"/>
      <w:szCs w:val="16"/>
      <w:lang w:val="fr-FR"/>
    </w:rPr>
  </w:style>
  <w:style w:type="character" w:styleId="Emphasis">
    <w:name w:val="Emphasis"/>
    <w:basedOn w:val="DefaultParagraphFont"/>
    <w:qFormat/>
    <w:rsid w:val="00444D8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711</Words>
  <Characters>4058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4760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Cyrille-Lazare Siewe</cp:lastModifiedBy>
  <cp:revision>2</cp:revision>
  <cp:lastPrinted>2016-08-16T07:38:00Z</cp:lastPrinted>
  <dcterms:created xsi:type="dcterms:W3CDTF">2016-09-12T07:40:00Z</dcterms:created>
  <dcterms:modified xsi:type="dcterms:W3CDTF">2016-09-12T07:40:00Z</dcterms:modified>
</cp:coreProperties>
</file>