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33A0" w:rsidRPr="00863A7A" w:rsidRDefault="002333A0" w:rsidP="002333A0">
      <w:pPr>
        <w:tabs>
          <w:tab w:val="clear" w:pos="1247"/>
          <w:tab w:val="clear" w:pos="1814"/>
          <w:tab w:val="clear" w:pos="2381"/>
          <w:tab w:val="clear" w:pos="2948"/>
          <w:tab w:val="clear" w:pos="3515"/>
        </w:tabs>
        <w:autoSpaceDE w:val="0"/>
        <w:autoSpaceDN w:val="0"/>
        <w:adjustRightInd w:val="0"/>
        <w:rPr>
          <w:rStyle w:val="Emphasis"/>
          <w:lang w:val="es-ES"/>
        </w:rPr>
      </w:pPr>
      <w:bookmarkStart w:id="0" w:name="_GoBack"/>
      <w:bookmarkEnd w:id="0"/>
    </w:p>
    <w:tbl>
      <w:tblPr>
        <w:tblW w:w="5000" w:type="pct"/>
        <w:jc w:val="right"/>
        <w:tblLayout w:type="fixed"/>
        <w:tblLook w:val="0000" w:firstRow="0" w:lastRow="0" w:firstColumn="0" w:lastColumn="0" w:noHBand="0" w:noVBand="0"/>
      </w:tblPr>
      <w:tblGrid>
        <w:gridCol w:w="1668"/>
        <w:gridCol w:w="5953"/>
        <w:gridCol w:w="2091"/>
      </w:tblGrid>
      <w:tr w:rsidR="002333A0" w:rsidRPr="00863A7A" w:rsidTr="006C607A">
        <w:trPr>
          <w:cantSplit/>
          <w:trHeight w:val="850"/>
          <w:jc w:val="right"/>
        </w:trPr>
        <w:tc>
          <w:tcPr>
            <w:tcW w:w="1668" w:type="dxa"/>
          </w:tcPr>
          <w:p w:rsidR="002333A0" w:rsidRPr="00863A7A" w:rsidRDefault="006C607A" w:rsidP="006C607A">
            <w:pPr>
              <w:rPr>
                <w:rFonts w:ascii="Univers" w:hAnsi="Univers"/>
                <w:b/>
                <w:noProof/>
                <w:sz w:val="27"/>
                <w:szCs w:val="27"/>
                <w:lang w:val="es-ES"/>
              </w:rPr>
            </w:pPr>
            <w:r w:rsidRPr="00863A7A">
              <w:rPr>
                <w:rFonts w:ascii="Arial" w:hAnsi="Arial" w:cs="Arial"/>
                <w:b/>
                <w:noProof/>
                <w:sz w:val="27"/>
                <w:szCs w:val="27"/>
                <w:lang w:val="es-ES"/>
              </w:rPr>
              <w:t>NACIONES UNIDAS</w:t>
            </w:r>
          </w:p>
        </w:tc>
        <w:tc>
          <w:tcPr>
            <w:tcW w:w="5953" w:type="dxa"/>
          </w:tcPr>
          <w:p w:rsidR="002333A0" w:rsidRPr="00863A7A" w:rsidRDefault="002333A0" w:rsidP="006C607A">
            <w:pPr>
              <w:rPr>
                <w:rFonts w:ascii="Univers" w:hAnsi="Univers"/>
                <w:b/>
                <w:sz w:val="27"/>
                <w:szCs w:val="27"/>
                <w:lang w:val="es-ES"/>
              </w:rPr>
            </w:pPr>
          </w:p>
        </w:tc>
        <w:tc>
          <w:tcPr>
            <w:tcW w:w="2091" w:type="dxa"/>
          </w:tcPr>
          <w:p w:rsidR="002333A0" w:rsidRPr="00863A7A" w:rsidRDefault="002333A0" w:rsidP="006C607A">
            <w:pPr>
              <w:jc w:val="right"/>
              <w:rPr>
                <w:rFonts w:ascii="Arial" w:hAnsi="Arial" w:cs="Arial"/>
                <w:b/>
                <w:sz w:val="64"/>
                <w:szCs w:val="64"/>
                <w:lang w:val="es-ES"/>
              </w:rPr>
            </w:pPr>
            <w:r w:rsidRPr="00863A7A">
              <w:rPr>
                <w:rFonts w:ascii="Arial" w:hAnsi="Arial" w:cs="Arial"/>
                <w:b/>
                <w:sz w:val="64"/>
                <w:szCs w:val="64"/>
                <w:lang w:val="es-ES"/>
              </w:rPr>
              <w:t>EP</w:t>
            </w:r>
          </w:p>
        </w:tc>
      </w:tr>
      <w:tr w:rsidR="002333A0" w:rsidRPr="00863A7A" w:rsidTr="006C607A">
        <w:trPr>
          <w:cantSplit/>
          <w:trHeight w:val="281"/>
          <w:jc w:val="right"/>
        </w:trPr>
        <w:tc>
          <w:tcPr>
            <w:tcW w:w="1668" w:type="dxa"/>
            <w:tcBorders>
              <w:bottom w:val="single" w:sz="4" w:space="0" w:color="auto"/>
            </w:tcBorders>
          </w:tcPr>
          <w:p w:rsidR="002333A0" w:rsidRPr="00863A7A" w:rsidRDefault="002333A0" w:rsidP="006C607A">
            <w:pPr>
              <w:rPr>
                <w:noProof/>
                <w:sz w:val="18"/>
                <w:szCs w:val="18"/>
                <w:lang w:val="es-ES"/>
              </w:rPr>
            </w:pPr>
          </w:p>
        </w:tc>
        <w:tc>
          <w:tcPr>
            <w:tcW w:w="5953" w:type="dxa"/>
            <w:tcBorders>
              <w:bottom w:val="single" w:sz="4" w:space="0" w:color="auto"/>
            </w:tcBorders>
          </w:tcPr>
          <w:p w:rsidR="002333A0" w:rsidRPr="00863A7A" w:rsidRDefault="002333A0" w:rsidP="006C607A">
            <w:pPr>
              <w:rPr>
                <w:rFonts w:ascii="Univers" w:hAnsi="Univers"/>
                <w:b/>
                <w:sz w:val="18"/>
                <w:szCs w:val="18"/>
                <w:lang w:val="es-ES"/>
              </w:rPr>
            </w:pPr>
          </w:p>
        </w:tc>
        <w:tc>
          <w:tcPr>
            <w:tcW w:w="2091" w:type="dxa"/>
            <w:tcBorders>
              <w:bottom w:val="single" w:sz="4" w:space="0" w:color="auto"/>
            </w:tcBorders>
          </w:tcPr>
          <w:p w:rsidR="002333A0" w:rsidRPr="00863A7A" w:rsidRDefault="002333A0" w:rsidP="006C607A">
            <w:pPr>
              <w:rPr>
                <w:noProof/>
                <w:sz w:val="18"/>
                <w:szCs w:val="18"/>
                <w:lang w:val="es-ES"/>
              </w:rPr>
            </w:pPr>
            <w:r w:rsidRPr="00863A7A">
              <w:rPr>
                <w:b/>
                <w:bCs/>
                <w:sz w:val="28"/>
                <w:lang w:val="es-ES"/>
              </w:rPr>
              <w:t>UNEP</w:t>
            </w:r>
            <w:r w:rsidRPr="00863A7A">
              <w:rPr>
                <w:lang w:val="es-ES"/>
              </w:rPr>
              <w:t>/EA.2/Res.2</w:t>
            </w:r>
          </w:p>
        </w:tc>
      </w:tr>
      <w:bookmarkStart w:id="1" w:name="_MON_1021710482"/>
      <w:bookmarkEnd w:id="1"/>
      <w:tr w:rsidR="002333A0" w:rsidRPr="00863A7A" w:rsidTr="006C607A">
        <w:trPr>
          <w:cantSplit/>
          <w:trHeight w:val="1003"/>
          <w:jc w:val="right"/>
        </w:trPr>
        <w:tc>
          <w:tcPr>
            <w:tcW w:w="1668" w:type="dxa"/>
            <w:vMerge w:val="restart"/>
            <w:tcBorders>
              <w:top w:val="single" w:sz="4" w:space="0" w:color="auto"/>
            </w:tcBorders>
          </w:tcPr>
          <w:p w:rsidR="002333A0" w:rsidRPr="00863A7A" w:rsidRDefault="002333A0" w:rsidP="006C607A">
            <w:pPr>
              <w:jc w:val="center"/>
              <w:rPr>
                <w:noProof/>
                <w:lang w:val="es-ES"/>
              </w:rPr>
            </w:pPr>
            <w:r w:rsidRPr="00863A7A">
              <w:rPr>
                <w:noProof/>
                <w:lang w:val="es-ES"/>
              </w:rPr>
              <w:object w:dxaOrig="1831" w:dyaOrig="17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pt;height:61.8pt" o:ole="" fillcolor="window">
                  <v:imagedata r:id="rId8" o:title=""/>
                </v:shape>
                <o:OLEObject Type="Embed" ProgID="Word.Picture.8" ShapeID="_x0000_i1025" DrawAspect="Content" ObjectID="_1535181327" r:id="rId9"/>
              </w:object>
            </w:r>
            <w:r w:rsidRPr="00863A7A">
              <w:rPr>
                <w:noProof/>
                <w:lang w:val="en-US"/>
              </w:rPr>
              <w:drawing>
                <wp:inline distT="0" distB="0" distL="0" distR="0" wp14:anchorId="1A1A545D" wp14:editId="7F233784">
                  <wp:extent cx="655093" cy="639292"/>
                  <wp:effectExtent l="0" t="0" r="0" b="889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58723" cy="642834"/>
                          </a:xfrm>
                          <a:prstGeom prst="rect">
                            <a:avLst/>
                          </a:prstGeom>
                          <a:noFill/>
                          <a:ln>
                            <a:noFill/>
                          </a:ln>
                        </pic:spPr>
                      </pic:pic>
                    </a:graphicData>
                  </a:graphic>
                </wp:inline>
              </w:drawing>
            </w:r>
          </w:p>
        </w:tc>
        <w:tc>
          <w:tcPr>
            <w:tcW w:w="5953" w:type="dxa"/>
            <w:tcBorders>
              <w:top w:val="single" w:sz="4" w:space="0" w:color="auto"/>
            </w:tcBorders>
          </w:tcPr>
          <w:p w:rsidR="002333A0" w:rsidRPr="00863A7A" w:rsidRDefault="002333A0" w:rsidP="006C607A">
            <w:pPr>
              <w:spacing w:before="360" w:after="120"/>
              <w:rPr>
                <w:rFonts w:ascii="Univers" w:hAnsi="Univers"/>
                <w:b/>
                <w:sz w:val="28"/>
                <w:szCs w:val="28"/>
                <w:lang w:val="es-ES"/>
              </w:rPr>
            </w:pPr>
          </w:p>
        </w:tc>
        <w:tc>
          <w:tcPr>
            <w:tcW w:w="2091" w:type="dxa"/>
            <w:tcBorders>
              <w:top w:val="single" w:sz="4" w:space="0" w:color="auto"/>
            </w:tcBorders>
          </w:tcPr>
          <w:p w:rsidR="002333A0" w:rsidRPr="00863A7A" w:rsidRDefault="006C607A" w:rsidP="006C607A">
            <w:pPr>
              <w:spacing w:before="120"/>
              <w:rPr>
                <w:lang w:val="es-ES"/>
              </w:rPr>
            </w:pPr>
            <w:proofErr w:type="spellStart"/>
            <w:r w:rsidRPr="00863A7A">
              <w:rPr>
                <w:lang w:val="es-ES"/>
              </w:rPr>
              <w:t>Distr</w:t>
            </w:r>
            <w:proofErr w:type="spellEnd"/>
            <w:r w:rsidRPr="00863A7A">
              <w:rPr>
                <w:lang w:val="es-ES"/>
              </w:rPr>
              <w:t>. g</w:t>
            </w:r>
            <w:r w:rsidR="002333A0" w:rsidRPr="00863A7A">
              <w:rPr>
                <w:lang w:val="es-ES"/>
              </w:rPr>
              <w:t>eneral</w:t>
            </w:r>
            <w:r w:rsidR="002333A0" w:rsidRPr="00863A7A">
              <w:rPr>
                <w:lang w:val="es-ES"/>
              </w:rPr>
              <w:br/>
              <w:t xml:space="preserve">3 </w:t>
            </w:r>
            <w:r w:rsidRPr="00863A7A">
              <w:rPr>
                <w:lang w:val="es-ES"/>
              </w:rPr>
              <w:t xml:space="preserve">de agosto de </w:t>
            </w:r>
            <w:r w:rsidR="002333A0" w:rsidRPr="00863A7A">
              <w:rPr>
                <w:lang w:val="es-ES"/>
              </w:rPr>
              <w:t>2016</w:t>
            </w:r>
          </w:p>
          <w:p w:rsidR="002333A0" w:rsidRPr="00863A7A" w:rsidRDefault="006C607A" w:rsidP="006C607A">
            <w:pPr>
              <w:spacing w:before="120"/>
              <w:rPr>
                <w:lang w:val="es-ES"/>
              </w:rPr>
            </w:pPr>
            <w:r w:rsidRPr="00863A7A">
              <w:rPr>
                <w:lang w:val="es-ES"/>
              </w:rPr>
              <w:t>Español</w:t>
            </w:r>
            <w:r w:rsidRPr="00863A7A">
              <w:rPr>
                <w:lang w:val="es-ES"/>
              </w:rPr>
              <w:br/>
            </w:r>
            <w:r w:rsidR="002333A0" w:rsidRPr="00863A7A">
              <w:rPr>
                <w:lang w:val="es-ES"/>
              </w:rPr>
              <w:t xml:space="preserve">Original: </w:t>
            </w:r>
            <w:r w:rsidRPr="00863A7A">
              <w:rPr>
                <w:lang w:val="es-ES"/>
              </w:rPr>
              <w:t>inglés</w:t>
            </w:r>
          </w:p>
        </w:tc>
      </w:tr>
      <w:tr w:rsidR="002333A0" w:rsidRPr="00863A7A" w:rsidTr="006C607A">
        <w:trPr>
          <w:cantSplit/>
          <w:trHeight w:val="934"/>
          <w:jc w:val="right"/>
        </w:trPr>
        <w:tc>
          <w:tcPr>
            <w:tcW w:w="1668" w:type="dxa"/>
            <w:vMerge/>
            <w:tcBorders>
              <w:bottom w:val="single" w:sz="24" w:space="0" w:color="auto"/>
            </w:tcBorders>
          </w:tcPr>
          <w:p w:rsidR="002333A0" w:rsidRPr="00863A7A" w:rsidRDefault="002333A0" w:rsidP="006C607A">
            <w:pPr>
              <w:jc w:val="center"/>
              <w:rPr>
                <w:noProof/>
                <w:lang w:val="es-ES"/>
              </w:rPr>
            </w:pPr>
          </w:p>
        </w:tc>
        <w:tc>
          <w:tcPr>
            <w:tcW w:w="8044" w:type="dxa"/>
            <w:gridSpan w:val="2"/>
            <w:tcBorders>
              <w:bottom w:val="single" w:sz="24" w:space="0" w:color="auto"/>
            </w:tcBorders>
          </w:tcPr>
          <w:p w:rsidR="006C607A" w:rsidRPr="00863A7A" w:rsidRDefault="006C607A" w:rsidP="006C607A">
            <w:pPr>
              <w:spacing w:before="360" w:after="120"/>
              <w:rPr>
                <w:rFonts w:ascii="Arial" w:hAnsi="Arial" w:cs="Arial"/>
                <w:b/>
                <w:sz w:val="28"/>
                <w:szCs w:val="28"/>
                <w:lang w:val="es-ES"/>
              </w:rPr>
            </w:pPr>
            <w:r w:rsidRPr="00863A7A">
              <w:rPr>
                <w:rFonts w:ascii="Arial" w:hAnsi="Arial" w:cs="Arial"/>
                <w:b/>
                <w:sz w:val="28"/>
                <w:szCs w:val="28"/>
                <w:lang w:val="es-ES"/>
              </w:rPr>
              <w:t>Asamblea de las Naciones Unidas</w:t>
            </w:r>
            <w:r w:rsidRPr="00863A7A">
              <w:rPr>
                <w:rFonts w:ascii="Arial" w:hAnsi="Arial" w:cs="Arial"/>
                <w:b/>
                <w:sz w:val="28"/>
                <w:szCs w:val="28"/>
                <w:lang w:val="es-ES"/>
              </w:rPr>
              <w:br/>
              <w:t xml:space="preserve">sobre el Medio Ambiente del </w:t>
            </w:r>
            <w:r w:rsidRPr="00863A7A">
              <w:rPr>
                <w:rFonts w:ascii="Arial" w:hAnsi="Arial" w:cs="Arial"/>
                <w:b/>
                <w:sz w:val="28"/>
                <w:szCs w:val="28"/>
                <w:lang w:val="es-ES"/>
              </w:rPr>
              <w:br/>
              <w:t>Programa de las Naciones Unidas</w:t>
            </w:r>
            <w:r w:rsidR="00CA544C">
              <w:rPr>
                <w:rFonts w:ascii="Arial" w:hAnsi="Arial" w:cs="Arial"/>
                <w:b/>
                <w:sz w:val="28"/>
                <w:szCs w:val="28"/>
                <w:lang w:val="es-ES"/>
              </w:rPr>
              <w:br/>
              <w:t>para el Medio Ambiente</w:t>
            </w:r>
          </w:p>
        </w:tc>
      </w:tr>
    </w:tbl>
    <w:p w:rsidR="002333A0" w:rsidRPr="00863A7A" w:rsidRDefault="006C607A" w:rsidP="00CA544C">
      <w:pPr>
        <w:pStyle w:val="AATitle"/>
        <w:tabs>
          <w:tab w:val="clear" w:pos="2381"/>
          <w:tab w:val="clear" w:pos="2948"/>
          <w:tab w:val="clear" w:pos="3515"/>
          <w:tab w:val="clear" w:pos="4082"/>
        </w:tabs>
        <w:ind w:right="3969"/>
        <w:rPr>
          <w:lang w:val="es-ES"/>
        </w:rPr>
      </w:pPr>
      <w:r w:rsidRPr="00863A7A">
        <w:rPr>
          <w:lang w:val="es-ES"/>
        </w:rPr>
        <w:t>Asamblea de las Naciones Unidas sobre el Medio Ambiente del Programa de las Naciones Unidas</w:t>
      </w:r>
      <w:r w:rsidR="00CA544C">
        <w:rPr>
          <w:lang w:val="es-ES"/>
        </w:rPr>
        <w:t xml:space="preserve"> para el Medio Ambiente</w:t>
      </w:r>
    </w:p>
    <w:p w:rsidR="002333A0" w:rsidRPr="00863A7A" w:rsidRDefault="002333A0" w:rsidP="002333A0">
      <w:pPr>
        <w:pStyle w:val="AATitle"/>
        <w:tabs>
          <w:tab w:val="clear" w:pos="2381"/>
          <w:tab w:val="clear" w:pos="2948"/>
          <w:tab w:val="clear" w:pos="3515"/>
          <w:tab w:val="clear" w:pos="4082"/>
        </w:tabs>
        <w:ind w:right="-2"/>
        <w:rPr>
          <w:lang w:val="es-ES"/>
        </w:rPr>
      </w:pPr>
      <w:r w:rsidRPr="00863A7A">
        <w:rPr>
          <w:lang w:val="es-ES"/>
        </w:rPr>
        <w:t>S</w:t>
      </w:r>
      <w:r w:rsidR="00C712AF" w:rsidRPr="00863A7A">
        <w:rPr>
          <w:lang w:val="es-ES"/>
        </w:rPr>
        <w:t>egundo perí</w:t>
      </w:r>
      <w:r w:rsidR="006C607A" w:rsidRPr="00863A7A">
        <w:rPr>
          <w:lang w:val="es-ES"/>
        </w:rPr>
        <w:t>odo de sesiones</w:t>
      </w:r>
    </w:p>
    <w:p w:rsidR="00FE2AD9" w:rsidRPr="00863A7A" w:rsidRDefault="006C607A" w:rsidP="006727DC">
      <w:pPr>
        <w:pStyle w:val="AATitle"/>
        <w:keepNext w:val="0"/>
        <w:keepLines w:val="0"/>
        <w:tabs>
          <w:tab w:val="clear" w:pos="2381"/>
          <w:tab w:val="clear" w:pos="2948"/>
          <w:tab w:val="clear" w:pos="3515"/>
          <w:tab w:val="clear" w:pos="4082"/>
        </w:tabs>
        <w:ind w:right="-2"/>
        <w:outlineLvl w:val="0"/>
        <w:rPr>
          <w:b w:val="0"/>
          <w:lang w:val="es-ES"/>
        </w:rPr>
      </w:pPr>
      <w:r w:rsidRPr="00863A7A">
        <w:rPr>
          <w:b w:val="0"/>
          <w:lang w:val="es-ES"/>
        </w:rPr>
        <w:t xml:space="preserve">Nairobi, 23 a </w:t>
      </w:r>
      <w:r w:rsidR="00FE2AD9" w:rsidRPr="00863A7A">
        <w:rPr>
          <w:b w:val="0"/>
          <w:lang w:val="es-ES"/>
        </w:rPr>
        <w:t xml:space="preserve">27 </w:t>
      </w:r>
      <w:r w:rsidRPr="00863A7A">
        <w:rPr>
          <w:b w:val="0"/>
          <w:lang w:val="es-ES"/>
        </w:rPr>
        <w:t>de mayo</w:t>
      </w:r>
      <w:r w:rsidR="00FE2AD9" w:rsidRPr="00863A7A">
        <w:rPr>
          <w:b w:val="0"/>
          <w:lang w:val="es-ES"/>
        </w:rPr>
        <w:t xml:space="preserve"> </w:t>
      </w:r>
      <w:r w:rsidRPr="00863A7A">
        <w:rPr>
          <w:b w:val="0"/>
          <w:lang w:val="es-ES"/>
        </w:rPr>
        <w:t xml:space="preserve">de </w:t>
      </w:r>
      <w:r w:rsidR="00FE2AD9" w:rsidRPr="00863A7A">
        <w:rPr>
          <w:b w:val="0"/>
          <w:lang w:val="es-ES"/>
        </w:rPr>
        <w:t>2016</w:t>
      </w:r>
    </w:p>
    <w:p w:rsidR="00C712AF" w:rsidRPr="00863A7A" w:rsidRDefault="00C712AF" w:rsidP="00C712AF">
      <w:pPr>
        <w:pStyle w:val="BBTitle"/>
        <w:keepNext w:val="0"/>
        <w:keepLines w:val="0"/>
        <w:tabs>
          <w:tab w:val="clear" w:pos="1247"/>
          <w:tab w:val="clear" w:pos="1814"/>
          <w:tab w:val="clear" w:pos="2381"/>
          <w:tab w:val="clear" w:pos="2948"/>
          <w:tab w:val="clear" w:pos="3515"/>
          <w:tab w:val="clear" w:pos="4082"/>
          <w:tab w:val="left" w:pos="2127"/>
        </w:tabs>
        <w:spacing w:before="240" w:after="120"/>
        <w:ind w:left="1871" w:hanging="624"/>
        <w:rPr>
          <w:bCs/>
          <w:lang w:val="es-ES"/>
        </w:rPr>
      </w:pPr>
      <w:r w:rsidRPr="00863A7A">
        <w:rPr>
          <w:lang w:val="es-ES"/>
        </w:rPr>
        <w:t>2/2.</w:t>
      </w:r>
      <w:r w:rsidRPr="00863A7A">
        <w:rPr>
          <w:lang w:val="es-ES"/>
        </w:rPr>
        <w:tab/>
        <w:t xml:space="preserve">El papel y las funciones de los foros regionales de ministros de medio ambiente y autoridades del medio ambiente </w:t>
      </w:r>
    </w:p>
    <w:p w:rsidR="00C712AF" w:rsidRPr="00863A7A" w:rsidRDefault="00C712AF" w:rsidP="00C712AF">
      <w:pPr>
        <w:pStyle w:val="Normalnumber"/>
        <w:keepNext/>
        <w:keepLines/>
        <w:tabs>
          <w:tab w:val="left" w:pos="1871"/>
          <w:tab w:val="left" w:pos="2495"/>
          <w:tab w:val="left" w:pos="3119"/>
          <w:tab w:val="left" w:pos="3742"/>
        </w:tabs>
        <w:ind w:left="1247" w:firstLine="624"/>
        <w:rPr>
          <w:rFonts w:eastAsia="Calibri"/>
          <w:i/>
          <w:lang w:val="es-ES"/>
        </w:rPr>
      </w:pPr>
      <w:r w:rsidRPr="00863A7A">
        <w:rPr>
          <w:i/>
          <w:lang w:val="es-ES"/>
        </w:rPr>
        <w:t>La Asamblea de las Naciones Unidas sobre el Medio Ambiente,</w:t>
      </w:r>
    </w:p>
    <w:p w:rsidR="00C712AF" w:rsidRPr="00863A7A" w:rsidRDefault="00C712AF" w:rsidP="00C712AF">
      <w:pPr>
        <w:pStyle w:val="Normalnumber"/>
        <w:keepNext/>
        <w:keepLines/>
        <w:tabs>
          <w:tab w:val="left" w:pos="1871"/>
          <w:tab w:val="left" w:pos="2495"/>
          <w:tab w:val="left" w:pos="3119"/>
          <w:tab w:val="left" w:pos="3742"/>
        </w:tabs>
        <w:ind w:left="1247" w:firstLine="624"/>
        <w:rPr>
          <w:lang w:val="es-ES"/>
        </w:rPr>
      </w:pPr>
      <w:r w:rsidRPr="00863A7A">
        <w:rPr>
          <w:i/>
          <w:lang w:val="es-ES"/>
        </w:rPr>
        <w:t>Recordando</w:t>
      </w:r>
      <w:r w:rsidRPr="00863A7A">
        <w:rPr>
          <w:lang w:val="es-ES"/>
        </w:rPr>
        <w:t xml:space="preserve"> la decisión 27/2 del Consejo de Administración, adoptada en su 27º y primer período de sesiones de carácter universal, celebrado en Nairobi del 18 al 22 de febrero de 2013, de fortalecer la presencia regional del Programa de las Naciones Unidas para el Medio Ambiente a fin de ayudar a los países en la ejecución de sus programas, políticas y planes nacionales sobre el medio ambiente,</w:t>
      </w:r>
    </w:p>
    <w:p w:rsidR="00C712AF" w:rsidRPr="00863A7A" w:rsidRDefault="00C712AF" w:rsidP="00C712AF">
      <w:pPr>
        <w:pStyle w:val="Normal-pool"/>
        <w:tabs>
          <w:tab w:val="clear" w:pos="1247"/>
          <w:tab w:val="clear" w:pos="1814"/>
          <w:tab w:val="clear" w:pos="2381"/>
          <w:tab w:val="clear" w:pos="2948"/>
          <w:tab w:val="clear" w:pos="3515"/>
          <w:tab w:val="clear" w:pos="4082"/>
          <w:tab w:val="left" w:pos="624"/>
        </w:tabs>
        <w:spacing w:after="120"/>
        <w:ind w:left="1247" w:firstLine="624"/>
        <w:rPr>
          <w:lang w:val="es-ES"/>
        </w:rPr>
      </w:pPr>
      <w:r w:rsidRPr="00863A7A">
        <w:rPr>
          <w:i/>
          <w:lang w:val="es-ES"/>
        </w:rPr>
        <w:t>Recordando también</w:t>
      </w:r>
      <w:r w:rsidRPr="00863A7A">
        <w:rPr>
          <w:lang w:val="es-ES"/>
        </w:rPr>
        <w:t xml:space="preserve"> la decisión 13/6 del Consejo de Administración sobre el Programa Regional para África de 1985, y 11/7 de 1983 sobre el Programa Regional para África, en las que se había invitado a los Gobiernos de la región a convocar, en cooperación con las organizaciones e instituciones regionales, una conferencia sobre el medio ambiente de África para examinar las prioridades ambientales nacionales y determinar los problemas comunes que merecieran la elaboración de un programa de acción regional para hacer frente a los graves problemas ambientales de África, y se había pedido al Director Ejecutivo que prestara los servicios de secretaría a esa conferencia por conducto de la Oficina Regional para África,</w:t>
      </w:r>
    </w:p>
    <w:p w:rsidR="00C712AF" w:rsidRPr="00863A7A" w:rsidRDefault="00C712AF" w:rsidP="00C712AF">
      <w:pPr>
        <w:pStyle w:val="Normal-pool"/>
        <w:tabs>
          <w:tab w:val="clear" w:pos="1247"/>
          <w:tab w:val="clear" w:pos="1814"/>
          <w:tab w:val="clear" w:pos="2381"/>
          <w:tab w:val="clear" w:pos="2948"/>
          <w:tab w:val="clear" w:pos="3515"/>
          <w:tab w:val="clear" w:pos="4082"/>
          <w:tab w:val="left" w:pos="624"/>
        </w:tabs>
        <w:spacing w:after="120"/>
        <w:ind w:left="1247" w:firstLine="624"/>
        <w:rPr>
          <w:lang w:val="es-ES"/>
        </w:rPr>
      </w:pPr>
      <w:r w:rsidRPr="00863A7A">
        <w:rPr>
          <w:i/>
          <w:lang w:val="es-ES"/>
        </w:rPr>
        <w:t>Recordando</w:t>
      </w:r>
      <w:r w:rsidRPr="00863A7A">
        <w:rPr>
          <w:lang w:val="es-ES"/>
        </w:rPr>
        <w:t xml:space="preserve"> </w:t>
      </w:r>
      <w:r w:rsidRPr="00863A7A">
        <w:rPr>
          <w:i/>
          <w:lang w:val="es-ES"/>
        </w:rPr>
        <w:t xml:space="preserve">además </w:t>
      </w:r>
      <w:r w:rsidRPr="00863A7A">
        <w:rPr>
          <w:lang w:val="es-ES"/>
        </w:rPr>
        <w:t>la decisión 20/11 del Consejo de Administración, de 1999, sobre el apoyo a la cooperación entre el Consejo de Ministros Árabes encargados del medio ambiente y el Programa de las Naciones Unidas para el Medio Ambiente por conducto de las oficinas regionales para Asia Occidental y África, en la que se pidió al Director Ejecutivo que apoyara, dentro de los límites de los recursos disponibles, las metas y los objetivos del Consejo de Ministros Árabes encargados del Medio Ambiente y las oficinas regionales para Asia Occidental y África y estableciera un mecanismo apropiado con miras a respaldar la aplicación y coordinación de los programas regionales en la región árabe,</w:t>
      </w:r>
    </w:p>
    <w:p w:rsidR="00C712AF" w:rsidRPr="00863A7A" w:rsidRDefault="00C712AF" w:rsidP="00C712AF">
      <w:pPr>
        <w:pStyle w:val="Normal-pool"/>
        <w:tabs>
          <w:tab w:val="clear" w:pos="1247"/>
          <w:tab w:val="clear" w:pos="1814"/>
          <w:tab w:val="clear" w:pos="2381"/>
          <w:tab w:val="clear" w:pos="2948"/>
          <w:tab w:val="clear" w:pos="3515"/>
          <w:tab w:val="clear" w:pos="4082"/>
          <w:tab w:val="left" w:pos="624"/>
        </w:tabs>
        <w:spacing w:after="120"/>
        <w:ind w:left="1247" w:firstLine="624"/>
        <w:rPr>
          <w:lang w:val="es-ES"/>
        </w:rPr>
      </w:pPr>
      <w:r w:rsidRPr="00863A7A">
        <w:rPr>
          <w:i/>
          <w:lang w:val="es-ES"/>
        </w:rPr>
        <w:t>Recordando</w:t>
      </w:r>
      <w:r w:rsidRPr="00863A7A">
        <w:rPr>
          <w:lang w:val="es-ES"/>
        </w:rPr>
        <w:t xml:space="preserve"> la resolución 10/V del Consejo de Administración, de 1982, en la que se había recomendado a los Gobiernos de América Latina y el Caribe que periódicamente convocaran reuniones intergubernamentales regionales sobre el medio ambiente en América Latina y el Caribe a fin de establecer políticas y una estrategia para la región en este ámbito y se había pedido al Director Ejecutivo del Programa de las Naciones Unidas para el Medio Ambiente que prestara el apoyo de la Secretaría Permanente a estas reuniones regionales intergubernamentales, por conducto de la Oficina Regional para América Latina y el Caribe,</w:t>
      </w:r>
    </w:p>
    <w:p w:rsidR="00C712AF" w:rsidRPr="00863A7A" w:rsidRDefault="00C712AF" w:rsidP="00C712AF">
      <w:pPr>
        <w:pStyle w:val="Normal-pool"/>
        <w:tabs>
          <w:tab w:val="clear" w:pos="1247"/>
          <w:tab w:val="clear" w:pos="1814"/>
          <w:tab w:val="clear" w:pos="2381"/>
          <w:tab w:val="clear" w:pos="2948"/>
          <w:tab w:val="clear" w:pos="3515"/>
          <w:tab w:val="clear" w:pos="4082"/>
          <w:tab w:val="left" w:pos="624"/>
        </w:tabs>
        <w:spacing w:after="120"/>
        <w:ind w:left="1247" w:firstLine="624"/>
        <w:rPr>
          <w:lang w:val="es-ES"/>
        </w:rPr>
      </w:pPr>
      <w:r w:rsidRPr="00863A7A">
        <w:rPr>
          <w:i/>
          <w:lang w:val="es-ES"/>
        </w:rPr>
        <w:t>Acogiendo con beneplácito</w:t>
      </w:r>
      <w:r w:rsidRPr="00863A7A">
        <w:rPr>
          <w:lang w:val="es-ES"/>
        </w:rPr>
        <w:t xml:space="preserve"> los progresos y logros de los foros regionales de ministros de medio ambiente a los que el Programa de las Naciones Unidas para el Medio Ambiente presta apoyo y reconociendo que estas plataformas son importantes para fortalecer la participación de los países en la </w:t>
      </w:r>
      <w:r w:rsidRPr="00863A7A">
        <w:rPr>
          <w:lang w:val="es-ES"/>
        </w:rPr>
        <w:lastRenderedPageBreak/>
        <w:t>preparación y seguimiento de los períodos de sesiones de la Asamblea de las Naciones Unidas sobre el Medio Ambiente del Programa de las Naciones Unidas para el Medio Ambiente,</w:t>
      </w:r>
    </w:p>
    <w:p w:rsidR="00C712AF" w:rsidRPr="00863A7A" w:rsidRDefault="00C712AF" w:rsidP="00C712AF">
      <w:pPr>
        <w:pStyle w:val="Normal-pool"/>
        <w:tabs>
          <w:tab w:val="clear" w:pos="1247"/>
          <w:tab w:val="clear" w:pos="1814"/>
          <w:tab w:val="clear" w:pos="2381"/>
          <w:tab w:val="clear" w:pos="2948"/>
          <w:tab w:val="clear" w:pos="3515"/>
          <w:tab w:val="clear" w:pos="4082"/>
          <w:tab w:val="left" w:pos="624"/>
        </w:tabs>
        <w:spacing w:after="120"/>
        <w:ind w:left="1247" w:firstLine="624"/>
        <w:rPr>
          <w:lang w:val="es-ES"/>
        </w:rPr>
      </w:pPr>
      <w:r w:rsidRPr="00863A7A">
        <w:rPr>
          <w:i/>
          <w:lang w:val="es-ES"/>
        </w:rPr>
        <w:t>Reconociendo con agradecimiento</w:t>
      </w:r>
      <w:r w:rsidRPr="00863A7A">
        <w:rPr>
          <w:lang w:val="es-ES"/>
        </w:rPr>
        <w:t xml:space="preserve"> el primer Foro de Ministros y Autoridades de Medio Ambiente de Asia y el Pacífico, celebrada en Bangkok los días 19 y 20 de mayo de 2015, patrocinado conjuntamente con el Gobierno de Tailandia,</w:t>
      </w:r>
    </w:p>
    <w:p w:rsidR="00C712AF" w:rsidRPr="00863A7A" w:rsidRDefault="00C712AF" w:rsidP="00C712AF">
      <w:pPr>
        <w:pStyle w:val="Normal-pool"/>
        <w:tabs>
          <w:tab w:val="clear" w:pos="1247"/>
          <w:tab w:val="clear" w:pos="1814"/>
          <w:tab w:val="clear" w:pos="2381"/>
          <w:tab w:val="clear" w:pos="2948"/>
          <w:tab w:val="clear" w:pos="3515"/>
          <w:tab w:val="clear" w:pos="4082"/>
          <w:tab w:val="left" w:pos="624"/>
        </w:tabs>
        <w:spacing w:after="120"/>
        <w:ind w:left="1247" w:firstLine="624"/>
        <w:rPr>
          <w:lang w:val="es-ES"/>
        </w:rPr>
      </w:pPr>
      <w:r w:rsidRPr="00863A7A">
        <w:rPr>
          <w:i/>
          <w:lang w:val="es-ES"/>
        </w:rPr>
        <w:t>Observando</w:t>
      </w:r>
      <w:r w:rsidRPr="00863A7A">
        <w:rPr>
          <w:lang w:val="es-ES"/>
        </w:rPr>
        <w:t xml:space="preserve"> la solicitud del primer Foro de Ministros y Autoridades de Medio Ambiente de Asia y el Pacífico al Director Ejecutivo del Programa de las Naciones Unidas para el Medio Ambiente de celebrar períodos ordinarios de sesiones del Foro de Ministros y Autoridades de Medio Ambiente de Asia y el Pacífico,</w:t>
      </w:r>
    </w:p>
    <w:p w:rsidR="00C712AF" w:rsidRPr="00863A7A" w:rsidRDefault="00C712AF" w:rsidP="00C712AF">
      <w:pPr>
        <w:pStyle w:val="Normal-pool"/>
        <w:tabs>
          <w:tab w:val="clear" w:pos="1247"/>
          <w:tab w:val="clear" w:pos="1814"/>
          <w:tab w:val="clear" w:pos="2381"/>
          <w:tab w:val="clear" w:pos="2948"/>
          <w:tab w:val="clear" w:pos="3515"/>
          <w:tab w:val="clear" w:pos="4082"/>
          <w:tab w:val="left" w:pos="624"/>
        </w:tabs>
        <w:spacing w:after="120"/>
        <w:ind w:left="1247" w:firstLine="624"/>
        <w:rPr>
          <w:lang w:val="es-ES"/>
        </w:rPr>
      </w:pPr>
      <w:r w:rsidRPr="00863A7A">
        <w:rPr>
          <w:i/>
          <w:lang w:val="es-ES"/>
        </w:rPr>
        <w:t>Expresando agradecimiento</w:t>
      </w:r>
      <w:r w:rsidRPr="00863A7A">
        <w:rPr>
          <w:lang w:val="es-ES"/>
        </w:rPr>
        <w:t xml:space="preserve"> por el respaldo del Programa de las Naciones Unidas para el Medio Ambiente a la Conferencia Ministerial Africana sobre el Medio Ambiente a través de su Oficina Regional para África,</w:t>
      </w:r>
    </w:p>
    <w:p w:rsidR="00C712AF" w:rsidRPr="00863A7A" w:rsidRDefault="00C712AF" w:rsidP="00C712AF">
      <w:pPr>
        <w:pStyle w:val="Normal-pool"/>
        <w:tabs>
          <w:tab w:val="clear" w:pos="1247"/>
          <w:tab w:val="clear" w:pos="1814"/>
          <w:tab w:val="clear" w:pos="2381"/>
          <w:tab w:val="clear" w:pos="2948"/>
          <w:tab w:val="clear" w:pos="3515"/>
          <w:tab w:val="clear" w:pos="4082"/>
          <w:tab w:val="left" w:pos="624"/>
        </w:tabs>
        <w:spacing w:after="120"/>
        <w:ind w:left="1247" w:firstLine="624"/>
        <w:rPr>
          <w:lang w:val="es-ES"/>
        </w:rPr>
      </w:pPr>
      <w:r w:rsidRPr="00863A7A">
        <w:rPr>
          <w:i/>
          <w:lang w:val="es-ES"/>
        </w:rPr>
        <w:t>Reconociendo</w:t>
      </w:r>
      <w:r w:rsidRPr="00863A7A">
        <w:rPr>
          <w:lang w:val="es-ES"/>
        </w:rPr>
        <w:t xml:space="preserve"> el trabajo continuo del Foro de Ministros de Medio Ambiente de América Latina y el Caribe, y tomando nota de los resultados de la 20ª reunión del Foro celebrada en marzo de 2016 en Cartagena, Colombia,</w:t>
      </w:r>
    </w:p>
    <w:p w:rsidR="00C712AF" w:rsidRPr="00863A7A" w:rsidRDefault="00C712AF" w:rsidP="00C712AF">
      <w:pPr>
        <w:pStyle w:val="Normalnumber"/>
        <w:numPr>
          <w:ilvl w:val="0"/>
          <w:numId w:val="3"/>
        </w:numPr>
        <w:ind w:firstLine="624"/>
        <w:rPr>
          <w:lang w:val="es-ES"/>
        </w:rPr>
      </w:pPr>
      <w:r w:rsidRPr="00863A7A">
        <w:rPr>
          <w:i/>
          <w:lang w:val="es-ES"/>
        </w:rPr>
        <w:t>Solicita</w:t>
      </w:r>
      <w:r w:rsidRPr="00863A7A">
        <w:rPr>
          <w:lang w:val="es-ES"/>
        </w:rPr>
        <w:t xml:space="preserve"> al Director Ejecutivo que, con arreglo al mandato del Programa de las Naciones Unidas para el Medio Ambiente y de conformidad con el programa de trabajo y el presupuesto, brinde apoyo a los foros regionales existentes de ministros y autoridades de medio ambiente y facilite su convocatoria o fortalecimiento;</w:t>
      </w:r>
    </w:p>
    <w:p w:rsidR="00C712AF" w:rsidRPr="00863A7A" w:rsidRDefault="00C712AF" w:rsidP="00C712AF">
      <w:pPr>
        <w:pStyle w:val="Normalnumber"/>
        <w:numPr>
          <w:ilvl w:val="0"/>
          <w:numId w:val="3"/>
        </w:numPr>
        <w:ind w:firstLine="624"/>
        <w:rPr>
          <w:lang w:val="es-ES"/>
        </w:rPr>
      </w:pPr>
      <w:r w:rsidRPr="00863A7A">
        <w:rPr>
          <w:i/>
          <w:lang w:val="es-ES"/>
        </w:rPr>
        <w:t>Solicita también</w:t>
      </w:r>
      <w:r w:rsidRPr="00863A7A">
        <w:rPr>
          <w:lang w:val="es-ES"/>
        </w:rPr>
        <w:t xml:space="preserve"> al Director Ejecutivo que, con arreglo al mandato del Programa de las Naciones Unidas para el Medio Ambiente, brinde apoyo a los nuevos foros regionales de ministros y autoridades de medio ambiente y facilite su convocatoria, a solicitud de las regiones, a través del proceso intergubernamental, con todos los países de las respectivas regiones y sujeto a la disponibilidad de recursos financieros;</w:t>
      </w:r>
    </w:p>
    <w:p w:rsidR="00C712AF" w:rsidRPr="00863A7A" w:rsidRDefault="00C712AF" w:rsidP="00C712AF">
      <w:pPr>
        <w:pStyle w:val="Normalnumber"/>
        <w:numPr>
          <w:ilvl w:val="0"/>
          <w:numId w:val="3"/>
        </w:numPr>
        <w:ind w:firstLine="624"/>
        <w:rPr>
          <w:lang w:val="es-ES"/>
        </w:rPr>
      </w:pPr>
      <w:r w:rsidRPr="00863A7A">
        <w:rPr>
          <w:i/>
          <w:lang w:val="es-ES"/>
        </w:rPr>
        <w:t>Solicita además</w:t>
      </w:r>
      <w:r w:rsidRPr="00863A7A">
        <w:rPr>
          <w:lang w:val="es-ES"/>
        </w:rPr>
        <w:t xml:space="preserve"> al Director Ejecutivo que presente una actualización de los avances realizados en la aplicación de la presente resolución, a través de los trabajos entre períodos de sesiones relativos a la Asamblea de las Naciones Unidas para el Medio Ambiente, cuando proceda.</w:t>
      </w:r>
    </w:p>
    <w:p w:rsidR="006727DC" w:rsidRPr="00863A7A" w:rsidRDefault="00C712AF" w:rsidP="00C712AF">
      <w:pPr>
        <w:pStyle w:val="Normal-pool"/>
        <w:jc w:val="right"/>
        <w:rPr>
          <w:i/>
          <w:lang w:val="es-ES"/>
        </w:rPr>
      </w:pPr>
      <w:r w:rsidRPr="00863A7A">
        <w:rPr>
          <w:i/>
          <w:lang w:val="es-ES"/>
        </w:rPr>
        <w:t>Sexta sesión plenaria</w:t>
      </w:r>
    </w:p>
    <w:p w:rsidR="00C712AF" w:rsidRPr="00863A7A" w:rsidRDefault="00C712AF" w:rsidP="00A43A4D">
      <w:pPr>
        <w:pStyle w:val="Normal-pool"/>
        <w:spacing w:after="120"/>
        <w:jc w:val="right"/>
        <w:rPr>
          <w:i/>
          <w:lang w:val="es-ES"/>
        </w:rPr>
      </w:pPr>
      <w:r w:rsidRPr="00863A7A">
        <w:rPr>
          <w:i/>
          <w:lang w:val="es-ES"/>
        </w:rPr>
        <w:t>27 de mayo de 2016</w:t>
      </w:r>
    </w:p>
    <w:tbl>
      <w:tblPr>
        <w:tblStyle w:val="Tabledocright"/>
        <w:tblW w:w="9610" w:type="dxa"/>
        <w:tblInd w:w="40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21"/>
        <w:gridCol w:w="1920"/>
        <w:gridCol w:w="1920"/>
        <w:gridCol w:w="1928"/>
        <w:gridCol w:w="1921"/>
      </w:tblGrid>
      <w:tr w:rsidR="00CA20BB" w:rsidRPr="00863A7A" w:rsidTr="00444D8F">
        <w:tc>
          <w:tcPr>
            <w:tcW w:w="1921" w:type="dxa"/>
          </w:tcPr>
          <w:p w:rsidR="00CA20BB" w:rsidRPr="00863A7A" w:rsidRDefault="00CA20BB" w:rsidP="006C607A">
            <w:pPr>
              <w:pStyle w:val="Normal-pool"/>
              <w:spacing w:before="520"/>
              <w:rPr>
                <w:lang w:val="es-ES"/>
              </w:rPr>
            </w:pPr>
          </w:p>
        </w:tc>
        <w:tc>
          <w:tcPr>
            <w:tcW w:w="1920" w:type="dxa"/>
          </w:tcPr>
          <w:p w:rsidR="00CA20BB" w:rsidRPr="00863A7A" w:rsidRDefault="00CA20BB" w:rsidP="006C607A">
            <w:pPr>
              <w:pStyle w:val="Normal-pool"/>
              <w:spacing w:before="520"/>
              <w:rPr>
                <w:lang w:val="es-ES"/>
              </w:rPr>
            </w:pPr>
          </w:p>
        </w:tc>
        <w:tc>
          <w:tcPr>
            <w:tcW w:w="1920" w:type="dxa"/>
            <w:tcBorders>
              <w:bottom w:val="single" w:sz="4" w:space="0" w:color="auto"/>
            </w:tcBorders>
          </w:tcPr>
          <w:p w:rsidR="00CA20BB" w:rsidRPr="00863A7A" w:rsidRDefault="00CA20BB" w:rsidP="006C607A">
            <w:pPr>
              <w:pStyle w:val="Normal-pool"/>
              <w:spacing w:before="520"/>
              <w:rPr>
                <w:lang w:val="es-ES"/>
              </w:rPr>
            </w:pPr>
          </w:p>
        </w:tc>
        <w:tc>
          <w:tcPr>
            <w:tcW w:w="1928" w:type="dxa"/>
          </w:tcPr>
          <w:p w:rsidR="00C14100" w:rsidRPr="00863A7A" w:rsidRDefault="00C14100" w:rsidP="00444D8F">
            <w:pPr>
              <w:jc w:val="right"/>
              <w:rPr>
                <w:i/>
                <w:highlight w:val="cyan"/>
                <w:lang w:val="es-ES"/>
              </w:rPr>
            </w:pPr>
          </w:p>
        </w:tc>
        <w:tc>
          <w:tcPr>
            <w:tcW w:w="1921" w:type="dxa"/>
          </w:tcPr>
          <w:p w:rsidR="00CA20BB" w:rsidRPr="00863A7A" w:rsidRDefault="00CA20BB" w:rsidP="00444D8F">
            <w:pPr>
              <w:jc w:val="right"/>
              <w:rPr>
                <w:i/>
                <w:highlight w:val="cyan"/>
                <w:lang w:val="es-ES"/>
              </w:rPr>
            </w:pPr>
          </w:p>
        </w:tc>
      </w:tr>
    </w:tbl>
    <w:p w:rsidR="00CA20BB" w:rsidRPr="00863A7A" w:rsidRDefault="00CA20BB" w:rsidP="00CA20BB">
      <w:pPr>
        <w:pStyle w:val="Normal-pool"/>
        <w:rPr>
          <w:lang w:val="es-ES"/>
        </w:rPr>
      </w:pPr>
    </w:p>
    <w:sectPr w:rsidR="00CA20BB" w:rsidRPr="00863A7A" w:rsidSect="000B4AF8">
      <w:headerReference w:type="even" r:id="rId11"/>
      <w:headerReference w:type="default" r:id="rId12"/>
      <w:footerReference w:type="even" r:id="rId13"/>
      <w:footerReference w:type="default" r:id="rId14"/>
      <w:footerReference w:type="first" r:id="rId15"/>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2252" w:rsidRDefault="00C82252">
      <w:r>
        <w:separator/>
      </w:r>
    </w:p>
  </w:endnote>
  <w:endnote w:type="continuationSeparator" w:id="0">
    <w:p w:rsidR="00C82252" w:rsidRDefault="00C822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Univers">
    <w:altName w:val="Arial"/>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3A7A" w:rsidRDefault="00863A7A">
    <w:pPr>
      <w:pStyle w:val="Footer"/>
    </w:pPr>
    <w:r>
      <w:rPr>
        <w:rStyle w:val="PageNumber"/>
      </w:rPr>
      <w:fldChar w:fldCharType="begin"/>
    </w:r>
    <w:r>
      <w:rPr>
        <w:rStyle w:val="PageNumber"/>
      </w:rPr>
      <w:instrText xml:space="preserve"> PAGE </w:instrText>
    </w:r>
    <w:r>
      <w:rPr>
        <w:rStyle w:val="PageNumber"/>
      </w:rPr>
      <w:fldChar w:fldCharType="separate"/>
    </w:r>
    <w:r w:rsidR="00121526">
      <w:rPr>
        <w:rStyle w:val="PageNumber"/>
        <w:noProof/>
      </w:rPr>
      <w:t>2</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3A7A" w:rsidRDefault="00863A7A"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3A7A" w:rsidRPr="00CA20BB" w:rsidRDefault="00863A7A">
    <w:pPr>
      <w:pStyle w:val="Footer"/>
      <w:rPr>
        <w:sz w:val="20"/>
      </w:rPr>
    </w:pPr>
    <w:r>
      <w:rPr>
        <w:sz w:val="20"/>
      </w:rPr>
      <w:t>K1607122</w:t>
    </w:r>
    <w:r>
      <w:rPr>
        <w:sz w:val="20"/>
      </w:rPr>
      <w:tab/>
      <w:t>0</w:t>
    </w:r>
    <w:r w:rsidR="00CA544C">
      <w:rPr>
        <w:sz w:val="20"/>
      </w:rPr>
      <w:t>7</w:t>
    </w:r>
    <w:r>
      <w:rPr>
        <w:sz w:val="20"/>
      </w:rPr>
      <w:t>09</w:t>
    </w:r>
    <w:r w:rsidRPr="00CA20BB">
      <w:rPr>
        <w:sz w:val="20"/>
      </w:rPr>
      <w:t>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2252" w:rsidRDefault="00C82252" w:rsidP="00D92DE0">
      <w:pPr>
        <w:ind w:left="624"/>
      </w:pPr>
      <w:r>
        <w:separator/>
      </w:r>
    </w:p>
  </w:footnote>
  <w:footnote w:type="continuationSeparator" w:id="0">
    <w:p w:rsidR="00C82252" w:rsidRDefault="00C822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3A7A" w:rsidRPr="00CA20BB" w:rsidRDefault="00863A7A" w:rsidP="00CA20BB">
    <w:pPr>
      <w:pStyle w:val="Header"/>
      <w:rPr>
        <w:szCs w:val="18"/>
      </w:rPr>
    </w:pPr>
    <w:r w:rsidRPr="00EB4654">
      <w:rPr>
        <w:szCs w:val="18"/>
      </w:rPr>
      <w:t>UNEP</w:t>
    </w:r>
    <w:r>
      <w:rPr>
        <w:szCs w:val="18"/>
      </w:rPr>
      <w:t>/EA</w:t>
    </w:r>
    <w:r w:rsidRPr="00EF4A81">
      <w:rPr>
        <w:szCs w:val="18"/>
      </w:rPr>
      <w:t>.2/Res</w:t>
    </w:r>
    <w:r>
      <w:rPr>
        <w:szCs w:val="18"/>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3A7A" w:rsidRDefault="00863A7A" w:rsidP="00035EDE">
    <w:pPr>
      <w:pStyle w:val="Header"/>
      <w:jc w:val="right"/>
    </w:pPr>
    <w:r>
      <w:t>UNON/DCS/ELU/TEMPLATE.1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83988"/>
    <w:multiLevelType w:val="hybridMultilevel"/>
    <w:tmpl w:val="3856A3B2"/>
    <w:lvl w:ilvl="0" w:tplc="0409000F">
      <w:start w:val="1"/>
      <w:numFmt w:val="decimal"/>
      <w:lvlText w:val="%1."/>
      <w:lvlJc w:val="left"/>
      <w:pPr>
        <w:ind w:left="2591" w:hanging="360"/>
      </w:pPr>
    </w:lvl>
    <w:lvl w:ilvl="1" w:tplc="A59264C6">
      <w:start w:val="1"/>
      <w:numFmt w:val="lowerLetter"/>
      <w:lvlText w:val="(%2)"/>
      <w:lvlJc w:val="left"/>
      <w:pPr>
        <w:ind w:left="3311" w:hanging="360"/>
      </w:pPr>
      <w:rPr>
        <w:rFonts w:hint="default"/>
        <w:b w:val="0"/>
      </w:rPr>
    </w:lvl>
    <w:lvl w:ilvl="2" w:tplc="0409001B" w:tentative="1">
      <w:start w:val="1"/>
      <w:numFmt w:val="lowerRoman"/>
      <w:lvlText w:val="%3."/>
      <w:lvlJc w:val="right"/>
      <w:pPr>
        <w:ind w:left="4031" w:hanging="180"/>
      </w:p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1">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2">
    <w:nsid w:val="314678EB"/>
    <w:multiLevelType w:val="hybridMultilevel"/>
    <w:tmpl w:val="6DAAAD9C"/>
    <w:lvl w:ilvl="0" w:tplc="CD944B7E">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4">
    <w:nsid w:val="52A66A9D"/>
    <w:multiLevelType w:val="multilevel"/>
    <w:tmpl w:val="D07A6E4C"/>
    <w:styleLink w:val="Normallist"/>
    <w:lvl w:ilvl="0">
      <w:start w:val="1"/>
      <w:numFmt w:val="decimal"/>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5">
    <w:nsid w:val="60990D3D"/>
    <w:multiLevelType w:val="multilevel"/>
    <w:tmpl w:val="AF48E7E2"/>
    <w:lvl w:ilvl="0">
      <w:start w:val="1"/>
      <w:numFmt w:val="lowerLetter"/>
      <w:lvlText w:val="(%1)"/>
      <w:lvlJc w:val="left"/>
      <w:pPr>
        <w:tabs>
          <w:tab w:val="num" w:pos="1134"/>
        </w:tabs>
        <w:ind w:left="1247" w:firstLine="0"/>
      </w:pPr>
      <w:rPr>
        <w:b w:val="0"/>
      </w:rPr>
    </w:lvl>
    <w:lvl w:ilvl="1">
      <w:start w:val="1"/>
      <w:numFmt w:val="lowerLetter"/>
      <w:lvlText w:val="(%2)"/>
      <w:lvlJc w:val="left"/>
      <w:pPr>
        <w:tabs>
          <w:tab w:val="num" w:pos="1134"/>
        </w:tabs>
        <w:ind w:left="1247" w:firstLine="567"/>
      </w:pPr>
    </w:lvl>
    <w:lvl w:ilvl="2">
      <w:start w:val="1"/>
      <w:numFmt w:val="lowerRoman"/>
      <w:lvlText w:val="(%3)"/>
      <w:lvlJc w:val="left"/>
      <w:pPr>
        <w:tabs>
          <w:tab w:val="num" w:pos="1134"/>
        </w:tabs>
        <w:ind w:left="2948" w:hanging="567"/>
      </w:pPr>
    </w:lvl>
    <w:lvl w:ilvl="3">
      <w:start w:val="1"/>
      <w:numFmt w:val="lowerLetter"/>
      <w:lvlText w:val="%4."/>
      <w:lvlJc w:val="left"/>
      <w:pPr>
        <w:tabs>
          <w:tab w:val="num" w:pos="1134"/>
        </w:tabs>
        <w:ind w:left="3515" w:hanging="567"/>
      </w:pPr>
    </w:lvl>
    <w:lvl w:ilvl="4">
      <w:start w:val="1"/>
      <w:numFmt w:val="lowerRoman"/>
      <w:lvlText w:val="%5."/>
      <w:lvlJc w:val="left"/>
      <w:pPr>
        <w:tabs>
          <w:tab w:val="num" w:pos="1134"/>
        </w:tabs>
        <w:ind w:left="4082" w:hanging="567"/>
      </w:pPr>
    </w:lvl>
    <w:lvl w:ilvl="5">
      <w:start w:val="1"/>
      <w:numFmt w:val="lowerRoman"/>
      <w:lvlText w:val="%6."/>
      <w:lvlJc w:val="right"/>
      <w:pPr>
        <w:tabs>
          <w:tab w:val="num" w:pos="7835"/>
        </w:tabs>
        <w:ind w:left="7835" w:hanging="180"/>
      </w:pPr>
    </w:lvl>
    <w:lvl w:ilvl="6">
      <w:start w:val="1"/>
      <w:numFmt w:val="decimal"/>
      <w:lvlText w:val="%7."/>
      <w:lvlJc w:val="left"/>
      <w:pPr>
        <w:tabs>
          <w:tab w:val="num" w:pos="8555"/>
        </w:tabs>
        <w:ind w:left="8555" w:hanging="360"/>
      </w:pPr>
    </w:lvl>
    <w:lvl w:ilvl="7">
      <w:start w:val="1"/>
      <w:numFmt w:val="lowerLetter"/>
      <w:lvlText w:val="%8."/>
      <w:lvlJc w:val="left"/>
      <w:pPr>
        <w:tabs>
          <w:tab w:val="num" w:pos="9275"/>
        </w:tabs>
        <w:ind w:left="9275" w:hanging="360"/>
      </w:pPr>
    </w:lvl>
    <w:lvl w:ilvl="8">
      <w:start w:val="1"/>
      <w:numFmt w:val="lowerRoman"/>
      <w:lvlText w:val="%9."/>
      <w:lvlJc w:val="right"/>
      <w:pPr>
        <w:tabs>
          <w:tab w:val="num" w:pos="9995"/>
        </w:tabs>
        <w:ind w:left="9995" w:hanging="180"/>
      </w:pPr>
    </w:lvl>
  </w:abstractNum>
  <w:abstractNum w:abstractNumId="6">
    <w:nsid w:val="62291BF8"/>
    <w:multiLevelType w:val="multilevel"/>
    <w:tmpl w:val="D07A6E4C"/>
    <w:numStyleLink w:val="Normallist"/>
  </w:abstractNum>
  <w:num w:numId="1">
    <w:abstractNumId w:val="1"/>
  </w:num>
  <w:num w:numId="2">
    <w:abstractNumId w:val="3"/>
  </w:num>
  <w:num w:numId="3">
    <w:abstractNumId w:val="4"/>
  </w:num>
  <w:num w:numId="4">
    <w:abstractNumId w:val="6"/>
  </w:num>
  <w:num w:numId="5">
    <w:abstractNumId w:val="1"/>
  </w:num>
  <w:num w:numId="6">
    <w:abstractNumId w:val="3"/>
  </w:num>
  <w:num w:numId="7">
    <w:abstractNumId w:val="4"/>
  </w:num>
  <w:num w:numId="8">
    <w:abstractNumId w:val="6"/>
  </w:num>
  <w:num w:numId="9">
    <w:abstractNumId w:val="1"/>
  </w:num>
  <w:num w:numId="10">
    <w:abstractNumId w:val="3"/>
  </w:num>
  <w:num w:numId="11">
    <w:abstractNumId w:val="4"/>
  </w:num>
  <w:num w:numId="12">
    <w:abstractNumId w:val="6"/>
  </w:num>
  <w:num w:numId="13">
    <w:abstractNumId w:val="4"/>
  </w:num>
  <w:num w:numId="14">
    <w:abstractNumId w:val="6"/>
  </w:num>
  <w:num w:numId="15">
    <w:abstractNumId w:val="1"/>
  </w:num>
  <w:num w:numId="16">
    <w:abstractNumId w:val="3"/>
  </w:num>
  <w:num w:numId="17">
    <w:abstractNumId w:val="4"/>
  </w:num>
  <w:num w:numId="18">
    <w:abstractNumId w:val="6"/>
  </w:num>
  <w:num w:numId="19">
    <w:abstractNumId w:val="1"/>
  </w:num>
  <w:num w:numId="20">
    <w:abstractNumId w:val="3"/>
  </w:num>
  <w:num w:numId="21">
    <w:abstractNumId w:val="4"/>
  </w:num>
  <w:num w:numId="22">
    <w:abstractNumId w:val="6"/>
  </w:num>
  <w:num w:numId="23">
    <w:abstractNumId w:val="1"/>
  </w:num>
  <w:num w:numId="24">
    <w:abstractNumId w:val="3"/>
  </w:num>
  <w:num w:numId="25">
    <w:abstractNumId w:val="4"/>
  </w:num>
  <w:num w:numId="26">
    <w:abstractNumId w:val="6"/>
  </w:num>
  <w:num w:numId="27">
    <w:abstractNumId w:val="1"/>
  </w:num>
  <w:num w:numId="28">
    <w:abstractNumId w:val="3"/>
  </w:num>
  <w:num w:numId="29">
    <w:abstractNumId w:val="4"/>
  </w:num>
  <w:num w:numId="30">
    <w:abstractNumId w:val="6"/>
  </w:num>
  <w:num w:numId="31">
    <w:abstractNumId w:val="1"/>
  </w:num>
  <w:num w:numId="32">
    <w:abstractNumId w:val="3"/>
  </w:num>
  <w:num w:numId="33">
    <w:abstractNumId w:val="4"/>
  </w:num>
  <w:num w:numId="34">
    <w:abstractNumId w:val="6"/>
  </w:num>
  <w:num w:numId="35">
    <w:abstractNumId w:val="4"/>
  </w:num>
  <w:num w:numId="36">
    <w:abstractNumId w:val="6"/>
  </w:num>
  <w:num w:numId="37">
    <w:abstractNumId w:val="4"/>
  </w:num>
  <w:num w:numId="38">
    <w:abstractNumId w:val="4"/>
  </w:num>
  <w:num w:numId="39">
    <w:abstractNumId w:val="4"/>
  </w:num>
  <w:num w:numId="40">
    <w:abstractNumId w:val="4"/>
  </w:num>
  <w:num w:numId="41">
    <w:abstractNumId w:val="4"/>
  </w:num>
  <w:num w:numId="42">
    <w:abstractNumId w:val="4"/>
  </w:num>
  <w:num w:numId="43">
    <w:abstractNumId w:val="5"/>
  </w:num>
  <w:num w:numId="44">
    <w:abstractNumId w:val="0"/>
  </w:num>
  <w:num w:numId="45">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activeWritingStyle w:appName="MSWord" w:lang="fr-FR" w:vendorID="64" w:dllVersion="131078" w:nlCheck="1" w:checkStyle="1"/>
  <w:activeWritingStyle w:appName="MSWord" w:lang="en-US" w:vendorID="64" w:dllVersion="131078" w:nlCheck="1" w:checkStyle="1"/>
  <w:activeWritingStyle w:appName="MSWord" w:lang="en-GB" w:vendorID="64" w:dllVersion="131078" w:nlCheck="1" w:checkStyle="1"/>
  <w:activeWritingStyle w:appName="MSWord" w:lang="es-ES" w:vendorID="64" w:dllVersion="131078" w:nlCheck="1" w:checkStyle="1"/>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20BB"/>
    <w:rsid w:val="000149E6"/>
    <w:rsid w:val="000247B0"/>
    <w:rsid w:val="00026997"/>
    <w:rsid w:val="00033E0B"/>
    <w:rsid w:val="00035EDE"/>
    <w:rsid w:val="000509B4"/>
    <w:rsid w:val="0006035B"/>
    <w:rsid w:val="00071886"/>
    <w:rsid w:val="000742BC"/>
    <w:rsid w:val="00082A0C"/>
    <w:rsid w:val="00083504"/>
    <w:rsid w:val="0009640C"/>
    <w:rsid w:val="000B22A2"/>
    <w:rsid w:val="000B4AF8"/>
    <w:rsid w:val="000C2A52"/>
    <w:rsid w:val="000D33C0"/>
    <w:rsid w:val="000D6941"/>
    <w:rsid w:val="001202E3"/>
    <w:rsid w:val="00121526"/>
    <w:rsid w:val="00123699"/>
    <w:rsid w:val="0013059D"/>
    <w:rsid w:val="00141A55"/>
    <w:rsid w:val="001446A3"/>
    <w:rsid w:val="00152E7E"/>
    <w:rsid w:val="00153017"/>
    <w:rsid w:val="00155395"/>
    <w:rsid w:val="001575DE"/>
    <w:rsid w:val="00160D74"/>
    <w:rsid w:val="00167D02"/>
    <w:rsid w:val="00170961"/>
    <w:rsid w:val="00181EC8"/>
    <w:rsid w:val="00184349"/>
    <w:rsid w:val="00195F33"/>
    <w:rsid w:val="001B1617"/>
    <w:rsid w:val="001B504B"/>
    <w:rsid w:val="001D3874"/>
    <w:rsid w:val="001D7E75"/>
    <w:rsid w:val="001E56D2"/>
    <w:rsid w:val="001E7D56"/>
    <w:rsid w:val="001F75DE"/>
    <w:rsid w:val="00200D58"/>
    <w:rsid w:val="002013BE"/>
    <w:rsid w:val="002063A4"/>
    <w:rsid w:val="0021145B"/>
    <w:rsid w:val="002333A0"/>
    <w:rsid w:val="00243D36"/>
    <w:rsid w:val="00247707"/>
    <w:rsid w:val="0026018E"/>
    <w:rsid w:val="00286740"/>
    <w:rsid w:val="002929D8"/>
    <w:rsid w:val="002A237D"/>
    <w:rsid w:val="002A4C53"/>
    <w:rsid w:val="002B0672"/>
    <w:rsid w:val="002B247F"/>
    <w:rsid w:val="002C145D"/>
    <w:rsid w:val="002C2C3E"/>
    <w:rsid w:val="002C533E"/>
    <w:rsid w:val="002D027F"/>
    <w:rsid w:val="002D6B1F"/>
    <w:rsid w:val="002D7A85"/>
    <w:rsid w:val="002D7B60"/>
    <w:rsid w:val="002F4761"/>
    <w:rsid w:val="002F5C79"/>
    <w:rsid w:val="003019E2"/>
    <w:rsid w:val="0031413F"/>
    <w:rsid w:val="003148BB"/>
    <w:rsid w:val="00317976"/>
    <w:rsid w:val="00355EA9"/>
    <w:rsid w:val="003578DE"/>
    <w:rsid w:val="00396257"/>
    <w:rsid w:val="00397EB8"/>
    <w:rsid w:val="003A4FD0"/>
    <w:rsid w:val="003A69D1"/>
    <w:rsid w:val="003A7705"/>
    <w:rsid w:val="003A77F1"/>
    <w:rsid w:val="003B1545"/>
    <w:rsid w:val="003C409D"/>
    <w:rsid w:val="003C5BA6"/>
    <w:rsid w:val="003C7F5C"/>
    <w:rsid w:val="003F0E85"/>
    <w:rsid w:val="00404B2E"/>
    <w:rsid w:val="00410C55"/>
    <w:rsid w:val="00416854"/>
    <w:rsid w:val="00417725"/>
    <w:rsid w:val="00437F26"/>
    <w:rsid w:val="00444097"/>
    <w:rsid w:val="00444D8F"/>
    <w:rsid w:val="00445487"/>
    <w:rsid w:val="00454769"/>
    <w:rsid w:val="00466991"/>
    <w:rsid w:val="0047064C"/>
    <w:rsid w:val="0047360B"/>
    <w:rsid w:val="004A42E1"/>
    <w:rsid w:val="004B162C"/>
    <w:rsid w:val="004C3DBE"/>
    <w:rsid w:val="004C5C96"/>
    <w:rsid w:val="004D06A4"/>
    <w:rsid w:val="004D21A8"/>
    <w:rsid w:val="004F1A81"/>
    <w:rsid w:val="005218D9"/>
    <w:rsid w:val="00536186"/>
    <w:rsid w:val="00544CBB"/>
    <w:rsid w:val="0057315F"/>
    <w:rsid w:val="00576104"/>
    <w:rsid w:val="005A4EED"/>
    <w:rsid w:val="005A5843"/>
    <w:rsid w:val="005C67C8"/>
    <w:rsid w:val="005D000E"/>
    <w:rsid w:val="005D0249"/>
    <w:rsid w:val="005D6E8C"/>
    <w:rsid w:val="005E6C6D"/>
    <w:rsid w:val="005F100C"/>
    <w:rsid w:val="005F68DA"/>
    <w:rsid w:val="005F6B49"/>
    <w:rsid w:val="0060773B"/>
    <w:rsid w:val="006157B5"/>
    <w:rsid w:val="00626FC6"/>
    <w:rsid w:val="006303B4"/>
    <w:rsid w:val="00633D3D"/>
    <w:rsid w:val="00641703"/>
    <w:rsid w:val="006431A6"/>
    <w:rsid w:val="006459F6"/>
    <w:rsid w:val="006501AD"/>
    <w:rsid w:val="00651BFA"/>
    <w:rsid w:val="00654475"/>
    <w:rsid w:val="00665A4B"/>
    <w:rsid w:val="0067157C"/>
    <w:rsid w:val="006727DC"/>
    <w:rsid w:val="00692E2A"/>
    <w:rsid w:val="006A76F2"/>
    <w:rsid w:val="006C607A"/>
    <w:rsid w:val="006D7EFB"/>
    <w:rsid w:val="006E6672"/>
    <w:rsid w:val="006E6722"/>
    <w:rsid w:val="007027B9"/>
    <w:rsid w:val="00715E88"/>
    <w:rsid w:val="00734CAA"/>
    <w:rsid w:val="0075533C"/>
    <w:rsid w:val="00757581"/>
    <w:rsid w:val="007611A0"/>
    <w:rsid w:val="00796D3F"/>
    <w:rsid w:val="007A1683"/>
    <w:rsid w:val="007A5C12"/>
    <w:rsid w:val="007A7CB0"/>
    <w:rsid w:val="007B68A3"/>
    <w:rsid w:val="007C2541"/>
    <w:rsid w:val="007D66A8"/>
    <w:rsid w:val="007E003F"/>
    <w:rsid w:val="008164F2"/>
    <w:rsid w:val="00821395"/>
    <w:rsid w:val="00822421"/>
    <w:rsid w:val="00830E26"/>
    <w:rsid w:val="00843576"/>
    <w:rsid w:val="00843B64"/>
    <w:rsid w:val="008478FC"/>
    <w:rsid w:val="00857384"/>
    <w:rsid w:val="00863A7A"/>
    <w:rsid w:val="00867BFF"/>
    <w:rsid w:val="008818A5"/>
    <w:rsid w:val="0088480A"/>
    <w:rsid w:val="0088757A"/>
    <w:rsid w:val="008957DD"/>
    <w:rsid w:val="00897D98"/>
    <w:rsid w:val="008A6DF2"/>
    <w:rsid w:val="008A7807"/>
    <w:rsid w:val="008B4CC9"/>
    <w:rsid w:val="008C7780"/>
    <w:rsid w:val="008D7C99"/>
    <w:rsid w:val="008E0FCB"/>
    <w:rsid w:val="008E6634"/>
    <w:rsid w:val="0092178C"/>
    <w:rsid w:val="00930B88"/>
    <w:rsid w:val="00940DCC"/>
    <w:rsid w:val="0094179A"/>
    <w:rsid w:val="0094459E"/>
    <w:rsid w:val="00944DBC"/>
    <w:rsid w:val="00950977"/>
    <w:rsid w:val="00951A7B"/>
    <w:rsid w:val="009564A6"/>
    <w:rsid w:val="00967621"/>
    <w:rsid w:val="00967E6A"/>
    <w:rsid w:val="00991611"/>
    <w:rsid w:val="009B4A0F"/>
    <w:rsid w:val="009C11D2"/>
    <w:rsid w:val="009C6C70"/>
    <w:rsid w:val="009D0B63"/>
    <w:rsid w:val="009E307E"/>
    <w:rsid w:val="00A07870"/>
    <w:rsid w:val="00A07F19"/>
    <w:rsid w:val="00A1348D"/>
    <w:rsid w:val="00A232EE"/>
    <w:rsid w:val="00A27550"/>
    <w:rsid w:val="00A4175F"/>
    <w:rsid w:val="00A43A4D"/>
    <w:rsid w:val="00A44411"/>
    <w:rsid w:val="00A469FA"/>
    <w:rsid w:val="00A55B01"/>
    <w:rsid w:val="00A56B5B"/>
    <w:rsid w:val="00A603FF"/>
    <w:rsid w:val="00A657DD"/>
    <w:rsid w:val="00A666A6"/>
    <w:rsid w:val="00A675FD"/>
    <w:rsid w:val="00A72437"/>
    <w:rsid w:val="00A80611"/>
    <w:rsid w:val="00AB5340"/>
    <w:rsid w:val="00AC0A89"/>
    <w:rsid w:val="00AC7C96"/>
    <w:rsid w:val="00AE237D"/>
    <w:rsid w:val="00AE502A"/>
    <w:rsid w:val="00AF7C07"/>
    <w:rsid w:val="00B22C93"/>
    <w:rsid w:val="00B27589"/>
    <w:rsid w:val="00B405B7"/>
    <w:rsid w:val="00B52222"/>
    <w:rsid w:val="00B54FE7"/>
    <w:rsid w:val="00B66901"/>
    <w:rsid w:val="00B71E6D"/>
    <w:rsid w:val="00B72070"/>
    <w:rsid w:val="00B779E1"/>
    <w:rsid w:val="00B91EE1"/>
    <w:rsid w:val="00BA0090"/>
    <w:rsid w:val="00BA1A67"/>
    <w:rsid w:val="00BA746E"/>
    <w:rsid w:val="00BE5B5F"/>
    <w:rsid w:val="00C14100"/>
    <w:rsid w:val="00C26F55"/>
    <w:rsid w:val="00C30C63"/>
    <w:rsid w:val="00C36B8B"/>
    <w:rsid w:val="00C415C1"/>
    <w:rsid w:val="00C47DBF"/>
    <w:rsid w:val="00C552FF"/>
    <w:rsid w:val="00C558DA"/>
    <w:rsid w:val="00C55AF3"/>
    <w:rsid w:val="00C63210"/>
    <w:rsid w:val="00C712AF"/>
    <w:rsid w:val="00C82252"/>
    <w:rsid w:val="00C84759"/>
    <w:rsid w:val="00CA20BB"/>
    <w:rsid w:val="00CA544C"/>
    <w:rsid w:val="00CA6C7F"/>
    <w:rsid w:val="00CC10A6"/>
    <w:rsid w:val="00CD5EB8"/>
    <w:rsid w:val="00CD7044"/>
    <w:rsid w:val="00CE08B9"/>
    <w:rsid w:val="00CE524C"/>
    <w:rsid w:val="00CF141F"/>
    <w:rsid w:val="00CF4777"/>
    <w:rsid w:val="00D067BB"/>
    <w:rsid w:val="00D1352A"/>
    <w:rsid w:val="00D169AF"/>
    <w:rsid w:val="00D25249"/>
    <w:rsid w:val="00D44172"/>
    <w:rsid w:val="00D63B8C"/>
    <w:rsid w:val="00D739CC"/>
    <w:rsid w:val="00D8093D"/>
    <w:rsid w:val="00D8108C"/>
    <w:rsid w:val="00D842AE"/>
    <w:rsid w:val="00D9211C"/>
    <w:rsid w:val="00D92DE0"/>
    <w:rsid w:val="00D92FEF"/>
    <w:rsid w:val="00D93A0F"/>
    <w:rsid w:val="00DA1BCA"/>
    <w:rsid w:val="00DC46FF"/>
    <w:rsid w:val="00DC5254"/>
    <w:rsid w:val="00DD1A4F"/>
    <w:rsid w:val="00DD3107"/>
    <w:rsid w:val="00DD7C2C"/>
    <w:rsid w:val="00E06797"/>
    <w:rsid w:val="00E1265B"/>
    <w:rsid w:val="00E13B48"/>
    <w:rsid w:val="00E1404F"/>
    <w:rsid w:val="00E21C83"/>
    <w:rsid w:val="00E24ADA"/>
    <w:rsid w:val="00E32F59"/>
    <w:rsid w:val="00E46D9A"/>
    <w:rsid w:val="00E565FF"/>
    <w:rsid w:val="00E65388"/>
    <w:rsid w:val="00E85B7D"/>
    <w:rsid w:val="00E9121B"/>
    <w:rsid w:val="00EA0AE2"/>
    <w:rsid w:val="00EA369C"/>
    <w:rsid w:val="00EA39E5"/>
    <w:rsid w:val="00EC5A46"/>
    <w:rsid w:val="00EC63E2"/>
    <w:rsid w:val="00EF22B3"/>
    <w:rsid w:val="00EF4A81"/>
    <w:rsid w:val="00F03B69"/>
    <w:rsid w:val="00F07A50"/>
    <w:rsid w:val="00F113DA"/>
    <w:rsid w:val="00F26AA2"/>
    <w:rsid w:val="00F37DC8"/>
    <w:rsid w:val="00F439B3"/>
    <w:rsid w:val="00F650C3"/>
    <w:rsid w:val="00F65D85"/>
    <w:rsid w:val="00F8091E"/>
    <w:rsid w:val="00F8615C"/>
    <w:rsid w:val="00F969E5"/>
    <w:rsid w:val="00FA6BB0"/>
    <w:rsid w:val="00FB13F1"/>
    <w:rsid w:val="00FD5860"/>
    <w:rsid w:val="00FE2AD9"/>
    <w:rsid w:val="00FE352D"/>
    <w:rsid w:val="00FE40EB"/>
    <w:rsid w:val="00FE4D02"/>
    <w:rsid w:val="00FE7D62"/>
    <w:rsid w:val="00FF38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D6941"/>
    <w:pPr>
      <w:tabs>
        <w:tab w:val="left" w:pos="1247"/>
        <w:tab w:val="left" w:pos="1814"/>
        <w:tab w:val="left" w:pos="2381"/>
        <w:tab w:val="left" w:pos="2948"/>
        <w:tab w:val="left" w:pos="3515"/>
      </w:tabs>
    </w:pPr>
    <w:rPr>
      <w:lang w:val="fr-FR"/>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31"/>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2"/>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val="en-GB"/>
    </w:rPr>
  </w:style>
  <w:style w:type="character" w:styleId="FootnoteReference">
    <w:name w:val="footnote reference"/>
    <w:aliases w:val="ftref,16 Point,Superscript 6 Point,number,SUPERS,Footnote Reference Superscript,(Ref. de nota al pie)"/>
    <w:basedOn w:val="DefaultParagraphFont"/>
    <w:uiPriority w:val="99"/>
    <w:rsid w:val="000D6941"/>
    <w:rPr>
      <w:rFonts w:ascii="Times New Roman" w:hAnsi="Times New Roman"/>
      <w:color w:val="auto"/>
      <w:sz w:val="20"/>
      <w:szCs w:val="18"/>
      <w:vertAlign w:val="superscript"/>
    </w:rPr>
  </w:style>
  <w:style w:type="paragraph" w:styleId="FootnoteText">
    <w:name w:val="footnote text"/>
    <w:aliases w:val="Geneva 9,Font: Geneva 9,Boston 10,f,DNV-FT,fn,Footnotes,Footnote ak,ft,fn cafc,Footnotes Char Char,Footnote Text Char Char,fn Char Char,footnote text Char Char Char Ch,Footnote Text Char1,footnote text Char Char Char Ch Char,-E Fußnotente"/>
    <w:basedOn w:val="Normalpool"/>
    <w:link w:val="FootnoteTextChar"/>
    <w:uiPriority w:val="99"/>
    <w:rsid w:val="000D6941"/>
    <w:pPr>
      <w:spacing w:before="20" w:after="40"/>
      <w:ind w:left="1247"/>
    </w:pPr>
    <w:rPr>
      <w:sz w:val="18"/>
    </w:rPr>
  </w:style>
  <w:style w:type="character" w:customStyle="1" w:styleId="FootnoteTextChar">
    <w:name w:val="Footnote Text Char"/>
    <w:aliases w:val="Geneva 9 Char,Font: Geneva 9 Char,Boston 10 Char,f Char,DNV-FT Char,fn Char,Footnotes Char,Footnote ak Char,ft Char,fn cafc Char,Footnotes Char Char Char,Footnote Text Char Char Char,fn Char Char Char,Footnote Text Char1 Char"/>
    <w:link w:val="FootnoteText"/>
    <w:uiPriority w:val="99"/>
    <w:rsid w:val="00CA20BB"/>
    <w:rPr>
      <w:sz w:val="18"/>
      <w:lang w:val="fr-FR"/>
    </w:rPr>
  </w:style>
  <w:style w:type="character" w:customStyle="1" w:styleId="NormalnumberChar">
    <w:name w:val="Normal_number Char"/>
    <w:link w:val="Normalnumber"/>
    <w:rsid w:val="00CA20BB"/>
    <w:rPr>
      <w:lang w:val="en-GB"/>
    </w:rPr>
  </w:style>
  <w:style w:type="character" w:customStyle="1" w:styleId="Normal-poolChar">
    <w:name w:val="Normal-pool Char"/>
    <w:link w:val="Normal-pool"/>
    <w:rsid w:val="00CA20BB"/>
    <w:rPr>
      <w:lang w:val="en-GB"/>
    </w:rPr>
  </w:style>
  <w:style w:type="table" w:customStyle="1" w:styleId="AATable">
    <w:name w:val="AA_Table"/>
    <w:basedOn w:val="TableNormal"/>
    <w:uiPriority w:val="99"/>
    <w:semiHidden/>
    <w:rsid w:val="003A77F1"/>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uiPriority w:val="99"/>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basedOn w:val="DefaultParagraphFont"/>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3"/>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link w:val="NormalnumberChar"/>
    <w:rsid w:val="00160D74"/>
    <w:p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160D74"/>
    <w:rPr>
      <w:b/>
      <w:bCs/>
      <w:sz w:val="28"/>
      <w:szCs w:val="22"/>
      <w:lang w:val="en-GB"/>
    </w:rPr>
  </w:style>
  <w:style w:type="paragraph" w:customStyle="1" w:styleId="ZZAnxtitle">
    <w:name w:val="ZZ_Anx_title"/>
    <w:basedOn w:val="Normalpool"/>
    <w:rsid w:val="00160D74"/>
    <w:pPr>
      <w:spacing w:before="360" w:after="120"/>
      <w:ind w:left="1247"/>
    </w:pPr>
    <w:rPr>
      <w:b/>
      <w:bCs/>
      <w:sz w:val="28"/>
      <w:szCs w:val="26"/>
      <w:lang w:val="en-GB"/>
    </w:rPr>
  </w:style>
  <w:style w:type="paragraph" w:styleId="BalloonText">
    <w:name w:val="Balloon Text"/>
    <w:basedOn w:val="Normal"/>
    <w:link w:val="BalloonTextChar"/>
    <w:rsid w:val="005A5843"/>
    <w:rPr>
      <w:rFonts w:ascii="Tahoma" w:hAnsi="Tahoma" w:cs="Tahoma"/>
      <w:sz w:val="16"/>
      <w:szCs w:val="16"/>
    </w:rPr>
  </w:style>
  <w:style w:type="character" w:customStyle="1" w:styleId="BalloonTextChar">
    <w:name w:val="Balloon Text Char"/>
    <w:basedOn w:val="DefaultParagraphFont"/>
    <w:link w:val="BalloonText"/>
    <w:rsid w:val="005A5843"/>
    <w:rPr>
      <w:rFonts w:ascii="Tahoma" w:hAnsi="Tahoma" w:cs="Tahoma"/>
      <w:sz w:val="16"/>
      <w:szCs w:val="16"/>
      <w:lang w:val="fr-FR"/>
    </w:rPr>
  </w:style>
  <w:style w:type="character" w:styleId="Emphasis">
    <w:name w:val="Emphasis"/>
    <w:basedOn w:val="DefaultParagraphFont"/>
    <w:qFormat/>
    <w:rsid w:val="00444D8F"/>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D6941"/>
    <w:pPr>
      <w:tabs>
        <w:tab w:val="left" w:pos="1247"/>
        <w:tab w:val="left" w:pos="1814"/>
        <w:tab w:val="left" w:pos="2381"/>
        <w:tab w:val="left" w:pos="2948"/>
        <w:tab w:val="left" w:pos="3515"/>
      </w:tabs>
    </w:pPr>
    <w:rPr>
      <w:lang w:val="fr-FR"/>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31"/>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2"/>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val="en-GB"/>
    </w:rPr>
  </w:style>
  <w:style w:type="character" w:styleId="FootnoteReference">
    <w:name w:val="footnote reference"/>
    <w:aliases w:val="ftref,16 Point,Superscript 6 Point,number,SUPERS,Footnote Reference Superscript,(Ref. de nota al pie)"/>
    <w:basedOn w:val="DefaultParagraphFont"/>
    <w:uiPriority w:val="99"/>
    <w:rsid w:val="000D6941"/>
    <w:rPr>
      <w:rFonts w:ascii="Times New Roman" w:hAnsi="Times New Roman"/>
      <w:color w:val="auto"/>
      <w:sz w:val="20"/>
      <w:szCs w:val="18"/>
      <w:vertAlign w:val="superscript"/>
    </w:rPr>
  </w:style>
  <w:style w:type="paragraph" w:styleId="FootnoteText">
    <w:name w:val="footnote text"/>
    <w:aliases w:val="Geneva 9,Font: Geneva 9,Boston 10,f,DNV-FT,fn,Footnotes,Footnote ak,ft,fn cafc,Footnotes Char Char,Footnote Text Char Char,fn Char Char,footnote text Char Char Char Ch,Footnote Text Char1,footnote text Char Char Char Ch Char,-E Fußnotente"/>
    <w:basedOn w:val="Normalpool"/>
    <w:link w:val="FootnoteTextChar"/>
    <w:uiPriority w:val="99"/>
    <w:rsid w:val="000D6941"/>
    <w:pPr>
      <w:spacing w:before="20" w:after="40"/>
      <w:ind w:left="1247"/>
    </w:pPr>
    <w:rPr>
      <w:sz w:val="18"/>
    </w:rPr>
  </w:style>
  <w:style w:type="character" w:customStyle="1" w:styleId="FootnoteTextChar">
    <w:name w:val="Footnote Text Char"/>
    <w:aliases w:val="Geneva 9 Char,Font: Geneva 9 Char,Boston 10 Char,f Char,DNV-FT Char,fn Char,Footnotes Char,Footnote ak Char,ft Char,fn cafc Char,Footnotes Char Char Char,Footnote Text Char Char Char,fn Char Char Char,Footnote Text Char1 Char"/>
    <w:link w:val="FootnoteText"/>
    <w:uiPriority w:val="99"/>
    <w:rsid w:val="00CA20BB"/>
    <w:rPr>
      <w:sz w:val="18"/>
      <w:lang w:val="fr-FR"/>
    </w:rPr>
  </w:style>
  <w:style w:type="character" w:customStyle="1" w:styleId="NormalnumberChar">
    <w:name w:val="Normal_number Char"/>
    <w:link w:val="Normalnumber"/>
    <w:rsid w:val="00CA20BB"/>
    <w:rPr>
      <w:lang w:val="en-GB"/>
    </w:rPr>
  </w:style>
  <w:style w:type="character" w:customStyle="1" w:styleId="Normal-poolChar">
    <w:name w:val="Normal-pool Char"/>
    <w:link w:val="Normal-pool"/>
    <w:rsid w:val="00CA20BB"/>
    <w:rPr>
      <w:lang w:val="en-GB"/>
    </w:rPr>
  </w:style>
  <w:style w:type="table" w:customStyle="1" w:styleId="AATable">
    <w:name w:val="AA_Table"/>
    <w:basedOn w:val="TableNormal"/>
    <w:uiPriority w:val="99"/>
    <w:semiHidden/>
    <w:rsid w:val="003A77F1"/>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uiPriority w:val="99"/>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basedOn w:val="DefaultParagraphFont"/>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3"/>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link w:val="NormalnumberChar"/>
    <w:rsid w:val="00160D74"/>
    <w:p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160D74"/>
    <w:rPr>
      <w:b/>
      <w:bCs/>
      <w:sz w:val="28"/>
      <w:szCs w:val="22"/>
      <w:lang w:val="en-GB"/>
    </w:rPr>
  </w:style>
  <w:style w:type="paragraph" w:customStyle="1" w:styleId="ZZAnxtitle">
    <w:name w:val="ZZ_Anx_title"/>
    <w:basedOn w:val="Normalpool"/>
    <w:rsid w:val="00160D74"/>
    <w:pPr>
      <w:spacing w:before="360" w:after="120"/>
      <w:ind w:left="1247"/>
    </w:pPr>
    <w:rPr>
      <w:b/>
      <w:bCs/>
      <w:sz w:val="28"/>
      <w:szCs w:val="26"/>
      <w:lang w:val="en-GB"/>
    </w:rPr>
  </w:style>
  <w:style w:type="paragraph" w:styleId="BalloonText">
    <w:name w:val="Balloon Text"/>
    <w:basedOn w:val="Normal"/>
    <w:link w:val="BalloonTextChar"/>
    <w:rsid w:val="005A5843"/>
    <w:rPr>
      <w:rFonts w:ascii="Tahoma" w:hAnsi="Tahoma" w:cs="Tahoma"/>
      <w:sz w:val="16"/>
      <w:szCs w:val="16"/>
    </w:rPr>
  </w:style>
  <w:style w:type="character" w:customStyle="1" w:styleId="BalloonTextChar">
    <w:name w:val="Balloon Text Char"/>
    <w:basedOn w:val="DefaultParagraphFont"/>
    <w:link w:val="BalloonText"/>
    <w:rsid w:val="005A5843"/>
    <w:rPr>
      <w:rFonts w:ascii="Tahoma" w:hAnsi="Tahoma" w:cs="Tahoma"/>
      <w:sz w:val="16"/>
      <w:szCs w:val="16"/>
      <w:lang w:val="fr-FR"/>
    </w:rPr>
  </w:style>
  <w:style w:type="character" w:styleId="Emphasis">
    <w:name w:val="Emphasis"/>
    <w:basedOn w:val="DefaultParagraphFont"/>
    <w:qFormat/>
    <w:rsid w:val="00444D8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823</Words>
  <Characters>4693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5505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Cyrille-Lazare Siewe</cp:lastModifiedBy>
  <cp:revision>2</cp:revision>
  <cp:lastPrinted>2016-08-16T07:38:00Z</cp:lastPrinted>
  <dcterms:created xsi:type="dcterms:W3CDTF">2016-09-12T07:26:00Z</dcterms:created>
  <dcterms:modified xsi:type="dcterms:W3CDTF">2016-09-12T07:26:00Z</dcterms:modified>
</cp:coreProperties>
</file>