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DCEB7" w14:textId="1397F092" w:rsidR="002D7317" w:rsidRPr="00951E8F" w:rsidRDefault="006320CF" w:rsidP="002D7317">
      <w:pPr>
        <w:pStyle w:val="Header"/>
        <w:jc w:val="right"/>
        <w:rPr>
          <w:rFonts w:asciiTheme="minorHAnsi" w:hAnsiTheme="minorHAnsi" w:cstheme="minorHAnsi"/>
          <w:i/>
          <w:iCs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10</w:t>
      </w:r>
      <w:r w:rsidR="002D7317" w:rsidRPr="00951E8F">
        <w:rPr>
          <w:rFonts w:asciiTheme="minorHAnsi" w:hAnsiTheme="minorHAnsi" w:cstheme="minorHAnsi"/>
          <w:i/>
          <w:iCs/>
          <w:szCs w:val="24"/>
        </w:rPr>
        <w:t xml:space="preserve"> December 2020</w:t>
      </w:r>
    </w:p>
    <w:p w14:paraId="3FD77D3E" w14:textId="1A055EAD" w:rsidR="00211D43" w:rsidRPr="00AE1F57" w:rsidRDefault="00211D43" w:rsidP="00AE1F57">
      <w:pPr>
        <w:pStyle w:val="BodyText"/>
        <w:jc w:val="right"/>
        <w:rPr>
          <w:rFonts w:asciiTheme="minorHAnsi" w:hAnsiTheme="minorHAnsi" w:cstheme="minorHAnsi"/>
          <w:b/>
          <w:bCs/>
          <w:iCs/>
        </w:rPr>
      </w:pPr>
    </w:p>
    <w:p w14:paraId="48EC95AE" w14:textId="77777777" w:rsidR="00211D43" w:rsidRDefault="00211D43">
      <w:pPr>
        <w:pStyle w:val="BodyText"/>
        <w:spacing w:before="10"/>
        <w:rPr>
          <w:rFonts w:ascii="Times New Roman"/>
          <w:i/>
          <w:sz w:val="25"/>
        </w:rPr>
      </w:pPr>
    </w:p>
    <w:p w14:paraId="37370C1A" w14:textId="55830535" w:rsidR="00211D43" w:rsidRPr="009C5CC3" w:rsidRDefault="00AE1F57" w:rsidP="00984E0C">
      <w:pPr>
        <w:pStyle w:val="Heading1"/>
        <w:ind w:left="0" w:right="4"/>
        <w:jc w:val="center"/>
        <w:rPr>
          <w:rFonts w:asciiTheme="minorHAnsi" w:hAnsiTheme="minorHAnsi" w:cstheme="minorHAnsi"/>
        </w:rPr>
      </w:pPr>
      <w:r w:rsidRPr="00AE1F57">
        <w:rPr>
          <w:rFonts w:asciiTheme="minorHAnsi" w:hAnsiTheme="minorHAnsi" w:cstheme="minorHAnsi"/>
        </w:rPr>
        <w:t>Subcommittee of the Committee of Permanent</w:t>
      </w:r>
      <w:r w:rsidR="00984E0C">
        <w:rPr>
          <w:rFonts w:asciiTheme="minorHAnsi" w:hAnsiTheme="minorHAnsi" w:cstheme="minorHAnsi"/>
        </w:rPr>
        <w:t xml:space="preserve"> Representatives to</w:t>
      </w:r>
      <w:r w:rsidRPr="00AE1F57">
        <w:rPr>
          <w:rFonts w:asciiTheme="minorHAnsi" w:hAnsiTheme="minorHAnsi" w:cstheme="minorHAnsi"/>
        </w:rPr>
        <w:t xml:space="preserve"> UNEP</w:t>
      </w:r>
      <w:r w:rsidR="00984E0C">
        <w:rPr>
          <w:rFonts w:asciiTheme="minorHAnsi" w:hAnsiTheme="minorHAnsi" w:cstheme="minorHAnsi"/>
        </w:rPr>
        <w:t xml:space="preserve"> (CPR)</w:t>
      </w:r>
      <w:r w:rsidR="00BF1A43" w:rsidRPr="00AE1F57">
        <w:rPr>
          <w:rFonts w:asciiTheme="minorHAnsi" w:hAnsiTheme="minorHAnsi" w:cstheme="minorHAnsi"/>
        </w:rPr>
        <w:t xml:space="preserve"> </w:t>
      </w:r>
      <w:r w:rsidR="009C5CC3" w:rsidRPr="00AE1F57">
        <w:rPr>
          <w:rFonts w:asciiTheme="minorHAnsi" w:hAnsiTheme="minorHAnsi" w:cstheme="minorHAnsi"/>
        </w:rPr>
        <w:br/>
      </w:r>
      <w:r w:rsidR="00BF1A43" w:rsidRPr="009C5CC3">
        <w:rPr>
          <w:rFonts w:asciiTheme="minorHAnsi" w:hAnsiTheme="minorHAnsi" w:cstheme="minorHAnsi"/>
        </w:rPr>
        <w:t xml:space="preserve">Nairobi, </w:t>
      </w:r>
      <w:r w:rsidR="00984E0C">
        <w:rPr>
          <w:rFonts w:asciiTheme="minorHAnsi" w:hAnsiTheme="minorHAnsi" w:cstheme="minorHAnsi"/>
        </w:rPr>
        <w:t>10</w:t>
      </w:r>
      <w:r w:rsidR="009C5CC3">
        <w:rPr>
          <w:rFonts w:asciiTheme="minorHAnsi" w:hAnsiTheme="minorHAnsi" w:cstheme="minorHAnsi"/>
        </w:rPr>
        <w:t xml:space="preserve"> December</w:t>
      </w:r>
      <w:r w:rsidR="00984E0C">
        <w:rPr>
          <w:rFonts w:asciiTheme="minorHAnsi" w:hAnsiTheme="minorHAnsi" w:cstheme="minorHAnsi"/>
        </w:rPr>
        <w:t xml:space="preserve"> 2020</w:t>
      </w:r>
    </w:p>
    <w:p w14:paraId="55D81DC2" w14:textId="77777777" w:rsidR="00211D43" w:rsidRPr="009C5CC3" w:rsidRDefault="00211D43" w:rsidP="002A211A">
      <w:pPr>
        <w:pStyle w:val="BodyText"/>
        <w:spacing w:before="11"/>
        <w:ind w:left="1430"/>
        <w:rPr>
          <w:rFonts w:asciiTheme="minorHAnsi" w:hAnsiTheme="minorHAnsi" w:cstheme="minorHAnsi"/>
          <w:b/>
        </w:rPr>
      </w:pPr>
    </w:p>
    <w:p w14:paraId="47540620" w14:textId="77777777" w:rsidR="00984E0C" w:rsidRDefault="00984E0C" w:rsidP="00984E0C">
      <w:pPr>
        <w:ind w:right="4"/>
        <w:rPr>
          <w:rFonts w:asciiTheme="minorHAnsi" w:hAnsiTheme="minorHAnsi" w:cstheme="minorHAnsi"/>
          <w:b/>
          <w:sz w:val="24"/>
          <w:szCs w:val="24"/>
        </w:rPr>
      </w:pPr>
    </w:p>
    <w:p w14:paraId="5EFA6CEC" w14:textId="00DD5D61" w:rsidR="00211D43" w:rsidRPr="009C5CC3" w:rsidRDefault="009C5CC3" w:rsidP="006320CF">
      <w:pPr>
        <w:ind w:right="4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Agenda Item 2</w:t>
      </w:r>
      <w:r w:rsidR="00BF1A43" w:rsidRPr="009C5CC3">
        <w:rPr>
          <w:rFonts w:asciiTheme="minorHAnsi" w:hAnsiTheme="minorHAnsi" w:cstheme="minorHAnsi"/>
          <w:b/>
          <w:sz w:val="24"/>
          <w:szCs w:val="24"/>
        </w:rPr>
        <w:t>: Consideration of UNEP Medium-Term Strategy 2022-2025 and Programme of Work 2022-2023</w:t>
      </w:r>
    </w:p>
    <w:p w14:paraId="48318495" w14:textId="77777777" w:rsidR="00211D43" w:rsidRPr="009C5CC3" w:rsidRDefault="00211D43" w:rsidP="002A211A">
      <w:pPr>
        <w:pStyle w:val="BodyText"/>
        <w:ind w:left="1430"/>
        <w:rPr>
          <w:rFonts w:asciiTheme="minorHAnsi" w:hAnsiTheme="minorHAnsi" w:cstheme="minorHAnsi"/>
          <w:b/>
        </w:rPr>
      </w:pPr>
    </w:p>
    <w:p w14:paraId="2EB822B8" w14:textId="33338751" w:rsidR="00211D43" w:rsidRPr="006320CF" w:rsidRDefault="006320CF" w:rsidP="00984E0C">
      <w:pPr>
        <w:ind w:right="4"/>
        <w:jc w:val="center"/>
        <w:rPr>
          <w:rFonts w:asciiTheme="minorHAnsi" w:hAnsiTheme="minorHAnsi" w:cstheme="minorHAnsi"/>
          <w:b/>
          <w:i/>
          <w:sz w:val="24"/>
          <w:szCs w:val="24"/>
          <w:lang w:val="en-GB"/>
        </w:rPr>
      </w:pPr>
      <w:r w:rsidRPr="006320CF">
        <w:rPr>
          <w:rFonts w:asciiTheme="minorHAnsi" w:hAnsiTheme="minorHAnsi" w:cstheme="minorHAnsi"/>
          <w:b/>
          <w:i/>
          <w:sz w:val="24"/>
          <w:szCs w:val="24"/>
          <w:lang w:val="en-GB"/>
        </w:rPr>
        <w:t xml:space="preserve">Comments by the European Union and its Member States </w:t>
      </w:r>
    </w:p>
    <w:p w14:paraId="6918B778" w14:textId="77777777" w:rsidR="00211D43" w:rsidRPr="006320CF" w:rsidRDefault="00211D43" w:rsidP="002A211A">
      <w:pPr>
        <w:pStyle w:val="BodyText"/>
        <w:spacing w:before="12"/>
        <w:ind w:left="1430"/>
        <w:rPr>
          <w:rFonts w:asciiTheme="minorHAnsi" w:hAnsiTheme="minorHAnsi" w:cstheme="minorHAnsi"/>
          <w:b/>
          <w:i/>
          <w:lang w:val="en-GB"/>
        </w:rPr>
      </w:pPr>
    </w:p>
    <w:p w14:paraId="160D27AF" w14:textId="5ADB0BEF" w:rsidR="00211D43" w:rsidRPr="009C5CC3" w:rsidRDefault="00211D43" w:rsidP="00F829DE">
      <w:pPr>
        <w:ind w:right="712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11B81D4C" w14:textId="77777777" w:rsidR="00211D43" w:rsidRPr="009C5CC3" w:rsidRDefault="00211D43" w:rsidP="00F829DE">
      <w:pPr>
        <w:pStyle w:val="BodyText"/>
        <w:spacing w:before="12"/>
        <w:ind w:right="712"/>
        <w:rPr>
          <w:rFonts w:asciiTheme="minorHAnsi" w:hAnsiTheme="minorHAnsi" w:cstheme="minorHAnsi"/>
          <w:i/>
        </w:rPr>
      </w:pPr>
    </w:p>
    <w:p w14:paraId="5724CA0C" w14:textId="4EB31866" w:rsidR="00211D43" w:rsidRPr="00361D59" w:rsidRDefault="005270EF" w:rsidP="00F829DE">
      <w:pPr>
        <w:pStyle w:val="ListParagraph"/>
        <w:numPr>
          <w:ilvl w:val="0"/>
          <w:numId w:val="1"/>
        </w:numPr>
        <w:tabs>
          <w:tab w:val="left" w:pos="1036"/>
        </w:tabs>
        <w:ind w:left="851" w:right="71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The </w:t>
      </w:r>
      <w:r w:rsidR="00F25E3A" w:rsidRPr="00361D59">
        <w:rPr>
          <w:rFonts w:asciiTheme="minorHAnsi" w:hAnsiTheme="minorHAnsi" w:cstheme="minorHAnsi"/>
          <w:sz w:val="24"/>
          <w:szCs w:val="24"/>
        </w:rPr>
        <w:t>EU</w:t>
      </w:r>
      <w:r>
        <w:rPr>
          <w:rFonts w:asciiTheme="minorHAnsi" w:hAnsiTheme="minorHAnsi" w:cstheme="minorHAnsi"/>
          <w:sz w:val="24"/>
          <w:szCs w:val="24"/>
        </w:rPr>
        <w:t xml:space="preserve"> and its </w:t>
      </w:r>
      <w:r w:rsidR="00F25E3A" w:rsidRPr="00361D59">
        <w:rPr>
          <w:rFonts w:asciiTheme="minorHAnsi" w:hAnsiTheme="minorHAnsi" w:cstheme="minorHAnsi"/>
          <w:sz w:val="24"/>
          <w:szCs w:val="24"/>
        </w:rPr>
        <w:t>M</w:t>
      </w:r>
      <w:r>
        <w:rPr>
          <w:rFonts w:asciiTheme="minorHAnsi" w:hAnsiTheme="minorHAnsi" w:cstheme="minorHAnsi"/>
          <w:sz w:val="24"/>
          <w:szCs w:val="24"/>
        </w:rPr>
        <w:t xml:space="preserve">ember </w:t>
      </w:r>
      <w:r w:rsidR="00F25E3A" w:rsidRPr="00361D59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>tates</w:t>
      </w:r>
      <w:r w:rsidR="00F25E3A" w:rsidRPr="00361D59">
        <w:rPr>
          <w:rFonts w:asciiTheme="minorHAnsi" w:hAnsiTheme="minorHAnsi" w:cstheme="minorHAnsi"/>
          <w:sz w:val="24"/>
          <w:szCs w:val="24"/>
        </w:rPr>
        <w:t xml:space="preserve"> thank the ED </w:t>
      </w:r>
      <w:r w:rsidR="006320CF">
        <w:rPr>
          <w:rFonts w:asciiTheme="minorHAnsi" w:hAnsiTheme="minorHAnsi" w:cstheme="minorHAnsi"/>
          <w:sz w:val="24"/>
          <w:szCs w:val="24"/>
        </w:rPr>
        <w:t xml:space="preserve">and the UNEP Secretariat </w:t>
      </w:r>
      <w:r w:rsidR="00F25E3A" w:rsidRPr="00361D59">
        <w:rPr>
          <w:rFonts w:asciiTheme="minorHAnsi" w:hAnsiTheme="minorHAnsi" w:cstheme="minorHAnsi"/>
          <w:sz w:val="24"/>
          <w:szCs w:val="24"/>
        </w:rPr>
        <w:t>for the good work, the inclusive approach with the Discovery Sessions</w:t>
      </w:r>
      <w:r w:rsidR="00361D59" w:rsidRPr="00361D59">
        <w:rPr>
          <w:rFonts w:asciiTheme="minorHAnsi" w:hAnsiTheme="minorHAnsi" w:cstheme="minorHAnsi"/>
          <w:sz w:val="24"/>
          <w:szCs w:val="24"/>
        </w:rPr>
        <w:t xml:space="preserve"> and the </w:t>
      </w:r>
      <w:r w:rsidR="00361D59">
        <w:rPr>
          <w:rFonts w:asciiTheme="minorHAnsi" w:hAnsiTheme="minorHAnsi" w:cstheme="minorHAnsi"/>
          <w:sz w:val="24"/>
          <w:szCs w:val="24"/>
        </w:rPr>
        <w:t xml:space="preserve">well-balanced </w:t>
      </w:r>
      <w:r w:rsidR="00BF1A43" w:rsidRPr="00361D59">
        <w:rPr>
          <w:rFonts w:asciiTheme="minorHAnsi" w:hAnsiTheme="minorHAnsi" w:cstheme="minorHAnsi"/>
          <w:sz w:val="24"/>
          <w:szCs w:val="24"/>
        </w:rPr>
        <w:t>revised MTS</w:t>
      </w:r>
      <w:r w:rsidR="00150B26">
        <w:rPr>
          <w:rFonts w:asciiTheme="minorHAnsi" w:hAnsiTheme="minorHAnsi" w:cstheme="minorHAnsi"/>
          <w:sz w:val="24"/>
          <w:szCs w:val="24"/>
        </w:rPr>
        <w:t xml:space="preserve"> and PoW/B documents</w:t>
      </w:r>
      <w:r w:rsidR="00BF1A43" w:rsidRPr="00361D59">
        <w:rPr>
          <w:rFonts w:asciiTheme="minorHAnsi" w:hAnsiTheme="minorHAnsi" w:cstheme="minorHAnsi"/>
          <w:sz w:val="24"/>
          <w:szCs w:val="24"/>
        </w:rPr>
        <w:t xml:space="preserve"> following the discussions at the </w:t>
      </w:r>
      <w:r w:rsidR="000C56E8" w:rsidRPr="00361D59">
        <w:rPr>
          <w:rFonts w:asciiTheme="minorHAnsi" w:hAnsiTheme="minorHAnsi" w:cstheme="minorHAnsi"/>
          <w:sz w:val="24"/>
          <w:szCs w:val="24"/>
        </w:rPr>
        <w:t>152</w:t>
      </w:r>
      <w:r w:rsidR="000C56E8" w:rsidRPr="00361D59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 w:rsidR="000C56E8" w:rsidRPr="00361D59">
        <w:rPr>
          <w:rFonts w:asciiTheme="minorHAnsi" w:hAnsiTheme="minorHAnsi" w:cstheme="minorHAnsi"/>
          <w:sz w:val="24"/>
          <w:szCs w:val="24"/>
        </w:rPr>
        <w:t xml:space="preserve"> CPR Meeting</w:t>
      </w:r>
      <w:r w:rsidR="00BF1A43" w:rsidRPr="00361D59">
        <w:rPr>
          <w:rFonts w:asciiTheme="minorHAnsi" w:hAnsiTheme="minorHAnsi" w:cstheme="minorHAnsi"/>
          <w:sz w:val="24"/>
          <w:szCs w:val="24"/>
        </w:rPr>
        <w:t>.</w:t>
      </w:r>
    </w:p>
    <w:p w14:paraId="39681025" w14:textId="218E1B92" w:rsidR="00E71B24" w:rsidRDefault="005270EF" w:rsidP="00F829DE">
      <w:pPr>
        <w:pStyle w:val="ListParagraph"/>
        <w:numPr>
          <w:ilvl w:val="0"/>
          <w:numId w:val="1"/>
        </w:numPr>
        <w:tabs>
          <w:tab w:val="left" w:pos="1036"/>
        </w:tabs>
        <w:ind w:left="851" w:right="71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The </w:t>
      </w:r>
      <w:r w:rsidR="00BF1A43" w:rsidRPr="009C5CC3">
        <w:rPr>
          <w:rFonts w:asciiTheme="minorHAnsi" w:hAnsiTheme="minorHAnsi" w:cstheme="minorHAnsi"/>
          <w:sz w:val="24"/>
          <w:szCs w:val="24"/>
        </w:rPr>
        <w:t>EU</w:t>
      </w:r>
      <w:r>
        <w:rPr>
          <w:rFonts w:asciiTheme="minorHAnsi" w:hAnsiTheme="minorHAnsi" w:cstheme="minorHAnsi"/>
          <w:sz w:val="24"/>
          <w:szCs w:val="24"/>
        </w:rPr>
        <w:t xml:space="preserve"> and its </w:t>
      </w:r>
      <w:r w:rsidR="00BF1A43" w:rsidRPr="009C5CC3">
        <w:rPr>
          <w:rFonts w:asciiTheme="minorHAnsi" w:hAnsiTheme="minorHAnsi" w:cstheme="minorHAnsi"/>
          <w:sz w:val="24"/>
          <w:szCs w:val="24"/>
        </w:rPr>
        <w:t>M</w:t>
      </w:r>
      <w:r>
        <w:rPr>
          <w:rFonts w:asciiTheme="minorHAnsi" w:hAnsiTheme="minorHAnsi" w:cstheme="minorHAnsi"/>
          <w:sz w:val="24"/>
          <w:szCs w:val="24"/>
        </w:rPr>
        <w:t xml:space="preserve">ember </w:t>
      </w:r>
      <w:r w:rsidR="00BF1A43" w:rsidRPr="009C5CC3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>tates</w:t>
      </w:r>
      <w:r w:rsidR="00BF1A43" w:rsidRPr="009C5CC3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support</w:t>
      </w:r>
      <w:r w:rsidR="00BF1A43" w:rsidRPr="009C5CC3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the</w:t>
      </w:r>
      <w:r w:rsidR="00BF1A43" w:rsidRPr="009C5CC3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renewed</w:t>
      </w:r>
      <w:r w:rsidR="00BF1A43" w:rsidRPr="009C5CC3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focus</w:t>
      </w:r>
      <w:r w:rsidR="00BF1A43" w:rsidRPr="009C5CC3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on</w:t>
      </w:r>
      <w:r w:rsidR="00BF1A43" w:rsidRPr="009C5CC3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climate</w:t>
      </w:r>
      <w:r w:rsidR="00BF1A43" w:rsidRPr="009C5CC3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change,</w:t>
      </w:r>
      <w:r w:rsidR="00BF1A43" w:rsidRPr="009C5CC3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biodiversity loss</w:t>
      </w:r>
      <w:r w:rsidR="00BF1A43" w:rsidRPr="009C5C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and</w:t>
      </w:r>
      <w:r w:rsidR="00BF1A43" w:rsidRPr="009C5C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pollution,</w:t>
      </w:r>
      <w:r w:rsidR="00BF1A43" w:rsidRPr="009C5CC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the</w:t>
      </w:r>
      <w:r w:rsidR="00BF1A43" w:rsidRPr="009C5C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central</w:t>
      </w:r>
      <w:r w:rsidR="00BF1A43" w:rsidRPr="009C5CC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role</w:t>
      </w:r>
      <w:r w:rsidR="00BF1A43" w:rsidRPr="009C5C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of</w:t>
      </w:r>
      <w:r w:rsidR="00BF1A43" w:rsidRPr="009C5C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the</w:t>
      </w:r>
      <w:r w:rsidR="00BF1A43" w:rsidRPr="009C5C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transition</w:t>
      </w:r>
      <w:r w:rsidR="00BF1A43" w:rsidRPr="009C5C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towards</w:t>
      </w:r>
      <w:r w:rsidR="00BF1A43" w:rsidRPr="009C5CC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sustainable</w:t>
      </w:r>
      <w:r w:rsidR="00BF1A43" w:rsidRPr="009C5C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BF1A43" w:rsidRPr="009C5CC3">
        <w:rPr>
          <w:rFonts w:asciiTheme="minorHAnsi" w:hAnsiTheme="minorHAnsi" w:cstheme="minorHAnsi"/>
          <w:sz w:val="24"/>
          <w:szCs w:val="24"/>
        </w:rPr>
        <w:t>consumption and production patterns (SCP), as well as the proposed foundational and enabling programs.</w:t>
      </w:r>
    </w:p>
    <w:p w14:paraId="6840277E" w14:textId="63C486F4" w:rsidR="00361D59" w:rsidRDefault="00C90E0D" w:rsidP="00F829DE">
      <w:pPr>
        <w:pStyle w:val="ListParagraph"/>
        <w:numPr>
          <w:ilvl w:val="0"/>
          <w:numId w:val="1"/>
        </w:numPr>
        <w:tabs>
          <w:tab w:val="left" w:pos="1036"/>
        </w:tabs>
        <w:ind w:left="851" w:right="71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We</w:t>
      </w:r>
      <w:r w:rsidR="00BF1A43" w:rsidRPr="00E71B24">
        <w:rPr>
          <w:rFonts w:asciiTheme="minorHAnsi" w:hAnsiTheme="minorHAnsi" w:cstheme="minorHAnsi"/>
          <w:sz w:val="24"/>
          <w:szCs w:val="24"/>
        </w:rPr>
        <w:t xml:space="preserve"> appreciate </w:t>
      </w:r>
      <w:r w:rsidR="00E71B24" w:rsidRPr="00E71B24">
        <w:rPr>
          <w:rFonts w:asciiTheme="minorHAnsi" w:hAnsiTheme="minorHAnsi" w:cstheme="minorHAnsi"/>
          <w:sz w:val="24"/>
          <w:szCs w:val="24"/>
        </w:rPr>
        <w:t>to see</w:t>
      </w:r>
      <w:r w:rsidR="00BF1A43" w:rsidRPr="00E71B24">
        <w:rPr>
          <w:rFonts w:asciiTheme="minorHAnsi" w:hAnsiTheme="minorHAnsi" w:cstheme="minorHAnsi"/>
          <w:sz w:val="24"/>
          <w:szCs w:val="24"/>
        </w:rPr>
        <w:t xml:space="preserve"> some of our comments </w:t>
      </w:r>
      <w:r w:rsidR="00E71B24" w:rsidRPr="00E71B24">
        <w:rPr>
          <w:rFonts w:asciiTheme="minorHAnsi" w:hAnsiTheme="minorHAnsi" w:cstheme="minorHAnsi"/>
          <w:sz w:val="24"/>
          <w:szCs w:val="24"/>
        </w:rPr>
        <w:t>reflected</w:t>
      </w:r>
      <w:r w:rsidR="00BF1A43" w:rsidRPr="00E71B24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BF1A43" w:rsidRPr="00E71B24">
        <w:rPr>
          <w:rFonts w:asciiTheme="minorHAnsi" w:hAnsiTheme="minorHAnsi" w:cstheme="minorHAnsi"/>
          <w:sz w:val="24"/>
          <w:szCs w:val="24"/>
        </w:rPr>
        <w:t>up in the revised version.</w:t>
      </w:r>
      <w:r w:rsidR="00E71B24" w:rsidRPr="00E71B24">
        <w:rPr>
          <w:rFonts w:asciiTheme="minorHAnsi" w:hAnsiTheme="minorHAnsi" w:cstheme="minorHAnsi"/>
          <w:sz w:val="24"/>
          <w:szCs w:val="24"/>
        </w:rPr>
        <w:t xml:space="preserve"> </w:t>
      </w:r>
      <w:r w:rsidR="00E71B24">
        <w:rPr>
          <w:rFonts w:asciiTheme="minorHAnsi" w:hAnsiTheme="minorHAnsi" w:cstheme="minorHAnsi"/>
          <w:sz w:val="24"/>
          <w:szCs w:val="24"/>
        </w:rPr>
        <w:t>For instance</w:t>
      </w:r>
      <w:r w:rsidR="00E71B24" w:rsidRPr="00E71B24">
        <w:rPr>
          <w:rFonts w:asciiTheme="minorHAnsi" w:hAnsiTheme="minorHAnsi" w:cstheme="minorHAnsi"/>
          <w:sz w:val="24"/>
          <w:szCs w:val="24"/>
        </w:rPr>
        <w:t xml:space="preserve">, </w:t>
      </w:r>
      <w:r w:rsidR="003B2B2A">
        <w:rPr>
          <w:rFonts w:asciiTheme="minorHAnsi" w:hAnsiTheme="minorHAnsi" w:cstheme="minorHAnsi"/>
          <w:sz w:val="24"/>
          <w:szCs w:val="24"/>
        </w:rPr>
        <w:t xml:space="preserve">in the MTS </w:t>
      </w:r>
      <w:r w:rsidR="00E71B24">
        <w:rPr>
          <w:rFonts w:asciiTheme="minorHAnsi" w:hAnsiTheme="minorHAnsi" w:cstheme="minorHAnsi"/>
          <w:sz w:val="24"/>
          <w:szCs w:val="24"/>
        </w:rPr>
        <w:t xml:space="preserve">we welcome the explicit reference indicating the intrinsic link between heathy environment and social </w:t>
      </w:r>
      <w:r>
        <w:rPr>
          <w:rFonts w:asciiTheme="minorHAnsi" w:hAnsiTheme="minorHAnsi" w:cstheme="minorHAnsi"/>
          <w:sz w:val="24"/>
          <w:szCs w:val="24"/>
        </w:rPr>
        <w:t xml:space="preserve">and </w:t>
      </w:r>
      <w:r w:rsidR="00E71B24">
        <w:rPr>
          <w:rFonts w:asciiTheme="minorHAnsi" w:hAnsiTheme="minorHAnsi" w:cstheme="minorHAnsi"/>
          <w:sz w:val="24"/>
          <w:szCs w:val="24"/>
        </w:rPr>
        <w:t>economic well-being</w:t>
      </w:r>
      <w:r w:rsidR="003B2B2A">
        <w:rPr>
          <w:rFonts w:asciiTheme="minorHAnsi" w:hAnsiTheme="minorHAnsi" w:cstheme="minorHAnsi"/>
          <w:sz w:val="24"/>
          <w:szCs w:val="24"/>
        </w:rPr>
        <w:t xml:space="preserve">, the description of UNEP’s comparative advantages in implementing the subprograms, </w:t>
      </w:r>
      <w:r w:rsidR="007540AD">
        <w:rPr>
          <w:rFonts w:asciiTheme="minorHAnsi" w:hAnsiTheme="minorHAnsi" w:cstheme="minorHAnsi"/>
          <w:sz w:val="24"/>
          <w:szCs w:val="24"/>
        </w:rPr>
        <w:t>the more</w:t>
      </w:r>
      <w:r>
        <w:rPr>
          <w:rFonts w:asciiTheme="minorHAnsi" w:hAnsiTheme="minorHAnsi" w:cstheme="minorHAnsi"/>
          <w:sz w:val="24"/>
          <w:szCs w:val="24"/>
        </w:rPr>
        <w:t>,</w:t>
      </w:r>
      <w:r w:rsidR="007540AD">
        <w:rPr>
          <w:rFonts w:asciiTheme="minorHAnsi" w:hAnsiTheme="minorHAnsi" w:cstheme="minorHAnsi"/>
          <w:sz w:val="24"/>
          <w:szCs w:val="24"/>
        </w:rPr>
        <w:t xml:space="preserve"> mainstreamed use of internationally agreed language in the document</w:t>
      </w:r>
      <w:r w:rsidR="003B2B2A">
        <w:rPr>
          <w:rFonts w:asciiTheme="minorHAnsi" w:hAnsiTheme="minorHAnsi" w:cstheme="minorHAnsi"/>
          <w:sz w:val="24"/>
          <w:szCs w:val="24"/>
        </w:rPr>
        <w:t xml:space="preserve"> and the embedded references to gender responsiveness in all </w:t>
      </w:r>
      <w:r w:rsidR="00361D59">
        <w:rPr>
          <w:rFonts w:asciiTheme="minorHAnsi" w:hAnsiTheme="minorHAnsi" w:cstheme="minorHAnsi"/>
          <w:sz w:val="24"/>
          <w:szCs w:val="24"/>
        </w:rPr>
        <w:t>subprograms</w:t>
      </w:r>
      <w:r w:rsidR="007540AD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037F4A1" w14:textId="39B893DD" w:rsidR="000C56E8" w:rsidRDefault="00361D59" w:rsidP="00F829DE">
      <w:pPr>
        <w:pStyle w:val="ListParagraph"/>
        <w:numPr>
          <w:ilvl w:val="0"/>
          <w:numId w:val="1"/>
        </w:numPr>
        <w:tabs>
          <w:tab w:val="left" w:pos="1036"/>
        </w:tabs>
        <w:ind w:left="851" w:right="71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 the PoW/B </w:t>
      </w:r>
      <w:r w:rsidR="004624A0">
        <w:rPr>
          <w:rFonts w:asciiTheme="minorHAnsi" w:hAnsiTheme="minorHAnsi" w:cstheme="minorHAnsi"/>
          <w:sz w:val="24"/>
          <w:szCs w:val="24"/>
        </w:rPr>
        <w:t>the EU and its Member States</w:t>
      </w:r>
      <w:r>
        <w:rPr>
          <w:rFonts w:asciiTheme="minorHAnsi" w:hAnsiTheme="minorHAnsi" w:cstheme="minorHAnsi"/>
          <w:sz w:val="24"/>
          <w:szCs w:val="24"/>
        </w:rPr>
        <w:t xml:space="preserve"> welcome the insertion of indicators </w:t>
      </w:r>
      <w:r w:rsidR="004E2FAE">
        <w:rPr>
          <w:rFonts w:asciiTheme="minorHAnsi" w:hAnsiTheme="minorHAnsi" w:cstheme="minorHAnsi"/>
          <w:sz w:val="24"/>
          <w:szCs w:val="24"/>
        </w:rPr>
        <w:t>in the subprograms, which take account of</w:t>
      </w:r>
      <w:r>
        <w:rPr>
          <w:rFonts w:asciiTheme="minorHAnsi" w:hAnsiTheme="minorHAnsi" w:cstheme="minorHAnsi"/>
          <w:sz w:val="24"/>
          <w:szCs w:val="24"/>
        </w:rPr>
        <w:t xml:space="preserve"> sustainable consumption patterns, the insertion of an introductory paragraph on page 14, noting the link between the Theory of Change and the single indicators of the performance indicator framework. </w:t>
      </w:r>
      <w:r w:rsidR="004E2FAE">
        <w:rPr>
          <w:rFonts w:asciiTheme="minorHAnsi" w:hAnsiTheme="minorHAnsi" w:cstheme="minorHAnsi"/>
          <w:sz w:val="24"/>
          <w:szCs w:val="24"/>
        </w:rPr>
        <w:t xml:space="preserve">Most notably, we </w:t>
      </w:r>
      <w:r w:rsidR="00C90E0D">
        <w:rPr>
          <w:rFonts w:asciiTheme="minorHAnsi" w:hAnsiTheme="minorHAnsi" w:cstheme="minorHAnsi"/>
          <w:sz w:val="24"/>
          <w:szCs w:val="24"/>
        </w:rPr>
        <w:t xml:space="preserve">very much </w:t>
      </w:r>
      <w:r w:rsidR="004E2FAE">
        <w:rPr>
          <w:rFonts w:asciiTheme="minorHAnsi" w:hAnsiTheme="minorHAnsi" w:cstheme="minorHAnsi"/>
          <w:sz w:val="24"/>
          <w:szCs w:val="24"/>
        </w:rPr>
        <w:t xml:space="preserve">appreciate the insertion of the two columns highlighting how the different indicators are connected to the “2025 outcomes” and the “direct outcomes”. </w:t>
      </w:r>
      <w:r w:rsidR="00C90E0D">
        <w:rPr>
          <w:rFonts w:asciiTheme="minorHAnsi" w:hAnsiTheme="minorHAnsi" w:cstheme="minorHAnsi"/>
          <w:sz w:val="24"/>
          <w:szCs w:val="24"/>
        </w:rPr>
        <w:t xml:space="preserve">In the view of the </w:t>
      </w:r>
      <w:r w:rsidR="005270EF">
        <w:rPr>
          <w:rFonts w:asciiTheme="minorHAnsi" w:hAnsiTheme="minorHAnsi" w:cstheme="minorHAnsi"/>
          <w:sz w:val="24"/>
          <w:szCs w:val="24"/>
        </w:rPr>
        <w:t>EU and its Member States</w:t>
      </w:r>
      <w:r w:rsidR="00C90E0D">
        <w:rPr>
          <w:rFonts w:asciiTheme="minorHAnsi" w:hAnsiTheme="minorHAnsi" w:cstheme="minorHAnsi"/>
          <w:sz w:val="24"/>
          <w:szCs w:val="24"/>
        </w:rPr>
        <w:t>, t</w:t>
      </w:r>
      <w:r w:rsidR="004E2FAE">
        <w:rPr>
          <w:rFonts w:asciiTheme="minorHAnsi" w:hAnsiTheme="minorHAnsi" w:cstheme="minorHAnsi"/>
          <w:sz w:val="24"/>
          <w:szCs w:val="24"/>
        </w:rPr>
        <w:t xml:space="preserve">his better illustrates the connection between the Theory of Change and the performance indicator framework. Furthermore, we positively noted the </w:t>
      </w:r>
      <w:r w:rsidR="00776E6B">
        <w:rPr>
          <w:rFonts w:asciiTheme="minorHAnsi" w:hAnsiTheme="minorHAnsi" w:cstheme="minorHAnsi"/>
          <w:sz w:val="24"/>
          <w:szCs w:val="24"/>
        </w:rPr>
        <w:t xml:space="preserve">standard </w:t>
      </w:r>
      <w:r w:rsidR="004E2FAE">
        <w:rPr>
          <w:rFonts w:asciiTheme="minorHAnsi" w:hAnsiTheme="minorHAnsi" w:cstheme="minorHAnsi"/>
          <w:sz w:val="24"/>
          <w:szCs w:val="24"/>
        </w:rPr>
        <w:t xml:space="preserve">inclusion of a reference in the indicators, highlighting that the ultimate goal is to measure the impacts of UNEP and not of other agencies/donors performing similar activities. </w:t>
      </w:r>
    </w:p>
    <w:p w14:paraId="7DB06E85" w14:textId="6E610756" w:rsidR="00211D43" w:rsidRDefault="00C90E0D" w:rsidP="00F829DE">
      <w:pPr>
        <w:pStyle w:val="ListParagraph"/>
        <w:numPr>
          <w:ilvl w:val="0"/>
          <w:numId w:val="1"/>
        </w:numPr>
        <w:tabs>
          <w:tab w:val="left" w:pos="1036"/>
        </w:tabs>
        <w:ind w:left="851" w:right="71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4E2FAE" w:rsidRPr="004E2FAE">
        <w:rPr>
          <w:rFonts w:asciiTheme="minorHAnsi" w:hAnsiTheme="minorHAnsi" w:cstheme="minorHAnsi"/>
          <w:sz w:val="24"/>
          <w:szCs w:val="24"/>
        </w:rPr>
        <w:t xml:space="preserve">ot all </w:t>
      </w:r>
      <w:r w:rsidR="004624A0">
        <w:rPr>
          <w:rFonts w:asciiTheme="minorHAnsi" w:hAnsiTheme="minorHAnsi" w:cstheme="minorHAnsi"/>
          <w:sz w:val="24"/>
          <w:szCs w:val="24"/>
        </w:rPr>
        <w:t>our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624A0">
        <w:rPr>
          <w:rFonts w:asciiTheme="minorHAnsi" w:hAnsiTheme="minorHAnsi" w:cstheme="minorHAnsi"/>
          <w:sz w:val="24"/>
          <w:szCs w:val="24"/>
        </w:rPr>
        <w:t xml:space="preserve">comments </w:t>
      </w:r>
      <w:r w:rsidR="005270EF">
        <w:rPr>
          <w:rFonts w:asciiTheme="minorHAnsi" w:hAnsiTheme="minorHAnsi" w:cstheme="minorHAnsi"/>
          <w:sz w:val="24"/>
          <w:szCs w:val="24"/>
        </w:rPr>
        <w:t>have been</w:t>
      </w:r>
      <w:r w:rsidR="004E2FAE">
        <w:rPr>
          <w:rFonts w:asciiTheme="minorHAnsi" w:hAnsiTheme="minorHAnsi" w:cstheme="minorHAnsi"/>
          <w:sz w:val="24"/>
          <w:szCs w:val="24"/>
        </w:rPr>
        <w:t xml:space="preserve"> included</w:t>
      </w:r>
      <w:r w:rsidR="004E2FAE" w:rsidRPr="004E2FAE">
        <w:rPr>
          <w:rFonts w:asciiTheme="minorHAnsi" w:hAnsiTheme="minorHAnsi" w:cstheme="minorHAnsi"/>
          <w:sz w:val="24"/>
          <w:szCs w:val="24"/>
        </w:rPr>
        <w:t xml:space="preserve"> </w:t>
      </w:r>
      <w:r w:rsidR="004E2FAE">
        <w:rPr>
          <w:rFonts w:asciiTheme="minorHAnsi" w:hAnsiTheme="minorHAnsi" w:cstheme="minorHAnsi"/>
          <w:sz w:val="24"/>
          <w:szCs w:val="24"/>
        </w:rPr>
        <w:t>in the revis</w:t>
      </w:r>
      <w:r>
        <w:rPr>
          <w:rFonts w:asciiTheme="minorHAnsi" w:hAnsiTheme="minorHAnsi" w:cstheme="minorHAnsi"/>
          <w:sz w:val="24"/>
          <w:szCs w:val="24"/>
        </w:rPr>
        <w:t>ed version</w:t>
      </w:r>
      <w:r w:rsidR="00F65F8F">
        <w:rPr>
          <w:rFonts w:asciiTheme="minorHAnsi" w:hAnsiTheme="minorHAnsi" w:cstheme="minorHAnsi"/>
          <w:sz w:val="24"/>
          <w:szCs w:val="24"/>
        </w:rPr>
        <w:t>s</w:t>
      </w:r>
      <w:r w:rsidR="004E2FAE">
        <w:rPr>
          <w:rFonts w:asciiTheme="minorHAnsi" w:hAnsiTheme="minorHAnsi" w:cstheme="minorHAnsi"/>
          <w:sz w:val="24"/>
          <w:szCs w:val="24"/>
        </w:rPr>
        <w:t xml:space="preserve"> of</w:t>
      </w:r>
      <w:r w:rsidR="004E2FAE" w:rsidRPr="004E2FAE">
        <w:rPr>
          <w:rFonts w:asciiTheme="minorHAnsi" w:hAnsiTheme="minorHAnsi" w:cstheme="minorHAnsi"/>
          <w:sz w:val="24"/>
          <w:szCs w:val="24"/>
        </w:rPr>
        <w:t xml:space="preserve"> the MTS and PoW/B. However, </w:t>
      </w:r>
      <w:r w:rsidR="004E2FAE">
        <w:rPr>
          <w:rFonts w:asciiTheme="minorHAnsi" w:hAnsiTheme="minorHAnsi" w:cstheme="minorHAnsi"/>
          <w:sz w:val="24"/>
          <w:szCs w:val="24"/>
        </w:rPr>
        <w:t>i</w:t>
      </w:r>
      <w:r w:rsidR="007540AD" w:rsidRPr="004E2FAE">
        <w:rPr>
          <w:rFonts w:asciiTheme="minorHAnsi" w:hAnsiTheme="minorHAnsi" w:cstheme="minorHAnsi"/>
          <w:sz w:val="24"/>
          <w:szCs w:val="24"/>
        </w:rPr>
        <w:t xml:space="preserve">n view of the fact that </w:t>
      </w:r>
      <w:r>
        <w:rPr>
          <w:rFonts w:asciiTheme="minorHAnsi" w:hAnsiTheme="minorHAnsi" w:cstheme="minorHAnsi"/>
          <w:sz w:val="24"/>
          <w:szCs w:val="24"/>
        </w:rPr>
        <w:t>we</w:t>
      </w:r>
      <w:r w:rsidR="004E2FAE">
        <w:rPr>
          <w:rFonts w:asciiTheme="minorHAnsi" w:hAnsiTheme="minorHAnsi" w:cstheme="minorHAnsi"/>
          <w:sz w:val="24"/>
          <w:szCs w:val="24"/>
        </w:rPr>
        <w:t xml:space="preserve"> see </w:t>
      </w:r>
      <w:r w:rsidR="009B2BE3">
        <w:rPr>
          <w:rFonts w:asciiTheme="minorHAnsi" w:hAnsiTheme="minorHAnsi" w:cstheme="minorHAnsi"/>
          <w:sz w:val="24"/>
          <w:szCs w:val="24"/>
        </w:rPr>
        <w:t>the</w:t>
      </w:r>
      <w:bookmarkStart w:id="0" w:name="_GoBack"/>
      <w:bookmarkEnd w:id="0"/>
      <w:r w:rsidR="004E2FAE">
        <w:rPr>
          <w:rFonts w:asciiTheme="minorHAnsi" w:hAnsiTheme="minorHAnsi" w:cstheme="minorHAnsi"/>
          <w:sz w:val="24"/>
          <w:szCs w:val="24"/>
        </w:rPr>
        <w:t xml:space="preserve"> ma</w:t>
      </w:r>
      <w:r w:rsidR="00F65F8F">
        <w:rPr>
          <w:rFonts w:asciiTheme="minorHAnsi" w:hAnsiTheme="minorHAnsi" w:cstheme="minorHAnsi"/>
          <w:sz w:val="24"/>
          <w:szCs w:val="24"/>
        </w:rPr>
        <w:t>in</w:t>
      </w:r>
      <w:r w:rsidR="004E2FAE">
        <w:rPr>
          <w:rFonts w:asciiTheme="minorHAnsi" w:hAnsiTheme="minorHAnsi" w:cstheme="minorHAnsi"/>
          <w:sz w:val="24"/>
          <w:szCs w:val="24"/>
        </w:rPr>
        <w:t xml:space="preserve"> priorities mirrored in the new versions and </w:t>
      </w:r>
      <w:r w:rsidR="00150B26">
        <w:rPr>
          <w:rFonts w:asciiTheme="minorHAnsi" w:hAnsiTheme="minorHAnsi" w:cstheme="minorHAnsi"/>
          <w:sz w:val="24"/>
          <w:szCs w:val="24"/>
        </w:rPr>
        <w:t xml:space="preserve">that the </w:t>
      </w:r>
      <w:r w:rsidR="007540AD" w:rsidRPr="004E2FAE">
        <w:rPr>
          <w:rFonts w:asciiTheme="minorHAnsi" w:hAnsiTheme="minorHAnsi" w:cstheme="minorHAnsi"/>
          <w:sz w:val="24"/>
          <w:szCs w:val="24"/>
        </w:rPr>
        <w:t xml:space="preserve">relevant documents need to be submitted 6 weeks </w:t>
      </w:r>
      <w:r w:rsidR="00150B26">
        <w:rPr>
          <w:rFonts w:asciiTheme="minorHAnsi" w:hAnsiTheme="minorHAnsi" w:cstheme="minorHAnsi"/>
          <w:sz w:val="24"/>
          <w:szCs w:val="24"/>
        </w:rPr>
        <w:t>prior to</w:t>
      </w:r>
      <w:r w:rsidR="007540AD" w:rsidRPr="004E2FAE">
        <w:rPr>
          <w:rFonts w:asciiTheme="minorHAnsi" w:hAnsiTheme="minorHAnsi" w:cstheme="minorHAnsi"/>
          <w:sz w:val="24"/>
          <w:szCs w:val="24"/>
        </w:rPr>
        <w:t xml:space="preserve"> the OECPR to undergo editing and translation, the EU</w:t>
      </w:r>
      <w:r w:rsidR="005270EF">
        <w:rPr>
          <w:rFonts w:asciiTheme="minorHAnsi" w:hAnsiTheme="minorHAnsi" w:cstheme="minorHAnsi"/>
          <w:sz w:val="24"/>
          <w:szCs w:val="24"/>
        </w:rPr>
        <w:t xml:space="preserve"> and its Member States</w:t>
      </w:r>
      <w:r w:rsidR="007540AD" w:rsidRPr="004E2FAE">
        <w:rPr>
          <w:rFonts w:asciiTheme="minorHAnsi" w:hAnsiTheme="minorHAnsi" w:cstheme="minorHAnsi"/>
          <w:sz w:val="24"/>
          <w:szCs w:val="24"/>
        </w:rPr>
        <w:t xml:space="preserve"> support the endorsement of these documents.</w:t>
      </w:r>
    </w:p>
    <w:p w14:paraId="37C991A4" w14:textId="275DDE67" w:rsidR="005270EF" w:rsidRPr="004E2FAE" w:rsidRDefault="005270EF" w:rsidP="00F829DE">
      <w:pPr>
        <w:pStyle w:val="ListParagraph"/>
        <w:numPr>
          <w:ilvl w:val="0"/>
          <w:numId w:val="1"/>
        </w:numPr>
        <w:tabs>
          <w:tab w:val="left" w:pos="1036"/>
        </w:tabs>
        <w:ind w:left="851" w:right="71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On a last note</w:t>
      </w:r>
      <w:r w:rsidR="001E7BB9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the EU and its Member States wish to highlight</w:t>
      </w:r>
      <w:r w:rsidR="001E7BB9">
        <w:rPr>
          <w:rFonts w:asciiTheme="minorHAnsi" w:hAnsiTheme="minorHAnsi" w:cstheme="minorHAnsi"/>
          <w:sz w:val="24"/>
          <w:szCs w:val="24"/>
        </w:rPr>
        <w:t xml:space="preserve"> that </w:t>
      </w:r>
      <w:r>
        <w:rPr>
          <w:rFonts w:asciiTheme="minorHAnsi" w:hAnsiTheme="minorHAnsi" w:cstheme="minorHAnsi"/>
          <w:sz w:val="24"/>
          <w:szCs w:val="24"/>
        </w:rPr>
        <w:t xml:space="preserve">with respect to the integration of the work conducted </w:t>
      </w:r>
      <w:r w:rsidR="00F31A85">
        <w:rPr>
          <w:rFonts w:asciiTheme="minorHAnsi" w:hAnsiTheme="minorHAnsi" w:cstheme="minorHAnsi"/>
          <w:sz w:val="24"/>
          <w:szCs w:val="24"/>
        </w:rPr>
        <w:t xml:space="preserve">under the current </w:t>
      </w:r>
      <w:r w:rsidR="00F31A85">
        <w:rPr>
          <w:rFonts w:asciiTheme="minorHAnsi" w:hAnsiTheme="minorHAnsi" w:cstheme="minorHAnsi"/>
          <w:sz w:val="24"/>
          <w:szCs w:val="24"/>
        </w:rPr>
        <w:lastRenderedPageBreak/>
        <w:t>subprogram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E7BB9">
        <w:rPr>
          <w:rFonts w:asciiTheme="minorHAnsi" w:hAnsiTheme="minorHAnsi" w:cstheme="minorHAnsi"/>
          <w:sz w:val="24"/>
          <w:szCs w:val="24"/>
        </w:rPr>
        <w:t xml:space="preserve">on disasters and </w:t>
      </w:r>
      <w:r w:rsidR="006D5FD3">
        <w:rPr>
          <w:rFonts w:asciiTheme="minorHAnsi" w:hAnsiTheme="minorHAnsi" w:cstheme="minorHAnsi"/>
          <w:sz w:val="24"/>
          <w:szCs w:val="24"/>
        </w:rPr>
        <w:t>risks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31A85">
        <w:rPr>
          <w:rFonts w:asciiTheme="minorHAnsi" w:hAnsiTheme="minorHAnsi" w:cstheme="minorHAnsi"/>
          <w:sz w:val="24"/>
          <w:szCs w:val="24"/>
        </w:rPr>
        <w:t>across the new subprogram</w:t>
      </w:r>
      <w:r w:rsidR="001E7BB9">
        <w:rPr>
          <w:rFonts w:asciiTheme="minorHAnsi" w:hAnsiTheme="minorHAnsi" w:cstheme="minorHAnsi"/>
          <w:sz w:val="24"/>
          <w:szCs w:val="24"/>
        </w:rPr>
        <w:t xml:space="preserve"> structure, it is important to ensure continuity in the work of UNEP and across the current and the future PoW/B. The impact of the excellent work so far should be safeguarded and further work on this issue meaningfully contribute to </w:t>
      </w:r>
      <w:r w:rsidR="00F31A85">
        <w:rPr>
          <w:rFonts w:asciiTheme="minorHAnsi" w:hAnsiTheme="minorHAnsi" w:cstheme="minorHAnsi"/>
          <w:sz w:val="24"/>
          <w:szCs w:val="24"/>
        </w:rPr>
        <w:t>the delivery of the subprogram</w:t>
      </w:r>
      <w:r w:rsidR="001E7BB9">
        <w:rPr>
          <w:rFonts w:asciiTheme="minorHAnsi" w:hAnsiTheme="minorHAnsi" w:cstheme="minorHAnsi"/>
          <w:sz w:val="24"/>
          <w:szCs w:val="24"/>
        </w:rPr>
        <w:t xml:space="preserve">s it is being integrated into. </w:t>
      </w:r>
    </w:p>
    <w:p w14:paraId="748CE0B2" w14:textId="77777777" w:rsidR="00211D43" w:rsidRPr="009C5CC3" w:rsidRDefault="00211D43" w:rsidP="00F829DE">
      <w:pPr>
        <w:pStyle w:val="BodyText"/>
        <w:ind w:right="712"/>
        <w:rPr>
          <w:rFonts w:asciiTheme="minorHAnsi" w:hAnsiTheme="minorHAnsi" w:cstheme="minorHAnsi"/>
        </w:rPr>
      </w:pPr>
    </w:p>
    <w:p w14:paraId="5B9508F8" w14:textId="77777777" w:rsidR="00211D43" w:rsidRPr="009C5CC3" w:rsidRDefault="009E1090">
      <w:pPr>
        <w:pStyle w:val="BodyText"/>
        <w:spacing w:before="9"/>
        <w:rPr>
          <w:rFonts w:asciiTheme="minorHAnsi" w:hAnsiTheme="minorHAnsi" w:cstheme="minorHAnsi"/>
        </w:rPr>
      </w:pPr>
      <w:r w:rsidRPr="009C5CC3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F85F91E" wp14:editId="51B2EABC">
                <wp:simplePos x="0" y="0"/>
                <wp:positionH relativeFrom="page">
                  <wp:posOffset>3095625</wp:posOffset>
                </wp:positionH>
                <wp:positionV relativeFrom="paragraph">
                  <wp:posOffset>229235</wp:posOffset>
                </wp:positionV>
                <wp:extent cx="136779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7790" cy="1270"/>
                        </a:xfrm>
                        <a:custGeom>
                          <a:avLst/>
                          <a:gdLst>
                            <a:gd name="T0" fmla="+- 0 4875 4875"/>
                            <a:gd name="T1" fmla="*/ T0 w 2154"/>
                            <a:gd name="T2" fmla="+- 0 7028 4875"/>
                            <a:gd name="T3" fmla="*/ T2 w 21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54">
                              <a:moveTo>
                                <a:pt x="0" y="0"/>
                              </a:moveTo>
                              <a:lnTo>
                                <a:pt x="2153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057AA" id="Freeform 2" o:spid="_x0000_s1026" style="position:absolute;margin-left:243.75pt;margin-top:18.05pt;width:107.7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" path="m,l2153,e" filled="f" strokeweight=".27489mm">
                <v:path arrowok="t" o:connecttype="custom" o:connectlocs="0,0;1367155,0" o:connectangles="0,0"/>
                <w10:wrap type="topAndBottom" anchorx="page"/>
              </v:shape>
            </w:pict>
          </mc:Fallback>
        </mc:AlternateContent>
      </w:r>
    </w:p>
    <w:sectPr w:rsidR="00211D43" w:rsidRPr="009C5CC3" w:rsidSect="00434D36">
      <w:pgSz w:w="11910" w:h="16840"/>
      <w:pgMar w:top="1417" w:right="1417" w:bottom="1134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19EA0" w14:textId="77777777" w:rsidR="000E6FA0" w:rsidRDefault="000E6FA0" w:rsidP="00BF1A43">
      <w:r>
        <w:separator/>
      </w:r>
    </w:p>
  </w:endnote>
  <w:endnote w:type="continuationSeparator" w:id="0">
    <w:p w14:paraId="471AEEEE" w14:textId="77777777" w:rsidR="000E6FA0" w:rsidRDefault="000E6FA0" w:rsidP="00BF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Arial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B2144" w14:textId="77777777" w:rsidR="000E6FA0" w:rsidRDefault="000E6FA0" w:rsidP="00BF1A43">
      <w:r>
        <w:separator/>
      </w:r>
    </w:p>
  </w:footnote>
  <w:footnote w:type="continuationSeparator" w:id="0">
    <w:p w14:paraId="795AC23C" w14:textId="77777777" w:rsidR="000E6FA0" w:rsidRDefault="000E6FA0" w:rsidP="00BF1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B3C04"/>
    <w:multiLevelType w:val="hybridMultilevel"/>
    <w:tmpl w:val="6B0E583C"/>
    <w:lvl w:ilvl="0" w:tplc="5C581C32">
      <w:numFmt w:val="bullet"/>
      <w:lvlText w:val="-"/>
      <w:lvlJc w:val="left"/>
      <w:pPr>
        <w:ind w:left="928" w:hanging="360"/>
      </w:pPr>
      <w:rPr>
        <w:rFonts w:ascii="Carlito" w:eastAsia="Carlito" w:hAnsi="Carlito" w:cs="Carlito" w:hint="default"/>
        <w:spacing w:val="-15"/>
        <w:w w:val="97"/>
        <w:sz w:val="24"/>
        <w:szCs w:val="24"/>
        <w:lang w:val="en-US" w:eastAsia="en-US" w:bidi="ar-SA"/>
      </w:rPr>
    </w:lvl>
    <w:lvl w:ilvl="1" w:tplc="00C0067A">
      <w:numFmt w:val="bullet"/>
      <w:lvlText w:val="o"/>
      <w:lvlJc w:val="left"/>
      <w:pPr>
        <w:ind w:left="1637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2" w:tplc="EA94BB16">
      <w:numFmt w:val="bullet"/>
      <w:lvlText w:val="•"/>
      <w:lvlJc w:val="left"/>
      <w:pPr>
        <w:ind w:left="3042" w:hanging="360"/>
      </w:pPr>
      <w:rPr>
        <w:rFonts w:hint="default"/>
        <w:lang w:val="en-US" w:eastAsia="en-US" w:bidi="ar-SA"/>
      </w:rPr>
    </w:lvl>
    <w:lvl w:ilvl="3" w:tplc="EC76FF78">
      <w:numFmt w:val="bullet"/>
      <w:lvlText w:val="•"/>
      <w:lvlJc w:val="left"/>
      <w:pPr>
        <w:ind w:left="3965" w:hanging="360"/>
      </w:pPr>
      <w:rPr>
        <w:rFonts w:hint="default"/>
        <w:lang w:val="en-US" w:eastAsia="en-US" w:bidi="ar-SA"/>
      </w:rPr>
    </w:lvl>
    <w:lvl w:ilvl="4" w:tplc="4B36E76C">
      <w:numFmt w:val="bullet"/>
      <w:lvlText w:val="•"/>
      <w:lvlJc w:val="left"/>
      <w:pPr>
        <w:ind w:left="4888" w:hanging="360"/>
      </w:pPr>
      <w:rPr>
        <w:rFonts w:hint="default"/>
        <w:lang w:val="en-US" w:eastAsia="en-US" w:bidi="ar-SA"/>
      </w:rPr>
    </w:lvl>
    <w:lvl w:ilvl="5" w:tplc="AE36DF6C">
      <w:numFmt w:val="bullet"/>
      <w:lvlText w:val="•"/>
      <w:lvlJc w:val="left"/>
      <w:pPr>
        <w:ind w:left="5811" w:hanging="360"/>
      </w:pPr>
      <w:rPr>
        <w:rFonts w:hint="default"/>
        <w:lang w:val="en-US" w:eastAsia="en-US" w:bidi="ar-SA"/>
      </w:rPr>
    </w:lvl>
    <w:lvl w:ilvl="6" w:tplc="BDEED2C4">
      <w:numFmt w:val="bullet"/>
      <w:lvlText w:val="•"/>
      <w:lvlJc w:val="left"/>
      <w:pPr>
        <w:ind w:left="6734" w:hanging="360"/>
      </w:pPr>
      <w:rPr>
        <w:rFonts w:hint="default"/>
        <w:lang w:val="en-US" w:eastAsia="en-US" w:bidi="ar-SA"/>
      </w:rPr>
    </w:lvl>
    <w:lvl w:ilvl="7" w:tplc="590C94AE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  <w:lvl w:ilvl="8" w:tplc="6780174E">
      <w:numFmt w:val="bullet"/>
      <w:lvlText w:val="•"/>
      <w:lvlJc w:val="left"/>
      <w:pPr>
        <w:ind w:left="857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67F2D1E"/>
    <w:multiLevelType w:val="hybridMultilevel"/>
    <w:tmpl w:val="29727B72"/>
    <w:lvl w:ilvl="0" w:tplc="61D4730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spacing w:val="-21"/>
        <w:w w:val="97"/>
        <w:sz w:val="24"/>
        <w:szCs w:val="24"/>
        <w:lang w:val="en-US" w:eastAsia="en-US" w:bidi="ar-SA"/>
      </w:rPr>
    </w:lvl>
    <w:lvl w:ilvl="1" w:tplc="8B1C27D6"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2" w:tplc="A24CBA4A">
      <w:numFmt w:val="bullet"/>
      <w:lvlText w:val=""/>
      <w:lvlJc w:val="left"/>
      <w:pPr>
        <w:ind w:left="2236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3" w:tplc="2836281A">
      <w:numFmt w:val="bullet"/>
      <w:lvlText w:val="•"/>
      <w:lvlJc w:val="left"/>
      <w:pPr>
        <w:ind w:left="2180" w:hanging="360"/>
      </w:pPr>
      <w:rPr>
        <w:rFonts w:hint="default"/>
        <w:lang w:val="en-US" w:eastAsia="en-US" w:bidi="ar-SA"/>
      </w:rPr>
    </w:lvl>
    <w:lvl w:ilvl="4" w:tplc="C0BC6280">
      <w:numFmt w:val="bullet"/>
      <w:lvlText w:val="•"/>
      <w:lvlJc w:val="left"/>
      <w:pPr>
        <w:ind w:left="2240" w:hanging="360"/>
      </w:pPr>
      <w:rPr>
        <w:rFonts w:hint="default"/>
        <w:lang w:val="en-US" w:eastAsia="en-US" w:bidi="ar-SA"/>
      </w:rPr>
    </w:lvl>
    <w:lvl w:ilvl="5" w:tplc="49940660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6" w:tplc="E94245E4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7" w:tplc="9B2EA350">
      <w:numFmt w:val="bullet"/>
      <w:lvlText w:val="•"/>
      <w:lvlJc w:val="left"/>
      <w:pPr>
        <w:ind w:left="6332" w:hanging="360"/>
      </w:pPr>
      <w:rPr>
        <w:rFonts w:hint="default"/>
        <w:lang w:val="en-US" w:eastAsia="en-US" w:bidi="ar-SA"/>
      </w:rPr>
    </w:lvl>
    <w:lvl w:ilvl="8" w:tplc="BBCABD08">
      <w:numFmt w:val="bullet"/>
      <w:lvlText w:val="•"/>
      <w:lvlJc w:val="left"/>
      <w:pPr>
        <w:ind w:left="7697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W_DocType" w:val="Normal"/>
    <w:docVar w:name="LW_DocType" w:val="NORMAL"/>
  </w:docVars>
  <w:rsids>
    <w:rsidRoot w:val="00211D43"/>
    <w:rsid w:val="00066956"/>
    <w:rsid w:val="000A6517"/>
    <w:rsid w:val="000C56E8"/>
    <w:rsid w:val="000E6FA0"/>
    <w:rsid w:val="00150B26"/>
    <w:rsid w:val="001E7BB9"/>
    <w:rsid w:val="00211D43"/>
    <w:rsid w:val="002A211A"/>
    <w:rsid w:val="002D7317"/>
    <w:rsid w:val="002E7C8C"/>
    <w:rsid w:val="0034430D"/>
    <w:rsid w:val="00361D59"/>
    <w:rsid w:val="003B2B2A"/>
    <w:rsid w:val="00434D36"/>
    <w:rsid w:val="004624A0"/>
    <w:rsid w:val="004E2FAE"/>
    <w:rsid w:val="005270EF"/>
    <w:rsid w:val="005E37B4"/>
    <w:rsid w:val="006320CF"/>
    <w:rsid w:val="006A217C"/>
    <w:rsid w:val="006D5FD3"/>
    <w:rsid w:val="007540AD"/>
    <w:rsid w:val="00776E6B"/>
    <w:rsid w:val="007B0242"/>
    <w:rsid w:val="00930549"/>
    <w:rsid w:val="00984E0C"/>
    <w:rsid w:val="009B2BE3"/>
    <w:rsid w:val="009C5CC3"/>
    <w:rsid w:val="009E1090"/>
    <w:rsid w:val="00A8758D"/>
    <w:rsid w:val="00AA7BC6"/>
    <w:rsid w:val="00AE1F57"/>
    <w:rsid w:val="00B116CF"/>
    <w:rsid w:val="00BA616A"/>
    <w:rsid w:val="00BF0589"/>
    <w:rsid w:val="00BF1A43"/>
    <w:rsid w:val="00C34681"/>
    <w:rsid w:val="00C7228A"/>
    <w:rsid w:val="00C90911"/>
    <w:rsid w:val="00C90E0D"/>
    <w:rsid w:val="00CC1FA0"/>
    <w:rsid w:val="00E71B24"/>
    <w:rsid w:val="00ED5205"/>
    <w:rsid w:val="00F25E3A"/>
    <w:rsid w:val="00F31A85"/>
    <w:rsid w:val="00F65F8F"/>
    <w:rsid w:val="00F829DE"/>
    <w:rsid w:val="00FB3B89"/>
    <w:rsid w:val="00FC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2E075"/>
  <w15:docId w15:val="{374AB752-032B-4422-99EB-712E9F63C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1"/>
    <w:qFormat/>
    <w:pPr>
      <w:ind w:left="67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line="413" w:lineRule="exact"/>
      <w:ind w:left="11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139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434D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4D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4D36"/>
    <w:rPr>
      <w:rFonts w:ascii="Carlito" w:eastAsia="Carlito" w:hAnsi="Carlito" w:cs="Carli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D36"/>
    <w:rPr>
      <w:rFonts w:ascii="Carlito" w:eastAsia="Carlito" w:hAnsi="Carlito" w:cs="Carlito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D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D36"/>
    <w:rPr>
      <w:rFonts w:ascii="Segoe UI" w:eastAsia="Carlito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F1A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A43"/>
    <w:rPr>
      <w:rFonts w:ascii="Carlito" w:eastAsia="Carlito" w:hAnsi="Carlito" w:cs="Carlito"/>
    </w:rPr>
  </w:style>
  <w:style w:type="paragraph" w:styleId="Footer">
    <w:name w:val="footer"/>
    <w:basedOn w:val="Normal"/>
    <w:link w:val="FooterChar"/>
    <w:uiPriority w:val="99"/>
    <w:unhideWhenUsed/>
    <w:rsid w:val="00BF1A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A43"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2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2508</Characters>
  <Application>Microsoft Office Word</Application>
  <DocSecurity>0</DocSecurity>
  <Lines>54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BMU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Lola Renée</dc:creator>
  <cp:lastModifiedBy>GIL Sebastian (EEAS-NAIROBI)</cp:lastModifiedBy>
  <cp:revision>4</cp:revision>
  <dcterms:created xsi:type="dcterms:W3CDTF">2020-12-11T15:12:00Z</dcterms:created>
  <dcterms:modified xsi:type="dcterms:W3CDTF">2020-12-11T15:37:00Z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2020-11-18T00:00:00Z</vt:filetime>
  </property>
  <property fmtid="{D5CDD505-2E9C-101B-9397-08002B2CF9AE}" pid="3" name="Creator">
    <vt:lpwstr>Foxit Rendition Server 2.3.2.27</vt:lpwstr>
  </property>
  <property fmtid="{D5CDD505-2E9C-101B-9397-08002B2CF9AE}" pid="4" name="LastSaved">
    <vt:filetime>2020-11-29T00:00:00Z</vt:filetime>
  </property>
  <property fmtid="{D5CDD505-2E9C-101B-9397-08002B2CF9AE}" pid="5" name="ContentRemapped">
    <vt:lpwstr>true</vt:lpwstr>
  </property>
</Properties>
</file>