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560BD" w:rsidRPr="00812273" w14:paraId="5E95A7A8" w14:textId="77777777" w:rsidTr="00E93FE0">
        <w:trPr>
          <w:cantSplit/>
          <w:trHeight w:val="57"/>
          <w:jc w:val="right"/>
        </w:trPr>
        <w:tc>
          <w:tcPr>
            <w:tcW w:w="1519" w:type="dxa"/>
          </w:tcPr>
          <w:p w14:paraId="16FFD095" w14:textId="77777777" w:rsidR="00D560BD" w:rsidRPr="00812273" w:rsidRDefault="00D560BD" w:rsidP="00E93FE0">
            <w:pPr>
              <w:pStyle w:val="Normalpool"/>
              <w:rPr>
                <w:rFonts w:ascii="SimHei" w:eastAsia="SimHei" w:hAnsi="SimHei" w:cs="Arial"/>
                <w:b/>
                <w:bCs/>
                <w:noProof/>
                <w:snapToGrid w:val="0"/>
                <w:sz w:val="27"/>
                <w:szCs w:val="27"/>
              </w:rPr>
            </w:pPr>
            <w:r w:rsidRPr="00812273">
              <w:rPr>
                <w:rFonts w:ascii="SimHei" w:eastAsia="SimHei" w:hAnsi="SimHei" w:cs="Arial" w:hint="eastAsia"/>
                <w:b/>
                <w:bCs/>
                <w:noProof/>
                <w:snapToGrid w:val="0"/>
                <w:sz w:val="32"/>
                <w:szCs w:val="32"/>
                <w:lang w:eastAsia="zh-CN"/>
              </w:rPr>
              <w:t>联合国</w:t>
            </w:r>
          </w:p>
        </w:tc>
        <w:tc>
          <w:tcPr>
            <w:tcW w:w="5224" w:type="dxa"/>
          </w:tcPr>
          <w:p w14:paraId="6EF1901C" w14:textId="77777777" w:rsidR="00D560BD" w:rsidRPr="00812273" w:rsidRDefault="00D560BD" w:rsidP="00E93FE0">
            <w:pPr>
              <w:pStyle w:val="Normalpool"/>
              <w:rPr>
                <w:snapToGrid w:val="0"/>
              </w:rPr>
            </w:pPr>
          </w:p>
        </w:tc>
        <w:tc>
          <w:tcPr>
            <w:tcW w:w="2753" w:type="dxa"/>
          </w:tcPr>
          <w:p w14:paraId="443273EA" w14:textId="77777777" w:rsidR="00D560BD" w:rsidRPr="00812273" w:rsidRDefault="00D560BD" w:rsidP="00E93FE0">
            <w:pPr>
              <w:pStyle w:val="Normalpool"/>
              <w:jc w:val="right"/>
              <w:rPr>
                <w:rFonts w:ascii="Arial" w:hAnsi="Arial" w:cs="Arial"/>
                <w:b/>
                <w:bCs/>
                <w:snapToGrid w:val="0"/>
                <w:sz w:val="64"/>
                <w:szCs w:val="64"/>
              </w:rPr>
            </w:pPr>
            <w:r w:rsidRPr="00812273">
              <w:rPr>
                <w:rFonts w:ascii="Arial" w:hAnsi="Arial" w:cs="Arial"/>
                <w:b/>
                <w:bCs/>
                <w:snapToGrid w:val="0"/>
                <w:sz w:val="64"/>
                <w:szCs w:val="64"/>
              </w:rPr>
              <w:t>EP</w:t>
            </w:r>
          </w:p>
        </w:tc>
      </w:tr>
      <w:tr w:rsidR="00D560BD" w:rsidRPr="00812273" w14:paraId="0D4665AE" w14:textId="77777777" w:rsidTr="00E93FE0">
        <w:trPr>
          <w:cantSplit/>
          <w:trHeight w:val="57"/>
          <w:jc w:val="right"/>
        </w:trPr>
        <w:tc>
          <w:tcPr>
            <w:tcW w:w="1519" w:type="dxa"/>
            <w:tcBorders>
              <w:bottom w:val="single" w:sz="4" w:space="0" w:color="auto"/>
            </w:tcBorders>
          </w:tcPr>
          <w:p w14:paraId="2E4DB518" w14:textId="77777777" w:rsidR="00D560BD" w:rsidRPr="00812273" w:rsidRDefault="00D560BD" w:rsidP="00E93FE0">
            <w:pPr>
              <w:pStyle w:val="Normalpool"/>
              <w:rPr>
                <w:noProof/>
                <w:snapToGrid w:val="0"/>
              </w:rPr>
            </w:pPr>
          </w:p>
        </w:tc>
        <w:tc>
          <w:tcPr>
            <w:tcW w:w="5224" w:type="dxa"/>
            <w:tcBorders>
              <w:bottom w:val="single" w:sz="4" w:space="0" w:color="auto"/>
            </w:tcBorders>
          </w:tcPr>
          <w:p w14:paraId="7629241F" w14:textId="77777777" w:rsidR="00D560BD" w:rsidRPr="00812273" w:rsidRDefault="00D560BD" w:rsidP="00E93FE0">
            <w:pPr>
              <w:pStyle w:val="Normalpool"/>
              <w:rPr>
                <w:noProof/>
                <w:snapToGrid w:val="0"/>
                <w:sz w:val="18"/>
                <w:szCs w:val="18"/>
              </w:rPr>
            </w:pPr>
          </w:p>
        </w:tc>
        <w:tc>
          <w:tcPr>
            <w:tcW w:w="2753" w:type="dxa"/>
            <w:tcBorders>
              <w:bottom w:val="single" w:sz="4" w:space="0" w:color="auto"/>
            </w:tcBorders>
          </w:tcPr>
          <w:p w14:paraId="235BA144" w14:textId="695992D3" w:rsidR="00D560BD" w:rsidRPr="00812273" w:rsidRDefault="00D560BD" w:rsidP="00E93FE0">
            <w:pPr>
              <w:pStyle w:val="Normalpool"/>
              <w:rPr>
                <w:noProof/>
                <w:snapToGrid w:val="0"/>
                <w:sz w:val="18"/>
                <w:szCs w:val="18"/>
              </w:rPr>
            </w:pPr>
            <w:r w:rsidRPr="00812273">
              <w:rPr>
                <w:b/>
                <w:bCs/>
                <w:snapToGrid w:val="0"/>
                <w:sz w:val="28"/>
              </w:rPr>
              <w:t>UNEP</w:t>
            </w:r>
            <w:r w:rsidRPr="00812273">
              <w:rPr>
                <w:noProof/>
                <w:snapToGrid w:val="0"/>
              </w:rPr>
              <w:t>/EA.5/7</w:t>
            </w:r>
          </w:p>
        </w:tc>
      </w:tr>
      <w:tr w:rsidR="00D560BD" w:rsidRPr="00812273" w14:paraId="3A108E39" w14:textId="77777777" w:rsidTr="00E93FE0">
        <w:trPr>
          <w:cantSplit/>
          <w:trHeight w:val="57"/>
          <w:jc w:val="right"/>
        </w:trPr>
        <w:tc>
          <w:tcPr>
            <w:tcW w:w="1519" w:type="dxa"/>
            <w:tcBorders>
              <w:top w:val="single" w:sz="4" w:space="0" w:color="auto"/>
              <w:bottom w:val="single" w:sz="24" w:space="0" w:color="auto"/>
            </w:tcBorders>
          </w:tcPr>
          <w:p w14:paraId="60B76B9F" w14:textId="77777777" w:rsidR="00D560BD" w:rsidRPr="00812273" w:rsidRDefault="00D560BD" w:rsidP="00426F8D">
            <w:pPr>
              <w:pStyle w:val="Normalpool"/>
              <w:spacing w:after="40"/>
              <w:rPr>
                <w:noProof/>
                <w:snapToGrid w:val="0"/>
              </w:rPr>
            </w:pPr>
            <w:r w:rsidRPr="00812273">
              <w:rPr>
                <w:noProof/>
                <w:snapToGrid w:val="0"/>
              </w:rPr>
              <w:object w:dxaOrig="1831" w:dyaOrig="1726" w14:anchorId="77C9E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1.5pt" o:ole="" fillcolor="window">
                  <v:imagedata r:id="rId12" o:title=""/>
                </v:shape>
                <o:OLEObject Type="Embed" ProgID="Word.Picture.8" ShapeID="_x0000_i1025" DrawAspect="Content" ObjectID="_1670832097" r:id="rId13"/>
              </w:object>
            </w:r>
            <w:r w:rsidRPr="00812273">
              <w:rPr>
                <w:noProof/>
                <w:snapToGrid w:val="0"/>
                <w:lang w:val="en-US" w:eastAsia="zh-CN"/>
              </w:rPr>
              <w:drawing>
                <wp:inline distT="0" distB="0" distL="0" distR="0" wp14:anchorId="467694C5" wp14:editId="4E361F82">
                  <wp:extent cx="723900" cy="76200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77A8A16D" w14:textId="77777777" w:rsidR="00D560BD" w:rsidRPr="00812273" w:rsidRDefault="00D560BD" w:rsidP="00E93FE0">
            <w:pPr>
              <w:pStyle w:val="Normalpool"/>
              <w:spacing w:before="1400"/>
              <w:rPr>
                <w:rFonts w:ascii="SimHei" w:eastAsia="SimHei" w:hAnsi="SimHei" w:cs="Arial"/>
                <w:b/>
                <w:bCs/>
                <w:snapToGrid w:val="0"/>
                <w:sz w:val="32"/>
                <w:szCs w:val="32"/>
                <w:lang w:eastAsia="zh-CN"/>
              </w:rPr>
            </w:pPr>
            <w:r w:rsidRPr="00812273">
              <w:rPr>
                <w:rFonts w:ascii="SimHei" w:eastAsia="SimHei" w:hAnsi="SimHei" w:cs="Arial" w:hint="eastAsia"/>
                <w:b/>
                <w:bCs/>
                <w:snapToGrid w:val="0"/>
                <w:sz w:val="32"/>
                <w:szCs w:val="32"/>
                <w:lang w:eastAsia="zh-CN"/>
              </w:rPr>
              <w:t>联合国环境规划署</w:t>
            </w:r>
          </w:p>
          <w:p w14:paraId="1B45DDAB" w14:textId="77777777" w:rsidR="00D560BD" w:rsidRPr="00812273" w:rsidRDefault="00D560BD" w:rsidP="00E93FE0">
            <w:pPr>
              <w:pStyle w:val="Normalpool"/>
              <w:spacing w:after="120"/>
              <w:rPr>
                <w:rFonts w:ascii="Arial" w:hAnsi="Arial" w:cs="Arial"/>
                <w:b/>
                <w:bCs/>
                <w:snapToGrid w:val="0"/>
                <w:sz w:val="28"/>
                <w:szCs w:val="28"/>
                <w:lang w:eastAsia="zh-CN"/>
              </w:rPr>
            </w:pPr>
            <w:r w:rsidRPr="00812273">
              <w:rPr>
                <w:rFonts w:ascii="SimHei" w:eastAsia="SimHei" w:hAnsi="SimHei" w:cs="Arial" w:hint="eastAsia"/>
                <w:b/>
                <w:bCs/>
                <w:snapToGrid w:val="0"/>
                <w:sz w:val="32"/>
                <w:szCs w:val="32"/>
                <w:lang w:eastAsia="zh-CN"/>
              </w:rPr>
              <w:t>联合国环境大会</w:t>
            </w:r>
          </w:p>
        </w:tc>
        <w:tc>
          <w:tcPr>
            <w:tcW w:w="2753" w:type="dxa"/>
            <w:tcBorders>
              <w:top w:val="single" w:sz="4" w:space="0" w:color="auto"/>
              <w:bottom w:val="single" w:sz="24" w:space="0" w:color="auto"/>
            </w:tcBorders>
          </w:tcPr>
          <w:p w14:paraId="6255A164" w14:textId="5B80EE8B" w:rsidR="00D560BD" w:rsidRPr="00812273" w:rsidRDefault="00D560BD" w:rsidP="00E93FE0">
            <w:pPr>
              <w:pStyle w:val="Normalpool"/>
              <w:spacing w:before="120"/>
              <w:rPr>
                <w:snapToGrid w:val="0"/>
                <w:lang w:val="en-US"/>
              </w:rPr>
            </w:pPr>
            <w:r w:rsidRPr="00812273">
              <w:rPr>
                <w:snapToGrid w:val="0"/>
                <w:lang w:val="en-US"/>
              </w:rPr>
              <w:t xml:space="preserve">Distr.: General </w:t>
            </w:r>
            <w:r w:rsidRPr="00812273">
              <w:rPr>
                <w:snapToGrid w:val="0"/>
                <w:lang w:val="en-US"/>
              </w:rPr>
              <w:br/>
              <w:t>12 November 2020</w:t>
            </w:r>
          </w:p>
          <w:p w14:paraId="0A1D62FB" w14:textId="77777777" w:rsidR="00D560BD" w:rsidRPr="00812273" w:rsidRDefault="00D560BD" w:rsidP="00E93FE0">
            <w:pPr>
              <w:pStyle w:val="Normalpool"/>
              <w:rPr>
                <w:snapToGrid w:val="0"/>
                <w:lang w:val="en-US"/>
              </w:rPr>
            </w:pPr>
          </w:p>
          <w:p w14:paraId="246AEF02" w14:textId="77777777" w:rsidR="00D560BD" w:rsidRPr="00812273" w:rsidRDefault="00D560BD" w:rsidP="00E93FE0">
            <w:pPr>
              <w:pStyle w:val="Normalpool"/>
              <w:rPr>
                <w:snapToGrid w:val="0"/>
                <w:lang w:val="en-US"/>
              </w:rPr>
            </w:pPr>
            <w:r w:rsidRPr="00812273">
              <w:rPr>
                <w:rFonts w:hint="eastAsia"/>
                <w:snapToGrid w:val="0"/>
                <w:lang w:val="en-US" w:eastAsia="zh-CN"/>
              </w:rPr>
              <w:t>C</w:t>
            </w:r>
            <w:r w:rsidRPr="00812273">
              <w:rPr>
                <w:snapToGrid w:val="0"/>
                <w:lang w:val="en-US"/>
              </w:rPr>
              <w:t>hinese</w:t>
            </w:r>
          </w:p>
          <w:p w14:paraId="355FDF91" w14:textId="77777777" w:rsidR="00D560BD" w:rsidRPr="00812273" w:rsidRDefault="00D560BD" w:rsidP="00E93FE0">
            <w:pPr>
              <w:pStyle w:val="Normalpool"/>
              <w:rPr>
                <w:snapToGrid w:val="0"/>
                <w:lang w:val="en-US"/>
              </w:rPr>
            </w:pPr>
            <w:r w:rsidRPr="00812273">
              <w:rPr>
                <w:snapToGrid w:val="0"/>
                <w:lang w:val="en-US"/>
              </w:rPr>
              <w:t>Original: English</w:t>
            </w:r>
          </w:p>
        </w:tc>
      </w:tr>
    </w:tbl>
    <w:p w14:paraId="282D04AA" w14:textId="77777777" w:rsidR="00D560BD" w:rsidRPr="00812273" w:rsidRDefault="00D560BD" w:rsidP="00D560BD">
      <w:pPr>
        <w:pStyle w:val="AATitle"/>
        <w:rPr>
          <w:rFonts w:ascii="SimHei" w:eastAsia="SimHei" w:hAnsi="SimHei"/>
          <w:bCs/>
          <w:snapToGrid w:val="0"/>
          <w:sz w:val="24"/>
          <w:szCs w:val="24"/>
          <w:lang w:val="zh-CN" w:eastAsia="zh-CN"/>
        </w:rPr>
      </w:pPr>
      <w:r w:rsidRPr="00812273">
        <w:rPr>
          <w:rFonts w:ascii="SimHei" w:eastAsia="SimHei" w:hAnsi="SimHei"/>
          <w:bCs/>
          <w:snapToGrid w:val="0"/>
          <w:sz w:val="24"/>
          <w:szCs w:val="24"/>
          <w:lang w:val="zh-CN" w:eastAsia="zh-CN"/>
        </w:rPr>
        <w:t>联合国环境规划署</w:t>
      </w:r>
    </w:p>
    <w:p w14:paraId="6218AD12" w14:textId="77777777" w:rsidR="00D560BD" w:rsidRPr="00812273" w:rsidRDefault="00D560BD" w:rsidP="00D560BD">
      <w:pPr>
        <w:pStyle w:val="AATitle"/>
        <w:rPr>
          <w:rFonts w:ascii="SimHei" w:eastAsia="SimHei" w:hAnsi="SimHei"/>
          <w:snapToGrid w:val="0"/>
          <w:sz w:val="24"/>
          <w:szCs w:val="24"/>
          <w:lang w:eastAsia="zh-CN"/>
        </w:rPr>
      </w:pPr>
      <w:r w:rsidRPr="00812273">
        <w:rPr>
          <w:rFonts w:ascii="SimHei" w:eastAsia="SimHei" w:hAnsi="SimHei"/>
          <w:bCs/>
          <w:snapToGrid w:val="0"/>
          <w:sz w:val="24"/>
          <w:szCs w:val="24"/>
          <w:lang w:val="zh-CN" w:eastAsia="zh-CN"/>
        </w:rPr>
        <w:t>联合国环境大会</w:t>
      </w:r>
    </w:p>
    <w:p w14:paraId="67B47808" w14:textId="77777777" w:rsidR="00D560BD" w:rsidRPr="00812273" w:rsidRDefault="00D560BD" w:rsidP="00D560BD">
      <w:pPr>
        <w:pStyle w:val="AATitle"/>
        <w:rPr>
          <w:rFonts w:ascii="SimHei" w:eastAsia="SimHei" w:hAnsi="SimHei"/>
          <w:snapToGrid w:val="0"/>
          <w:sz w:val="24"/>
          <w:szCs w:val="24"/>
          <w:lang w:eastAsia="zh-CN"/>
        </w:rPr>
      </w:pPr>
      <w:r w:rsidRPr="00812273">
        <w:rPr>
          <w:rFonts w:ascii="SimHei" w:eastAsia="SimHei" w:hAnsi="SimHei"/>
          <w:bCs/>
          <w:snapToGrid w:val="0"/>
          <w:sz w:val="24"/>
          <w:szCs w:val="24"/>
          <w:lang w:val="zh-CN" w:eastAsia="zh-CN"/>
        </w:rPr>
        <w:t>第五届会议</w:t>
      </w:r>
    </w:p>
    <w:p w14:paraId="116DCBB6" w14:textId="31050FCB" w:rsidR="00D560BD" w:rsidRPr="00812273" w:rsidRDefault="00D560BD" w:rsidP="00D560BD">
      <w:pPr>
        <w:pStyle w:val="AATitle"/>
        <w:rPr>
          <w:b w:val="0"/>
          <w:bCs/>
          <w:snapToGrid w:val="0"/>
          <w:sz w:val="24"/>
          <w:szCs w:val="24"/>
          <w:lang w:eastAsia="zh-CN"/>
        </w:rPr>
      </w:pPr>
      <w:r w:rsidRPr="00812273">
        <w:rPr>
          <w:b w:val="0"/>
          <w:bCs/>
          <w:snapToGrid w:val="0"/>
          <w:sz w:val="24"/>
          <w:szCs w:val="24"/>
          <w:lang w:val="zh-CN" w:eastAsia="zh-CN"/>
        </w:rPr>
        <w:t>2021</w:t>
      </w:r>
      <w:r w:rsidRPr="00812273">
        <w:rPr>
          <w:b w:val="0"/>
          <w:bCs/>
          <w:snapToGrid w:val="0"/>
          <w:sz w:val="24"/>
          <w:szCs w:val="24"/>
          <w:lang w:val="zh-CN" w:eastAsia="zh-CN"/>
        </w:rPr>
        <w:t>年</w:t>
      </w:r>
      <w:r w:rsidRPr="00812273">
        <w:rPr>
          <w:b w:val="0"/>
          <w:bCs/>
          <w:snapToGrid w:val="0"/>
          <w:sz w:val="24"/>
          <w:szCs w:val="24"/>
          <w:lang w:val="zh-CN" w:eastAsia="zh-CN"/>
        </w:rPr>
        <w:t>2</w:t>
      </w:r>
      <w:r w:rsidRPr="00812273">
        <w:rPr>
          <w:b w:val="0"/>
          <w:bCs/>
          <w:snapToGrid w:val="0"/>
          <w:sz w:val="24"/>
          <w:szCs w:val="24"/>
          <w:lang w:val="zh-CN" w:eastAsia="zh-CN"/>
        </w:rPr>
        <w:t>月</w:t>
      </w:r>
      <w:r w:rsidRPr="00812273">
        <w:rPr>
          <w:b w:val="0"/>
          <w:bCs/>
          <w:snapToGrid w:val="0"/>
          <w:sz w:val="24"/>
          <w:szCs w:val="24"/>
          <w:lang w:val="zh-CN" w:eastAsia="zh-CN"/>
        </w:rPr>
        <w:t>22</w:t>
      </w:r>
      <w:r w:rsidRPr="00812273">
        <w:rPr>
          <w:b w:val="0"/>
          <w:bCs/>
          <w:snapToGrid w:val="0"/>
          <w:sz w:val="24"/>
          <w:szCs w:val="24"/>
          <w:lang w:val="zh-CN" w:eastAsia="zh-CN"/>
        </w:rPr>
        <w:t>日至</w:t>
      </w:r>
      <w:r w:rsidRPr="00812273">
        <w:rPr>
          <w:b w:val="0"/>
          <w:bCs/>
          <w:snapToGrid w:val="0"/>
          <w:sz w:val="24"/>
          <w:szCs w:val="24"/>
          <w:lang w:val="zh-CN" w:eastAsia="zh-CN"/>
        </w:rPr>
        <w:t>26</w:t>
      </w:r>
      <w:r w:rsidRPr="00812273">
        <w:rPr>
          <w:b w:val="0"/>
          <w:bCs/>
          <w:snapToGrid w:val="0"/>
          <w:sz w:val="24"/>
          <w:szCs w:val="24"/>
          <w:lang w:val="zh-CN" w:eastAsia="zh-CN"/>
        </w:rPr>
        <w:t>日，内</w:t>
      </w:r>
      <w:bookmarkStart w:id="0" w:name="_GoBack"/>
      <w:bookmarkEnd w:id="0"/>
      <w:r w:rsidRPr="00812273">
        <w:rPr>
          <w:b w:val="0"/>
          <w:bCs/>
          <w:snapToGrid w:val="0"/>
          <w:sz w:val="24"/>
          <w:szCs w:val="24"/>
          <w:lang w:val="zh-CN" w:eastAsia="zh-CN"/>
        </w:rPr>
        <w:t>罗毕</w:t>
      </w:r>
      <w:r w:rsidR="00EA54A3" w:rsidRPr="00812273">
        <w:rPr>
          <w:rFonts w:hint="eastAsia"/>
          <w:b w:val="0"/>
          <w:bCs/>
          <w:snapToGrid w:val="0"/>
          <w:sz w:val="24"/>
          <w:szCs w:val="24"/>
          <w:lang w:val="zh-CN" w:eastAsia="zh-CN"/>
        </w:rPr>
        <w:t>（在线）</w:t>
      </w:r>
      <w:r w:rsidR="00EA54A3" w:rsidRPr="00812273">
        <w:rPr>
          <w:rStyle w:val="FootnoteReference"/>
          <w:b w:val="0"/>
          <w:bCs/>
          <w:snapToGrid w:val="0"/>
          <w:spacing w:val="0"/>
          <w:w w:val="100"/>
          <w:position w:val="0"/>
          <w:sz w:val="24"/>
          <w:szCs w:val="24"/>
          <w:vertAlign w:val="baseline"/>
          <w:lang w:val="zh-CN" w:eastAsia="zh-CN"/>
        </w:rPr>
        <w:footnoteReference w:customMarkFollows="1" w:id="2"/>
        <w:t>*</w:t>
      </w:r>
    </w:p>
    <w:p w14:paraId="3C2CC1CF" w14:textId="79D39A11" w:rsidR="00D560BD" w:rsidRPr="00812273" w:rsidRDefault="00D560BD" w:rsidP="00D560BD">
      <w:pPr>
        <w:pStyle w:val="AATitle"/>
        <w:rPr>
          <w:b w:val="0"/>
          <w:bCs/>
          <w:snapToGrid w:val="0"/>
          <w:sz w:val="24"/>
          <w:szCs w:val="24"/>
          <w:lang w:eastAsia="zh-CN"/>
        </w:rPr>
      </w:pPr>
      <w:r w:rsidRPr="00812273">
        <w:rPr>
          <w:b w:val="0"/>
          <w:bCs/>
          <w:snapToGrid w:val="0"/>
          <w:sz w:val="24"/>
          <w:szCs w:val="24"/>
          <w:lang w:val="zh-CN" w:eastAsia="zh-CN"/>
        </w:rPr>
        <w:t>临时议程</w:t>
      </w:r>
      <w:r w:rsidR="00EA54A3" w:rsidRPr="00812273">
        <w:rPr>
          <w:rStyle w:val="FootnoteReference"/>
          <w:b w:val="0"/>
          <w:bCs/>
          <w:snapToGrid w:val="0"/>
          <w:spacing w:val="0"/>
          <w:w w:val="100"/>
          <w:position w:val="0"/>
          <w:sz w:val="24"/>
          <w:szCs w:val="24"/>
          <w:vertAlign w:val="baseline"/>
          <w:lang w:val="zh-CN" w:eastAsia="zh-CN"/>
        </w:rPr>
        <w:footnoteReference w:customMarkFollows="1" w:id="3"/>
        <w:t>**</w:t>
      </w:r>
      <w:r w:rsidRPr="00812273">
        <w:rPr>
          <w:b w:val="0"/>
          <w:bCs/>
          <w:snapToGrid w:val="0"/>
          <w:sz w:val="24"/>
          <w:szCs w:val="24"/>
          <w:lang w:val="zh-CN" w:eastAsia="zh-CN"/>
        </w:rPr>
        <w:t>项目</w:t>
      </w:r>
      <w:r w:rsidRPr="00812273">
        <w:rPr>
          <w:b w:val="0"/>
          <w:bCs/>
          <w:snapToGrid w:val="0"/>
          <w:sz w:val="24"/>
          <w:szCs w:val="24"/>
          <w:lang w:val="zh-CN" w:eastAsia="zh-CN"/>
        </w:rPr>
        <w:t>5</w:t>
      </w:r>
    </w:p>
    <w:p w14:paraId="1C1400FC" w14:textId="77777777" w:rsidR="00D560BD" w:rsidRPr="00812273" w:rsidRDefault="00D560BD" w:rsidP="00EA7596">
      <w:pPr>
        <w:pStyle w:val="AATitle2"/>
        <w:spacing w:before="60" w:after="0"/>
        <w:rPr>
          <w:rFonts w:asciiTheme="minorHAnsi" w:eastAsia="SimHei" w:hAnsiTheme="minorHAnsi"/>
          <w:snapToGrid w:val="0"/>
          <w:sz w:val="24"/>
          <w:szCs w:val="24"/>
          <w:lang w:val="en-US" w:eastAsia="zh-CN"/>
        </w:rPr>
      </w:pPr>
      <w:r w:rsidRPr="00812273">
        <w:rPr>
          <w:rFonts w:ascii="SimHei" w:eastAsia="SimHei" w:hAnsi="SimHei"/>
          <w:bCs/>
          <w:snapToGrid w:val="0"/>
          <w:sz w:val="24"/>
          <w:szCs w:val="24"/>
          <w:lang w:val="zh-CN" w:eastAsia="zh-CN"/>
        </w:rPr>
        <w:t>国际环境政策和治理问题</w:t>
      </w:r>
    </w:p>
    <w:p w14:paraId="077FBB07" w14:textId="77777777" w:rsidR="00852629" w:rsidRPr="00812273" w:rsidRDefault="00BD4A91" w:rsidP="00EA7596">
      <w:pPr>
        <w:pStyle w:val="CH1"/>
        <w:spacing w:before="320" w:after="240"/>
        <w:rPr>
          <w:rFonts w:eastAsia="SimHei"/>
          <w:snapToGrid w:val="0"/>
          <w:sz w:val="32"/>
          <w:szCs w:val="32"/>
          <w:lang w:eastAsia="zh-CN"/>
        </w:rPr>
      </w:pPr>
      <w:r w:rsidRPr="00812273">
        <w:rPr>
          <w:snapToGrid w:val="0"/>
          <w:lang w:val="zh-CN" w:eastAsia="zh-CN"/>
        </w:rPr>
        <w:tab/>
      </w:r>
      <w:r w:rsidRPr="00812273">
        <w:rPr>
          <w:snapToGrid w:val="0"/>
          <w:lang w:val="zh-CN" w:eastAsia="zh-CN"/>
        </w:rPr>
        <w:tab/>
      </w:r>
      <w:r w:rsidRPr="00812273">
        <w:rPr>
          <w:rFonts w:eastAsia="SimHei"/>
          <w:bCs/>
          <w:snapToGrid w:val="0"/>
          <w:sz w:val="32"/>
          <w:szCs w:val="32"/>
          <w:lang w:val="zh-CN" w:eastAsia="zh-CN"/>
        </w:rPr>
        <w:t>关于可持续基础设施的第</w:t>
      </w:r>
      <w:r w:rsidRPr="00812273">
        <w:rPr>
          <w:rFonts w:eastAsia="SimHei"/>
          <w:bCs/>
          <w:snapToGrid w:val="0"/>
          <w:sz w:val="32"/>
          <w:szCs w:val="32"/>
          <w:lang w:val="zh-CN" w:eastAsia="zh-CN"/>
        </w:rPr>
        <w:t>4/5</w:t>
      </w:r>
      <w:r w:rsidRPr="00812273">
        <w:rPr>
          <w:rFonts w:eastAsia="SimHei"/>
          <w:bCs/>
          <w:snapToGrid w:val="0"/>
          <w:sz w:val="32"/>
          <w:szCs w:val="32"/>
          <w:lang w:val="zh-CN" w:eastAsia="zh-CN"/>
        </w:rPr>
        <w:t>号决议的执行进展</w:t>
      </w:r>
    </w:p>
    <w:p w14:paraId="4A369DA3" w14:textId="77777777" w:rsidR="00C83D89" w:rsidRPr="00812273" w:rsidRDefault="00852629" w:rsidP="00FA0727">
      <w:pPr>
        <w:pStyle w:val="CH2"/>
        <w:rPr>
          <w:rFonts w:ascii="SimHei" w:eastAsia="SimHei" w:hAnsi="SimHei"/>
          <w:snapToGrid w:val="0"/>
          <w:sz w:val="28"/>
          <w:szCs w:val="28"/>
          <w:lang w:eastAsia="zh-CN"/>
        </w:rPr>
      </w:pPr>
      <w:r w:rsidRPr="00812273">
        <w:rPr>
          <w:rFonts w:ascii="SimHei" w:eastAsia="SimHei" w:hAnsi="SimHei"/>
          <w:snapToGrid w:val="0"/>
          <w:lang w:val="zh-CN" w:eastAsia="zh-CN"/>
        </w:rPr>
        <w:tab/>
      </w:r>
      <w:r w:rsidRPr="00812273">
        <w:rPr>
          <w:rFonts w:ascii="SimHei" w:eastAsia="SimHei" w:hAnsi="SimHei"/>
          <w:snapToGrid w:val="0"/>
          <w:lang w:val="zh-CN" w:eastAsia="zh-CN"/>
        </w:rPr>
        <w:tab/>
      </w:r>
      <w:proofErr w:type="spellStart"/>
      <w:r w:rsidRPr="00812273">
        <w:rPr>
          <w:rFonts w:ascii="SimHei" w:eastAsia="SimHei" w:hAnsi="SimHei"/>
          <w:bCs/>
          <w:snapToGrid w:val="0"/>
          <w:sz w:val="28"/>
          <w:szCs w:val="28"/>
          <w:lang w:val="zh-CN"/>
        </w:rPr>
        <w:t>执行主任的报告</w:t>
      </w:r>
      <w:proofErr w:type="spellEnd"/>
    </w:p>
    <w:p w14:paraId="2C4A427E" w14:textId="77777777" w:rsidR="00BD4A91" w:rsidRPr="00812273" w:rsidRDefault="00BD4A91" w:rsidP="00BD4A91">
      <w:pPr>
        <w:pStyle w:val="CH1"/>
        <w:rPr>
          <w:rFonts w:eastAsia="SimHei"/>
          <w:snapToGrid w:val="0"/>
          <w:sz w:val="32"/>
          <w:szCs w:val="32"/>
        </w:rPr>
      </w:pPr>
      <w:r w:rsidRPr="00812273">
        <w:rPr>
          <w:rFonts w:eastAsia="SimHei"/>
          <w:snapToGrid w:val="0"/>
          <w:lang w:val="zh-CN"/>
        </w:rPr>
        <w:tab/>
      </w:r>
      <w:r w:rsidRPr="00812273">
        <w:rPr>
          <w:rFonts w:eastAsia="SimHei"/>
          <w:snapToGrid w:val="0"/>
          <w:lang w:val="zh-CN"/>
        </w:rPr>
        <w:tab/>
      </w:r>
      <w:proofErr w:type="spellStart"/>
      <w:r w:rsidRPr="00812273">
        <w:rPr>
          <w:rFonts w:eastAsia="SimHei"/>
          <w:bCs/>
          <w:snapToGrid w:val="0"/>
          <w:sz w:val="32"/>
          <w:szCs w:val="32"/>
          <w:lang w:val="zh-CN"/>
        </w:rPr>
        <w:t>导言</w:t>
      </w:r>
      <w:proofErr w:type="spellEnd"/>
    </w:p>
    <w:p w14:paraId="37E5B22B" w14:textId="17DFFF54" w:rsidR="0078186C" w:rsidRPr="00812273" w:rsidRDefault="004B1F5F" w:rsidP="00EA7596">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联合国环境规划署（环境署）联合国环境大会在其关于可持续基础设施的第</w:t>
      </w:r>
      <w:r w:rsidRPr="00812273">
        <w:rPr>
          <w:snapToGrid w:val="0"/>
          <w:sz w:val="24"/>
          <w:szCs w:val="24"/>
          <w:lang w:val="zh-CN" w:eastAsia="zh-CN"/>
        </w:rPr>
        <w:t>4/5</w:t>
      </w:r>
      <w:r w:rsidRPr="00812273">
        <w:rPr>
          <w:snapToGrid w:val="0"/>
          <w:sz w:val="24"/>
          <w:szCs w:val="24"/>
          <w:lang w:val="zh-CN" w:eastAsia="zh-CN"/>
        </w:rPr>
        <w:t>号决议中请环境署执行主任确保环境署支持可持续基础设施的发展，以此作为落实《</w:t>
      </w:r>
      <w:r w:rsidRPr="00812273">
        <w:rPr>
          <w:snapToGrid w:val="0"/>
          <w:sz w:val="24"/>
          <w:szCs w:val="24"/>
          <w:lang w:val="zh-CN" w:eastAsia="zh-CN"/>
        </w:rPr>
        <w:t>2030</w:t>
      </w:r>
      <w:r w:rsidRPr="00812273">
        <w:rPr>
          <w:snapToGrid w:val="0"/>
          <w:sz w:val="24"/>
          <w:szCs w:val="24"/>
          <w:lang w:val="zh-CN" w:eastAsia="zh-CN"/>
        </w:rPr>
        <w:t>年可持续发展议程》目标和具体目标的手段。这种支持包括：推行现有准则和最佳做法；支持多方利益攸关方对话；建立和加强伙伴关系；培养政府</w:t>
      </w:r>
      <w:r w:rsidR="00BB55F3" w:rsidRPr="00812273">
        <w:rPr>
          <w:rFonts w:hint="eastAsia"/>
          <w:snapToGrid w:val="0"/>
          <w:sz w:val="24"/>
          <w:szCs w:val="24"/>
          <w:lang w:val="zh-CN" w:eastAsia="zh-CN"/>
        </w:rPr>
        <w:t>政策制定</w:t>
      </w:r>
      <w:r w:rsidRPr="00812273">
        <w:rPr>
          <w:snapToGrid w:val="0"/>
          <w:sz w:val="24"/>
          <w:szCs w:val="24"/>
          <w:lang w:val="zh-CN" w:eastAsia="zh-CN"/>
        </w:rPr>
        <w:t>者和其他利益攸关方使用数据、知识、工具、</w:t>
      </w:r>
      <w:r w:rsidR="00B60D35" w:rsidRPr="00812273">
        <w:rPr>
          <w:rFonts w:hint="eastAsia"/>
          <w:snapToGrid w:val="0"/>
          <w:sz w:val="24"/>
          <w:szCs w:val="24"/>
          <w:lang w:val="zh-CN" w:eastAsia="zh-CN"/>
        </w:rPr>
        <w:t>办</w:t>
      </w:r>
      <w:r w:rsidRPr="00812273">
        <w:rPr>
          <w:snapToGrid w:val="0"/>
          <w:sz w:val="24"/>
          <w:szCs w:val="24"/>
          <w:lang w:val="zh-CN" w:eastAsia="zh-CN"/>
        </w:rPr>
        <w:t>法和其他机制的能力，以便将可持续基础设施</w:t>
      </w:r>
      <w:r w:rsidR="006D50E0" w:rsidRPr="00812273">
        <w:rPr>
          <w:rFonts w:hint="eastAsia"/>
          <w:snapToGrid w:val="0"/>
          <w:sz w:val="24"/>
          <w:szCs w:val="24"/>
          <w:lang w:val="zh-CN" w:eastAsia="zh-CN"/>
        </w:rPr>
        <w:t>纳入</w:t>
      </w:r>
      <w:r w:rsidRPr="00812273">
        <w:rPr>
          <w:snapToGrid w:val="0"/>
          <w:sz w:val="24"/>
          <w:szCs w:val="24"/>
          <w:lang w:val="zh-CN" w:eastAsia="zh-CN"/>
        </w:rPr>
        <w:t>发展战略和商业战略；加强公私伙伴关系，促进对可持续基础设施的</w:t>
      </w:r>
      <w:r w:rsidR="00947C33" w:rsidRPr="00812273">
        <w:rPr>
          <w:snapToGrid w:val="0"/>
          <w:sz w:val="24"/>
          <w:szCs w:val="24"/>
          <w:lang w:val="zh-CN" w:eastAsia="zh-CN"/>
        </w:rPr>
        <w:t>私人</w:t>
      </w:r>
      <w:r w:rsidRPr="00812273">
        <w:rPr>
          <w:snapToGrid w:val="0"/>
          <w:sz w:val="24"/>
          <w:szCs w:val="24"/>
          <w:lang w:val="zh-CN" w:eastAsia="zh-CN"/>
        </w:rPr>
        <w:t>投资。</w:t>
      </w:r>
    </w:p>
    <w:p w14:paraId="01F0DFA9" w14:textId="77777777" w:rsidR="0078186C" w:rsidRPr="00812273" w:rsidRDefault="006A4C0A" w:rsidP="00EA7596">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环境大会在该决议中还请执行主任在联合国各区域委员会和联合国其他相关机构的工作的基础上，借鉴现有举措并找出知识缺口，编写一份最佳做法汇编报告，以协助会员国促进和加强其基础设施的可持续性，并向环境大会第五届会议提交该报告。</w:t>
      </w:r>
    </w:p>
    <w:p w14:paraId="10C1072D" w14:textId="3D590036" w:rsidR="0078186C" w:rsidRPr="00812273" w:rsidRDefault="008B6BFE" w:rsidP="00EA7596">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本报告介绍了环境署为执行该决议所作的努力</w:t>
      </w:r>
      <w:r w:rsidR="00452F9C" w:rsidRPr="00812273">
        <w:rPr>
          <w:rFonts w:hint="eastAsia"/>
          <w:snapToGrid w:val="0"/>
          <w:sz w:val="24"/>
          <w:szCs w:val="24"/>
          <w:lang w:val="zh-CN" w:eastAsia="zh-CN"/>
        </w:rPr>
        <w:t>，</w:t>
      </w:r>
      <w:r w:rsidRPr="00812273">
        <w:rPr>
          <w:snapToGrid w:val="0"/>
          <w:sz w:val="24"/>
          <w:szCs w:val="24"/>
          <w:lang w:val="zh-CN" w:eastAsia="zh-CN"/>
        </w:rPr>
        <w:t>包括：</w:t>
      </w:r>
      <w:r w:rsidRPr="00812273">
        <w:rPr>
          <w:snapToGrid w:val="0"/>
          <w:sz w:val="24"/>
          <w:szCs w:val="24"/>
          <w:lang w:val="zh-CN" w:eastAsia="zh-CN"/>
        </w:rPr>
        <w:t xml:space="preserve">(a) </w:t>
      </w:r>
      <w:r w:rsidRPr="00812273">
        <w:rPr>
          <w:snapToGrid w:val="0"/>
          <w:sz w:val="24"/>
          <w:szCs w:val="24"/>
          <w:lang w:val="zh-CN" w:eastAsia="zh-CN"/>
        </w:rPr>
        <w:t>提高人们对基础设施对可持续发展重要性的认识，并将其确定为全球政策议程上的独特问题；</w:t>
      </w:r>
      <w:r w:rsidRPr="00812273">
        <w:rPr>
          <w:snapToGrid w:val="0"/>
          <w:sz w:val="24"/>
          <w:szCs w:val="24"/>
          <w:lang w:val="zh-CN" w:eastAsia="zh-CN"/>
        </w:rPr>
        <w:t xml:space="preserve">(b) </w:t>
      </w:r>
      <w:r w:rsidR="00BD3835" w:rsidRPr="00812273">
        <w:rPr>
          <w:rFonts w:hint="eastAsia"/>
          <w:snapToGrid w:val="0"/>
          <w:sz w:val="24"/>
          <w:szCs w:val="24"/>
          <w:lang w:val="zh-CN" w:eastAsia="zh-CN"/>
        </w:rPr>
        <w:t>推广</w:t>
      </w:r>
      <w:r w:rsidRPr="00812273">
        <w:rPr>
          <w:snapToGrid w:val="0"/>
          <w:sz w:val="24"/>
          <w:szCs w:val="24"/>
          <w:lang w:val="zh-CN" w:eastAsia="zh-CN"/>
        </w:rPr>
        <w:t>与可持续基础设施综合办法有关的现有规范和技术指导意见、知识和工具，并</w:t>
      </w:r>
      <w:r w:rsidR="00C63389" w:rsidRPr="00812273">
        <w:rPr>
          <w:rFonts w:hint="eastAsia"/>
          <w:snapToGrid w:val="0"/>
          <w:sz w:val="24"/>
          <w:szCs w:val="24"/>
          <w:lang w:val="zh-CN" w:eastAsia="zh-CN"/>
        </w:rPr>
        <w:t>发展</w:t>
      </w:r>
      <w:r w:rsidRPr="00812273">
        <w:rPr>
          <w:snapToGrid w:val="0"/>
          <w:sz w:val="24"/>
          <w:szCs w:val="24"/>
          <w:lang w:val="zh-CN" w:eastAsia="zh-CN"/>
        </w:rPr>
        <w:t>新的指导意见、知识和工具；</w:t>
      </w:r>
      <w:r w:rsidRPr="00812273">
        <w:rPr>
          <w:snapToGrid w:val="0"/>
          <w:sz w:val="24"/>
          <w:szCs w:val="24"/>
          <w:lang w:val="zh-CN" w:eastAsia="zh-CN"/>
        </w:rPr>
        <w:t xml:space="preserve">(c) </w:t>
      </w:r>
      <w:r w:rsidRPr="00812273">
        <w:rPr>
          <w:snapToGrid w:val="0"/>
          <w:sz w:val="24"/>
          <w:szCs w:val="24"/>
          <w:lang w:val="zh-CN" w:eastAsia="zh-CN"/>
        </w:rPr>
        <w:t>动员国际社会支持加强各国的技术</w:t>
      </w:r>
      <w:r w:rsidRPr="00812273">
        <w:rPr>
          <w:snapToGrid w:val="0"/>
          <w:sz w:val="24"/>
          <w:szCs w:val="24"/>
          <w:lang w:val="zh-CN" w:eastAsia="zh-CN"/>
        </w:rPr>
        <w:lastRenderedPageBreak/>
        <w:t>和体制能力，以便就可持续基础设施规划和发展采取</w:t>
      </w:r>
      <w:r w:rsidR="00A01A4B" w:rsidRPr="00812273">
        <w:rPr>
          <w:rFonts w:hint="eastAsia"/>
          <w:snapToGrid w:val="0"/>
          <w:sz w:val="24"/>
          <w:szCs w:val="24"/>
          <w:lang w:val="zh-CN" w:eastAsia="zh-CN"/>
        </w:rPr>
        <w:t>有助于</w:t>
      </w:r>
      <w:r w:rsidR="00095D6F" w:rsidRPr="00812273">
        <w:rPr>
          <w:snapToGrid w:val="0"/>
          <w:sz w:val="24"/>
          <w:szCs w:val="24"/>
          <w:lang w:val="zh-CN" w:eastAsia="zh-CN"/>
        </w:rPr>
        <w:t>其国家发展目标</w:t>
      </w:r>
      <w:r w:rsidR="00095D6F" w:rsidRPr="00812273">
        <w:rPr>
          <w:rFonts w:hint="eastAsia"/>
          <w:snapToGrid w:val="0"/>
          <w:sz w:val="24"/>
          <w:szCs w:val="24"/>
          <w:lang w:val="zh-CN" w:eastAsia="zh-CN"/>
        </w:rPr>
        <w:t>的</w:t>
      </w:r>
      <w:r w:rsidRPr="00812273">
        <w:rPr>
          <w:snapToGrid w:val="0"/>
          <w:sz w:val="24"/>
          <w:szCs w:val="24"/>
          <w:lang w:val="zh-CN" w:eastAsia="zh-CN"/>
        </w:rPr>
        <w:t>综合办法。</w:t>
      </w:r>
    </w:p>
    <w:p w14:paraId="382922E7" w14:textId="4AB7117D" w:rsidR="00916E6A" w:rsidRPr="00812273" w:rsidRDefault="00916E6A" w:rsidP="009702DD">
      <w:pPr>
        <w:pStyle w:val="CH1"/>
        <w:numPr>
          <w:ilvl w:val="0"/>
          <w:numId w:val="23"/>
        </w:numPr>
        <w:ind w:left="1260" w:hanging="810"/>
        <w:rPr>
          <w:rFonts w:eastAsia="SimHei"/>
          <w:snapToGrid w:val="0"/>
          <w:sz w:val="32"/>
          <w:szCs w:val="32"/>
          <w:lang w:val="zh-CN" w:eastAsia="zh-CN"/>
        </w:rPr>
      </w:pPr>
      <w:r w:rsidRPr="00812273">
        <w:rPr>
          <w:rFonts w:eastAsia="SimHei"/>
          <w:snapToGrid w:val="0"/>
          <w:sz w:val="32"/>
          <w:szCs w:val="32"/>
          <w:lang w:val="zh-CN" w:eastAsia="zh-CN"/>
        </w:rPr>
        <w:t>第</w:t>
      </w:r>
      <w:r w:rsidRPr="00812273">
        <w:rPr>
          <w:rFonts w:eastAsia="SimHei"/>
          <w:snapToGrid w:val="0"/>
          <w:sz w:val="32"/>
          <w:szCs w:val="32"/>
          <w:lang w:val="zh-CN" w:eastAsia="zh-CN"/>
        </w:rPr>
        <w:t>4/5</w:t>
      </w:r>
      <w:r w:rsidRPr="00812273">
        <w:rPr>
          <w:rFonts w:eastAsia="SimHei"/>
          <w:snapToGrid w:val="0"/>
          <w:sz w:val="32"/>
          <w:szCs w:val="32"/>
          <w:lang w:val="zh-CN" w:eastAsia="zh-CN"/>
        </w:rPr>
        <w:t>号决议的执行进展</w:t>
      </w:r>
    </w:p>
    <w:p w14:paraId="1D2CD5F5" w14:textId="6E245E61"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可持续基础设施</w:t>
      </w:r>
      <w:r w:rsidR="00BD3835" w:rsidRPr="00812273">
        <w:rPr>
          <w:rFonts w:hint="eastAsia"/>
          <w:snapToGrid w:val="0"/>
          <w:sz w:val="24"/>
          <w:szCs w:val="24"/>
          <w:lang w:val="zh-CN" w:eastAsia="zh-CN"/>
        </w:rPr>
        <w:t>与</w:t>
      </w:r>
      <w:r w:rsidRPr="00812273">
        <w:rPr>
          <w:snapToGrid w:val="0"/>
          <w:sz w:val="24"/>
          <w:szCs w:val="24"/>
          <w:lang w:val="zh-CN" w:eastAsia="zh-CN"/>
        </w:rPr>
        <w:t>可持续发展目标</w:t>
      </w:r>
      <w:r w:rsidR="00BD3835" w:rsidRPr="00812273">
        <w:rPr>
          <w:rFonts w:hint="eastAsia"/>
          <w:snapToGrid w:val="0"/>
          <w:sz w:val="24"/>
          <w:szCs w:val="24"/>
          <w:lang w:val="zh-CN" w:eastAsia="zh-CN"/>
        </w:rPr>
        <w:t>息息相关</w:t>
      </w:r>
      <w:r w:rsidRPr="00812273">
        <w:rPr>
          <w:snapToGrid w:val="0"/>
          <w:sz w:val="24"/>
          <w:szCs w:val="24"/>
          <w:lang w:val="zh-CN" w:eastAsia="zh-CN"/>
        </w:rPr>
        <w:t>，贯穿所有</w:t>
      </w:r>
      <w:r w:rsidRPr="00812273">
        <w:rPr>
          <w:snapToGrid w:val="0"/>
          <w:sz w:val="24"/>
          <w:szCs w:val="24"/>
          <w:lang w:val="zh-CN" w:eastAsia="zh-CN"/>
        </w:rPr>
        <w:t>17</w:t>
      </w:r>
      <w:r w:rsidRPr="00812273">
        <w:rPr>
          <w:snapToGrid w:val="0"/>
          <w:sz w:val="24"/>
          <w:szCs w:val="24"/>
          <w:lang w:val="zh-CN" w:eastAsia="zh-CN"/>
        </w:rPr>
        <w:t>个目标，对</w:t>
      </w:r>
      <w:r w:rsidRPr="00812273">
        <w:rPr>
          <w:snapToGrid w:val="0"/>
          <w:sz w:val="24"/>
          <w:szCs w:val="24"/>
          <w:lang w:val="zh-CN" w:eastAsia="zh-CN"/>
        </w:rPr>
        <w:t>169</w:t>
      </w:r>
      <w:r w:rsidRPr="00812273">
        <w:rPr>
          <w:snapToGrid w:val="0"/>
          <w:sz w:val="24"/>
          <w:szCs w:val="24"/>
          <w:lang w:val="zh-CN" w:eastAsia="zh-CN"/>
        </w:rPr>
        <w:t>个具体目标中的</w:t>
      </w:r>
      <w:r w:rsidRPr="00812273">
        <w:rPr>
          <w:snapToGrid w:val="0"/>
          <w:sz w:val="24"/>
          <w:szCs w:val="24"/>
          <w:lang w:val="zh-CN" w:eastAsia="zh-CN"/>
        </w:rPr>
        <w:t>92%</w:t>
      </w:r>
      <w:r w:rsidRPr="00812273">
        <w:rPr>
          <w:snapToGrid w:val="0"/>
          <w:sz w:val="24"/>
          <w:szCs w:val="24"/>
          <w:lang w:val="zh-CN" w:eastAsia="zh-CN"/>
        </w:rPr>
        <w:t>产生影响。在冠状病毒病（</w:t>
      </w:r>
      <w:r w:rsidRPr="00812273">
        <w:rPr>
          <w:snapToGrid w:val="0"/>
          <w:sz w:val="24"/>
          <w:szCs w:val="24"/>
          <w:lang w:val="zh-CN" w:eastAsia="zh-CN"/>
        </w:rPr>
        <w:t>COVID-19</w:t>
      </w:r>
      <w:r w:rsidRPr="00812273">
        <w:rPr>
          <w:snapToGrid w:val="0"/>
          <w:sz w:val="24"/>
          <w:szCs w:val="24"/>
          <w:lang w:val="zh-CN" w:eastAsia="zh-CN"/>
        </w:rPr>
        <w:t>）危机中，可持续、有复原力的基础设施系统进一步突显其重要性，</w:t>
      </w:r>
      <w:r w:rsidR="00A01A4B" w:rsidRPr="00812273">
        <w:rPr>
          <w:rFonts w:hint="eastAsia"/>
          <w:snapToGrid w:val="0"/>
          <w:sz w:val="24"/>
          <w:szCs w:val="24"/>
          <w:lang w:val="zh-CN" w:eastAsia="zh-CN"/>
        </w:rPr>
        <w:t>这些系统</w:t>
      </w:r>
      <w:r w:rsidRPr="00812273">
        <w:rPr>
          <w:snapToGrid w:val="0"/>
          <w:sz w:val="24"/>
          <w:szCs w:val="24"/>
          <w:lang w:val="zh-CN" w:eastAsia="zh-CN"/>
        </w:rPr>
        <w:t>也是绿色恢复计划的关键。</w:t>
      </w:r>
    </w:p>
    <w:p w14:paraId="5C18C9E8" w14:textId="02AAEAF9"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执行该决议的努力有助于环境署实现关于资源效率的次级方案</w:t>
      </w:r>
      <w:r w:rsidRPr="00812273">
        <w:rPr>
          <w:snapToGrid w:val="0"/>
          <w:sz w:val="24"/>
          <w:szCs w:val="24"/>
          <w:lang w:val="zh-CN" w:eastAsia="zh-CN"/>
        </w:rPr>
        <w:t>6</w:t>
      </w:r>
      <w:r w:rsidR="000736AB" w:rsidRPr="00812273">
        <w:rPr>
          <w:rFonts w:hint="eastAsia"/>
          <w:snapToGrid w:val="0"/>
          <w:sz w:val="24"/>
          <w:szCs w:val="24"/>
          <w:lang w:val="zh-CN" w:eastAsia="zh-CN"/>
        </w:rPr>
        <w:t>的</w:t>
      </w:r>
      <w:r w:rsidRPr="00812273">
        <w:rPr>
          <w:snapToGrid w:val="0"/>
          <w:sz w:val="24"/>
          <w:szCs w:val="24"/>
          <w:lang w:val="zh-CN" w:eastAsia="zh-CN"/>
        </w:rPr>
        <w:t>预期成绩</w:t>
      </w:r>
      <w:r w:rsidRPr="00812273">
        <w:rPr>
          <w:snapToGrid w:val="0"/>
          <w:sz w:val="24"/>
          <w:szCs w:val="24"/>
          <w:lang w:val="zh-CN" w:eastAsia="zh-CN"/>
        </w:rPr>
        <w:t>(a)</w:t>
      </w:r>
      <w:r w:rsidRPr="00812273">
        <w:rPr>
          <w:snapToGrid w:val="0"/>
          <w:sz w:val="24"/>
          <w:szCs w:val="24"/>
          <w:lang w:val="zh-CN" w:eastAsia="zh-CN"/>
        </w:rPr>
        <w:t>指标</w:t>
      </w:r>
      <w:r w:rsidR="00651958" w:rsidRPr="00812273">
        <w:rPr>
          <w:rFonts w:hint="eastAsia"/>
          <w:snapToGrid w:val="0"/>
          <w:sz w:val="24"/>
          <w:szCs w:val="24"/>
          <w:lang w:val="zh-CN" w:eastAsia="zh-CN"/>
        </w:rPr>
        <w:t>（</w:t>
      </w:r>
      <w:r w:rsidRPr="00812273">
        <w:rPr>
          <w:snapToGrid w:val="0"/>
          <w:sz w:val="24"/>
          <w:szCs w:val="24"/>
          <w:lang w:val="zh-CN" w:eastAsia="zh-CN"/>
        </w:rPr>
        <w:t>一</w:t>
      </w:r>
      <w:r w:rsidR="00651958" w:rsidRPr="00812273">
        <w:rPr>
          <w:rFonts w:hint="eastAsia"/>
          <w:snapToGrid w:val="0"/>
          <w:sz w:val="24"/>
          <w:szCs w:val="24"/>
          <w:lang w:val="zh-CN" w:eastAsia="zh-CN"/>
        </w:rPr>
        <w:t>）</w:t>
      </w:r>
      <w:r w:rsidRPr="00812273">
        <w:rPr>
          <w:snapToGrid w:val="0"/>
          <w:sz w:val="24"/>
          <w:szCs w:val="24"/>
          <w:lang w:val="zh-CN" w:eastAsia="zh-CN"/>
        </w:rPr>
        <w:t>。</w:t>
      </w:r>
      <w:r w:rsidR="008B3B82" w:rsidRPr="00812273">
        <w:rPr>
          <w:snapToGrid w:val="0"/>
          <w:sz w:val="24"/>
          <w:szCs w:val="24"/>
          <w:lang w:val="zh-CN" w:eastAsia="zh-CN"/>
        </w:rPr>
        <w:t>环境基金</w:t>
      </w:r>
      <w:r w:rsidR="00881E0C" w:rsidRPr="00812273">
        <w:rPr>
          <w:rFonts w:hint="eastAsia"/>
          <w:snapToGrid w:val="0"/>
          <w:sz w:val="24"/>
          <w:szCs w:val="24"/>
          <w:lang w:val="zh-CN" w:eastAsia="zh-CN"/>
        </w:rPr>
        <w:t>提供</w:t>
      </w:r>
      <w:r w:rsidR="00E33FCB" w:rsidRPr="00812273">
        <w:rPr>
          <w:rFonts w:hint="eastAsia"/>
          <w:snapToGrid w:val="0"/>
          <w:sz w:val="24"/>
          <w:szCs w:val="24"/>
          <w:lang w:val="zh-CN" w:eastAsia="zh-CN"/>
        </w:rPr>
        <w:t>的</w:t>
      </w:r>
      <w:r w:rsidRPr="00812273">
        <w:rPr>
          <w:snapToGrid w:val="0"/>
          <w:sz w:val="24"/>
          <w:szCs w:val="24"/>
          <w:lang w:val="zh-CN" w:eastAsia="zh-CN"/>
        </w:rPr>
        <w:t>约</w:t>
      </w:r>
      <w:r w:rsidRPr="00812273">
        <w:rPr>
          <w:snapToGrid w:val="0"/>
          <w:sz w:val="24"/>
          <w:szCs w:val="24"/>
          <w:lang w:val="zh-CN" w:eastAsia="zh-CN"/>
        </w:rPr>
        <w:t>335 000</w:t>
      </w:r>
      <w:r w:rsidRPr="00812273">
        <w:rPr>
          <w:snapToGrid w:val="0"/>
          <w:sz w:val="24"/>
          <w:szCs w:val="24"/>
          <w:lang w:val="zh-CN" w:eastAsia="zh-CN"/>
        </w:rPr>
        <w:t>美元已用于本报告所述活动。此外还调集了约</w:t>
      </w:r>
      <w:r w:rsidRPr="00812273">
        <w:rPr>
          <w:snapToGrid w:val="0"/>
          <w:sz w:val="24"/>
          <w:szCs w:val="24"/>
          <w:lang w:val="zh-CN" w:eastAsia="zh-CN"/>
        </w:rPr>
        <w:t>310</w:t>
      </w:r>
      <w:r w:rsidRPr="00812273">
        <w:rPr>
          <w:snapToGrid w:val="0"/>
          <w:sz w:val="24"/>
          <w:szCs w:val="24"/>
          <w:lang w:val="zh-CN" w:eastAsia="zh-CN"/>
        </w:rPr>
        <w:t>万美元的预算外资源来支持该决议的执行，用于上述活动以及持续到</w:t>
      </w:r>
      <w:r w:rsidRPr="00812273">
        <w:rPr>
          <w:snapToGrid w:val="0"/>
          <w:sz w:val="24"/>
          <w:szCs w:val="24"/>
          <w:lang w:val="zh-CN" w:eastAsia="zh-CN"/>
        </w:rPr>
        <w:t>2021</w:t>
      </w:r>
      <w:r w:rsidRPr="00812273">
        <w:rPr>
          <w:snapToGrid w:val="0"/>
          <w:sz w:val="24"/>
          <w:szCs w:val="24"/>
          <w:lang w:val="zh-CN" w:eastAsia="zh-CN"/>
        </w:rPr>
        <w:t>年底的相关工作。</w:t>
      </w:r>
      <w:bookmarkStart w:id="1" w:name="_Hlk56697532"/>
      <w:bookmarkEnd w:id="1"/>
    </w:p>
    <w:p w14:paraId="3E06A212" w14:textId="111A0C6F" w:rsidR="00C83D89" w:rsidRPr="00812273" w:rsidRDefault="00E44055" w:rsidP="00812273">
      <w:pPr>
        <w:pStyle w:val="CH2"/>
        <w:numPr>
          <w:ilvl w:val="2"/>
          <w:numId w:val="26"/>
        </w:numPr>
        <w:ind w:hanging="2215"/>
        <w:rPr>
          <w:rFonts w:eastAsia="SimHei"/>
          <w:snapToGrid w:val="0"/>
          <w:sz w:val="28"/>
          <w:szCs w:val="28"/>
          <w:lang w:eastAsia="zh-CN"/>
        </w:rPr>
      </w:pPr>
      <w:r w:rsidRPr="00812273">
        <w:rPr>
          <w:rFonts w:eastAsia="SimHei" w:hint="eastAsia"/>
          <w:bCs/>
          <w:snapToGrid w:val="0"/>
          <w:sz w:val="28"/>
          <w:szCs w:val="28"/>
          <w:lang w:val="zh-CN" w:eastAsia="zh-CN"/>
        </w:rPr>
        <w:t>调查总结</w:t>
      </w:r>
      <w:r w:rsidR="00916E6A" w:rsidRPr="00812273">
        <w:rPr>
          <w:rFonts w:eastAsia="SimHei"/>
          <w:bCs/>
          <w:snapToGrid w:val="0"/>
          <w:sz w:val="28"/>
          <w:szCs w:val="28"/>
          <w:lang w:val="zh-CN" w:eastAsia="zh-CN"/>
        </w:rPr>
        <w:t>和差距分析</w:t>
      </w:r>
    </w:p>
    <w:p w14:paraId="1F846FBF" w14:textId="74D4972D" w:rsidR="00C83D89" w:rsidRPr="00812273" w:rsidRDefault="00DF0A04"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rFonts w:ascii="SimSun" w:hAnsi="SimSun"/>
          <w:i/>
          <w:iCs/>
          <w:snapToGrid w:val="0"/>
          <w:color w:val="000000" w:themeColor="text1"/>
          <w:sz w:val="24"/>
          <w:szCs w:val="24"/>
          <w:lang w:eastAsia="zh-CN"/>
        </w:rPr>
      </w:pPr>
      <w:r w:rsidRPr="00812273">
        <w:rPr>
          <w:snapToGrid w:val="0"/>
          <w:sz w:val="24"/>
          <w:szCs w:val="24"/>
          <w:lang w:val="zh-CN" w:eastAsia="zh-CN"/>
        </w:rPr>
        <w:t>为执行该决议，环境署首先</w:t>
      </w:r>
      <w:r w:rsidR="00E44055" w:rsidRPr="00812273">
        <w:rPr>
          <w:rFonts w:hint="eastAsia"/>
          <w:snapToGrid w:val="0"/>
          <w:sz w:val="24"/>
          <w:szCs w:val="24"/>
          <w:lang w:val="zh-CN" w:eastAsia="zh-CN"/>
        </w:rPr>
        <w:t>调查总结</w:t>
      </w:r>
      <w:r w:rsidRPr="00812273">
        <w:rPr>
          <w:snapToGrid w:val="0"/>
          <w:sz w:val="24"/>
          <w:szCs w:val="24"/>
          <w:lang w:val="zh-CN" w:eastAsia="zh-CN"/>
        </w:rPr>
        <w:t>了提高基础设施可持续性的现有办法、知识和工具。</w:t>
      </w:r>
      <w:r w:rsidR="00E44055" w:rsidRPr="00812273">
        <w:rPr>
          <w:rFonts w:hint="eastAsia"/>
          <w:snapToGrid w:val="0"/>
          <w:sz w:val="24"/>
          <w:szCs w:val="24"/>
          <w:lang w:val="zh-CN" w:eastAsia="zh-CN"/>
        </w:rPr>
        <w:t>调查总结</w:t>
      </w:r>
      <w:r w:rsidRPr="00812273">
        <w:rPr>
          <w:snapToGrid w:val="0"/>
          <w:sz w:val="24"/>
          <w:szCs w:val="24"/>
          <w:lang w:val="zh-CN" w:eastAsia="zh-CN"/>
        </w:rPr>
        <w:t>工作的成果于</w:t>
      </w:r>
      <w:r w:rsidRPr="00812273">
        <w:rPr>
          <w:snapToGrid w:val="0"/>
          <w:sz w:val="24"/>
          <w:szCs w:val="24"/>
          <w:lang w:val="zh-CN" w:eastAsia="zh-CN"/>
        </w:rPr>
        <w:t>2019</w:t>
      </w:r>
      <w:r w:rsidRPr="00812273">
        <w:rPr>
          <w:snapToGrid w:val="0"/>
          <w:sz w:val="24"/>
          <w:szCs w:val="24"/>
          <w:lang w:val="zh-CN" w:eastAsia="zh-CN"/>
        </w:rPr>
        <w:t>年</w:t>
      </w:r>
      <w:r w:rsidRPr="00812273">
        <w:rPr>
          <w:snapToGrid w:val="0"/>
          <w:sz w:val="24"/>
          <w:szCs w:val="24"/>
          <w:lang w:val="zh-CN" w:eastAsia="zh-CN"/>
        </w:rPr>
        <w:t>4</w:t>
      </w:r>
      <w:r w:rsidRPr="00812273">
        <w:rPr>
          <w:snapToGrid w:val="0"/>
          <w:sz w:val="24"/>
          <w:szCs w:val="24"/>
          <w:lang w:val="zh-CN" w:eastAsia="zh-CN"/>
        </w:rPr>
        <w:t>月发表在环境署题为</w:t>
      </w:r>
      <w:hyperlink r:id="rId15" w:history="1">
        <w:r w:rsidRPr="00812273">
          <w:rPr>
            <w:rStyle w:val="Hyperlink"/>
            <w:rFonts w:ascii="SimSun" w:hAnsi="SimSun"/>
            <w:snapToGrid w:val="0"/>
            <w:sz w:val="24"/>
            <w:szCs w:val="24"/>
            <w:lang w:val="zh-CN" w:eastAsia="zh-CN"/>
          </w:rPr>
          <w:t>“可持续基础设施综合办法”</w:t>
        </w:r>
      </w:hyperlink>
      <w:r w:rsidRPr="00812273">
        <w:rPr>
          <w:rFonts w:ascii="SimSun" w:hAnsi="SimSun"/>
          <w:snapToGrid w:val="0"/>
          <w:sz w:val="24"/>
          <w:szCs w:val="24"/>
          <w:lang w:val="zh-CN" w:eastAsia="zh-CN"/>
        </w:rPr>
        <w:t>的报告中。</w:t>
      </w:r>
    </w:p>
    <w:p w14:paraId="36BFB8BF" w14:textId="6646B82B" w:rsidR="00C83D89" w:rsidRPr="00812273" w:rsidRDefault="005C72D8"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环境署在报告中指出，尽管不乏将可持续性纳入基础设施发展的指导意见和工具，但仍存在重大差距，助长着不可持续的基础设施发展。首先，大多数指导意见和工具都涉及项目层面的可持续性，产生积极影响的潜力有限，因为在</w:t>
      </w:r>
      <w:r w:rsidRPr="00812273">
        <w:rPr>
          <w:rFonts w:ascii="SimSun" w:hAnsi="SimSun"/>
          <w:snapToGrid w:val="0"/>
          <w:sz w:val="24"/>
          <w:szCs w:val="24"/>
          <w:lang w:val="zh-CN" w:eastAsia="zh-CN"/>
        </w:rPr>
        <w:t>“建什么”、“在哪里建”等重要</w:t>
      </w:r>
      <w:r w:rsidRPr="00812273">
        <w:rPr>
          <w:snapToGrid w:val="0"/>
          <w:sz w:val="24"/>
          <w:szCs w:val="24"/>
          <w:lang w:val="zh-CN" w:eastAsia="zh-CN"/>
        </w:rPr>
        <w:t>问题上决策已定。第二，人们对可持续性的</w:t>
      </w:r>
      <w:r w:rsidR="00E61288" w:rsidRPr="00812273">
        <w:rPr>
          <w:rFonts w:hint="eastAsia"/>
          <w:snapToGrid w:val="0"/>
          <w:sz w:val="24"/>
          <w:szCs w:val="24"/>
          <w:lang w:val="zh-CN" w:eastAsia="zh-CN"/>
        </w:rPr>
        <w:t>理解</w:t>
      </w:r>
      <w:r w:rsidRPr="00812273">
        <w:rPr>
          <w:snapToGrid w:val="0"/>
          <w:sz w:val="24"/>
          <w:szCs w:val="24"/>
          <w:lang w:val="zh-CN" w:eastAsia="zh-CN"/>
        </w:rPr>
        <w:t>往往较为狭隘，主要关注气候，而对生物多样性或包容性等其他方面不够重视。第三，关于可持续基础设施的融资，倾向于注重所需基础设施投资的数量（例如</w:t>
      </w:r>
      <w:r w:rsidRPr="00812273">
        <w:rPr>
          <w:rFonts w:ascii="SimSun" w:hAnsi="SimSun"/>
          <w:snapToGrid w:val="0"/>
          <w:sz w:val="24"/>
          <w:szCs w:val="24"/>
          <w:lang w:val="zh-CN" w:eastAsia="zh-CN"/>
        </w:rPr>
        <w:t>“缩小基础设施投资缺口”），却忽略</w:t>
      </w:r>
      <w:r w:rsidRPr="00812273">
        <w:rPr>
          <w:snapToGrid w:val="0"/>
          <w:sz w:val="24"/>
          <w:szCs w:val="24"/>
          <w:lang w:val="zh-CN" w:eastAsia="zh-CN"/>
        </w:rPr>
        <w:t>了这些投资的质量（例如可持续性和与服务需求的匹配度）。</w:t>
      </w:r>
    </w:p>
    <w:p w14:paraId="741F405D" w14:textId="1AB899DA" w:rsidR="00C83D89" w:rsidRPr="00812273" w:rsidRDefault="00532011"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报告建议通过</w:t>
      </w:r>
      <w:r w:rsidRPr="00812273">
        <w:rPr>
          <w:rFonts w:ascii="SimSun" w:hAnsi="SimSun"/>
          <w:snapToGrid w:val="0"/>
          <w:sz w:val="24"/>
          <w:szCs w:val="24"/>
          <w:lang w:val="zh-CN" w:eastAsia="zh-CN"/>
        </w:rPr>
        <w:t>“综合办法”解决</w:t>
      </w:r>
      <w:r w:rsidRPr="00812273">
        <w:rPr>
          <w:snapToGrid w:val="0"/>
          <w:sz w:val="24"/>
          <w:szCs w:val="24"/>
          <w:lang w:val="zh-CN" w:eastAsia="zh-CN"/>
        </w:rPr>
        <w:t>这些差距，</w:t>
      </w:r>
      <w:r w:rsidR="00443757" w:rsidRPr="00812273">
        <w:rPr>
          <w:rFonts w:hint="eastAsia"/>
          <w:snapToGrid w:val="0"/>
          <w:sz w:val="24"/>
          <w:szCs w:val="24"/>
          <w:lang w:val="zh-CN" w:eastAsia="zh-CN"/>
        </w:rPr>
        <w:t>具体</w:t>
      </w:r>
      <w:r w:rsidRPr="00812273">
        <w:rPr>
          <w:snapToGrid w:val="0"/>
          <w:sz w:val="24"/>
          <w:szCs w:val="24"/>
          <w:lang w:val="zh-CN" w:eastAsia="zh-CN"/>
        </w:rPr>
        <w:t>包括：</w:t>
      </w:r>
      <w:r w:rsidRPr="00812273">
        <w:rPr>
          <w:snapToGrid w:val="0"/>
          <w:sz w:val="24"/>
          <w:szCs w:val="24"/>
          <w:lang w:val="zh-CN" w:eastAsia="zh-CN"/>
        </w:rPr>
        <w:t xml:space="preserve">(a) </w:t>
      </w:r>
      <w:r w:rsidRPr="00812273">
        <w:rPr>
          <w:snapToGrid w:val="0"/>
          <w:sz w:val="24"/>
          <w:szCs w:val="24"/>
          <w:lang w:val="zh-CN" w:eastAsia="zh-CN"/>
        </w:rPr>
        <w:t>尽可能在基础设施生命周期的上游将可持续性纳入考虑，因为在</w:t>
      </w:r>
      <w:r w:rsidR="00396433" w:rsidRPr="00812273">
        <w:rPr>
          <w:rFonts w:hint="eastAsia"/>
          <w:snapToGrid w:val="0"/>
          <w:sz w:val="24"/>
          <w:szCs w:val="24"/>
          <w:lang w:val="zh-CN" w:eastAsia="zh-CN"/>
        </w:rPr>
        <w:t>上游</w:t>
      </w:r>
      <w:r w:rsidRPr="00812273">
        <w:rPr>
          <w:snapToGrid w:val="0"/>
          <w:sz w:val="24"/>
          <w:szCs w:val="24"/>
          <w:lang w:val="zh-CN" w:eastAsia="zh-CN"/>
        </w:rPr>
        <w:t>阶段，提高基础设施可持续性的更多备选方案在政治、技术和经济上仍然可行；</w:t>
      </w:r>
      <w:r w:rsidRPr="00812273">
        <w:rPr>
          <w:snapToGrid w:val="0"/>
          <w:sz w:val="24"/>
          <w:szCs w:val="24"/>
          <w:lang w:val="zh-CN" w:eastAsia="zh-CN"/>
        </w:rPr>
        <w:t xml:space="preserve">(b) </w:t>
      </w:r>
      <w:r w:rsidRPr="00812273">
        <w:rPr>
          <w:snapToGrid w:val="0"/>
          <w:sz w:val="24"/>
          <w:szCs w:val="24"/>
          <w:lang w:val="zh-CN" w:eastAsia="zh-CN"/>
        </w:rPr>
        <w:t>考虑到不同部门和地点的不同基础设施系统</w:t>
      </w:r>
      <w:r w:rsidR="00AA70CD" w:rsidRPr="00812273">
        <w:rPr>
          <w:rFonts w:hint="eastAsia"/>
          <w:snapToGrid w:val="0"/>
          <w:sz w:val="24"/>
          <w:szCs w:val="24"/>
          <w:lang w:val="zh-CN" w:eastAsia="zh-CN"/>
        </w:rPr>
        <w:t>之间</w:t>
      </w:r>
      <w:r w:rsidRPr="00812273">
        <w:rPr>
          <w:snapToGrid w:val="0"/>
          <w:sz w:val="24"/>
          <w:szCs w:val="24"/>
          <w:lang w:val="zh-CN" w:eastAsia="zh-CN"/>
        </w:rPr>
        <w:t>的相互联系，以及整个基础设施生命周期在环境、社会和经济可持续性方面的综合影响；</w:t>
      </w:r>
      <w:r w:rsidRPr="00812273">
        <w:rPr>
          <w:snapToGrid w:val="0"/>
          <w:sz w:val="24"/>
          <w:szCs w:val="24"/>
          <w:lang w:val="zh-CN" w:eastAsia="zh-CN"/>
        </w:rPr>
        <w:t xml:space="preserve">(c) </w:t>
      </w:r>
      <w:r w:rsidRPr="00812273">
        <w:rPr>
          <w:snapToGrid w:val="0"/>
          <w:sz w:val="24"/>
          <w:szCs w:val="24"/>
          <w:lang w:val="zh-CN" w:eastAsia="zh-CN"/>
        </w:rPr>
        <w:t>建立机构、政策和程序，以落实这些措施，并为实施工作提供激励。</w:t>
      </w:r>
    </w:p>
    <w:p w14:paraId="6DF52CD7" w14:textId="40CCD4BB" w:rsidR="00C83D89" w:rsidRPr="00812273" w:rsidRDefault="00916E6A" w:rsidP="00812273">
      <w:pPr>
        <w:pStyle w:val="CH2"/>
        <w:numPr>
          <w:ilvl w:val="2"/>
          <w:numId w:val="26"/>
        </w:numPr>
        <w:ind w:hanging="2215"/>
        <w:rPr>
          <w:rFonts w:eastAsia="SimHei"/>
          <w:bCs/>
          <w:snapToGrid w:val="0"/>
          <w:sz w:val="28"/>
          <w:szCs w:val="28"/>
          <w:lang w:val="zh-CN" w:eastAsia="zh-CN"/>
        </w:rPr>
      </w:pPr>
      <w:r w:rsidRPr="00812273">
        <w:rPr>
          <w:rFonts w:eastAsia="SimHei"/>
          <w:bCs/>
          <w:snapToGrid w:val="0"/>
          <w:sz w:val="28"/>
          <w:szCs w:val="28"/>
          <w:lang w:val="zh-CN" w:eastAsia="zh-CN"/>
        </w:rPr>
        <w:t>可持续基础设施伙伴关系</w:t>
      </w:r>
    </w:p>
    <w:p w14:paraId="71C61416" w14:textId="2471BD04"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环境署正在努力通过可持续基础设施伙伴关系弥合这些差距，该伙伴关系</w:t>
      </w:r>
      <w:r w:rsidR="005D09AB" w:rsidRPr="00812273">
        <w:rPr>
          <w:rFonts w:hint="eastAsia"/>
          <w:snapToGrid w:val="0"/>
          <w:sz w:val="24"/>
          <w:szCs w:val="24"/>
          <w:lang w:val="zh-CN" w:eastAsia="zh-CN"/>
        </w:rPr>
        <w:t>由</w:t>
      </w:r>
      <w:r w:rsidRPr="00812273">
        <w:rPr>
          <w:snapToGrid w:val="0"/>
          <w:sz w:val="24"/>
          <w:szCs w:val="24"/>
          <w:lang w:val="zh-CN" w:eastAsia="zh-CN"/>
        </w:rPr>
        <w:t>30</w:t>
      </w:r>
      <w:r w:rsidRPr="00812273">
        <w:rPr>
          <w:snapToGrid w:val="0"/>
          <w:sz w:val="24"/>
          <w:szCs w:val="24"/>
          <w:lang w:val="zh-CN" w:eastAsia="zh-CN"/>
        </w:rPr>
        <w:t>多个机构组成，包括国际组织、多边开发银行、非政府组织、智囊团、</w:t>
      </w:r>
      <w:r w:rsidR="005E28E8" w:rsidRPr="00812273">
        <w:rPr>
          <w:rFonts w:hint="eastAsia"/>
          <w:snapToGrid w:val="0"/>
          <w:sz w:val="24"/>
          <w:szCs w:val="24"/>
          <w:lang w:val="zh-CN" w:eastAsia="zh-CN"/>
        </w:rPr>
        <w:t>学术界</w:t>
      </w:r>
      <w:r w:rsidRPr="00812273">
        <w:rPr>
          <w:snapToGrid w:val="0"/>
          <w:sz w:val="24"/>
          <w:szCs w:val="24"/>
          <w:lang w:val="zh-CN" w:eastAsia="zh-CN"/>
        </w:rPr>
        <w:t>、专业协会和政府。该伙伴关系致力于：</w:t>
      </w:r>
      <w:r w:rsidRPr="00812273">
        <w:rPr>
          <w:snapToGrid w:val="0"/>
          <w:sz w:val="24"/>
          <w:szCs w:val="24"/>
          <w:lang w:val="zh-CN" w:eastAsia="zh-CN"/>
        </w:rPr>
        <w:t xml:space="preserve">(a) </w:t>
      </w:r>
      <w:r w:rsidRPr="00812273">
        <w:rPr>
          <w:snapToGrid w:val="0"/>
          <w:sz w:val="24"/>
          <w:szCs w:val="24"/>
          <w:lang w:val="zh-CN" w:eastAsia="zh-CN"/>
        </w:rPr>
        <w:t>提高对基础设施对可持续发展重要性的认识；</w:t>
      </w:r>
      <w:r w:rsidRPr="00812273">
        <w:rPr>
          <w:snapToGrid w:val="0"/>
          <w:sz w:val="24"/>
          <w:szCs w:val="24"/>
          <w:lang w:val="zh-CN" w:eastAsia="zh-CN"/>
        </w:rPr>
        <w:t xml:space="preserve">(b) </w:t>
      </w:r>
      <w:r w:rsidR="00BD3835" w:rsidRPr="00812273">
        <w:rPr>
          <w:rFonts w:hint="eastAsia"/>
          <w:snapToGrid w:val="0"/>
          <w:sz w:val="24"/>
          <w:szCs w:val="24"/>
          <w:lang w:val="zh-CN" w:eastAsia="zh-CN"/>
        </w:rPr>
        <w:t>推广</w:t>
      </w:r>
      <w:r w:rsidRPr="00812273">
        <w:rPr>
          <w:snapToGrid w:val="0"/>
          <w:sz w:val="24"/>
          <w:szCs w:val="24"/>
          <w:lang w:val="zh-CN" w:eastAsia="zh-CN"/>
        </w:rPr>
        <w:t>与可持续基础设施综合办法有关的现有指导意见、知识和工具，并</w:t>
      </w:r>
      <w:r w:rsidR="004C72DC" w:rsidRPr="00812273">
        <w:rPr>
          <w:rFonts w:hint="eastAsia"/>
          <w:snapToGrid w:val="0"/>
          <w:sz w:val="24"/>
          <w:szCs w:val="24"/>
          <w:lang w:val="zh-CN" w:eastAsia="zh-CN"/>
        </w:rPr>
        <w:t>发展</w:t>
      </w:r>
      <w:r w:rsidRPr="00812273">
        <w:rPr>
          <w:snapToGrid w:val="0"/>
          <w:sz w:val="24"/>
          <w:szCs w:val="24"/>
          <w:lang w:val="zh-CN" w:eastAsia="zh-CN"/>
        </w:rPr>
        <w:t>新的指导意见、知识和工具；</w:t>
      </w:r>
      <w:r w:rsidRPr="00812273">
        <w:rPr>
          <w:snapToGrid w:val="0"/>
          <w:sz w:val="24"/>
          <w:szCs w:val="24"/>
          <w:lang w:val="zh-CN" w:eastAsia="zh-CN"/>
        </w:rPr>
        <w:t xml:space="preserve">(c) </w:t>
      </w:r>
      <w:r w:rsidRPr="00812273">
        <w:rPr>
          <w:snapToGrid w:val="0"/>
          <w:sz w:val="24"/>
          <w:szCs w:val="24"/>
          <w:lang w:val="zh-CN" w:eastAsia="zh-CN"/>
        </w:rPr>
        <w:t>动员国际社会支持加强各国的技术和体制能力，以便采取可持续基础设施综合办法。</w:t>
      </w:r>
    </w:p>
    <w:p w14:paraId="56FD840E" w14:textId="5B74BE2B" w:rsidR="00C83D89" w:rsidRPr="00812273" w:rsidRDefault="002A50DE" w:rsidP="00812273">
      <w:pPr>
        <w:pStyle w:val="CH2"/>
        <w:numPr>
          <w:ilvl w:val="2"/>
          <w:numId w:val="26"/>
        </w:numPr>
        <w:ind w:hanging="2215"/>
        <w:rPr>
          <w:rFonts w:eastAsia="SimHei"/>
          <w:snapToGrid w:val="0"/>
          <w:lang w:val="zh-CN" w:eastAsia="zh-CN"/>
        </w:rPr>
      </w:pPr>
      <w:r w:rsidRPr="00812273">
        <w:rPr>
          <w:rFonts w:eastAsia="SimHei"/>
          <w:bCs/>
          <w:snapToGrid w:val="0"/>
          <w:sz w:val="28"/>
          <w:szCs w:val="28"/>
          <w:lang w:val="zh-CN" w:eastAsia="zh-CN"/>
        </w:rPr>
        <w:t>可持续基础设施良好做法指导框架</w:t>
      </w:r>
    </w:p>
    <w:p w14:paraId="56BFF4DC" w14:textId="41315809"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在全球环境基金的资金支持下，环境署正在带领一个可持续基础设施伙伴关系成员专家工作组，通过为政府高层决策者制定一个综合、精简、国际上</w:t>
      </w:r>
      <w:r w:rsidRPr="00812273">
        <w:rPr>
          <w:snapToGrid w:val="0"/>
          <w:sz w:val="24"/>
          <w:szCs w:val="24"/>
          <w:lang w:val="zh-CN" w:eastAsia="zh-CN"/>
        </w:rPr>
        <w:lastRenderedPageBreak/>
        <w:t>适用的可持续基础设施良好做法指导框架，从而</w:t>
      </w:r>
      <w:r w:rsidRPr="00812273">
        <w:rPr>
          <w:rFonts w:ascii="SimSun" w:hAnsi="SimSun"/>
          <w:snapToGrid w:val="0"/>
          <w:sz w:val="24"/>
          <w:szCs w:val="24"/>
          <w:lang w:val="zh-CN" w:eastAsia="zh-CN"/>
        </w:rPr>
        <w:t>弥合</w:t>
      </w:r>
      <w:r w:rsidR="003C762E" w:rsidRPr="00812273">
        <w:rPr>
          <w:rFonts w:ascii="SimSun" w:hAnsi="SimSun" w:hint="eastAsia"/>
          <w:snapToGrid w:val="0"/>
          <w:sz w:val="24"/>
          <w:szCs w:val="24"/>
          <w:lang w:val="zh-CN" w:eastAsia="zh-CN"/>
        </w:rPr>
        <w:t>《</w:t>
      </w:r>
      <w:r w:rsidRPr="00812273">
        <w:rPr>
          <w:rFonts w:ascii="SimSun" w:hAnsi="SimSun"/>
          <w:snapToGrid w:val="0"/>
          <w:sz w:val="24"/>
          <w:szCs w:val="24"/>
          <w:lang w:val="zh-CN" w:eastAsia="zh-CN"/>
        </w:rPr>
        <w:t>可持续基础设施综合办法</w:t>
      </w:r>
      <w:r w:rsidR="003C762E" w:rsidRPr="00812273">
        <w:rPr>
          <w:rFonts w:ascii="SimSun" w:hAnsi="SimSun" w:hint="eastAsia"/>
          <w:snapToGrid w:val="0"/>
          <w:sz w:val="24"/>
          <w:szCs w:val="24"/>
          <w:lang w:val="zh-CN" w:eastAsia="zh-CN"/>
        </w:rPr>
        <w:t>》</w:t>
      </w:r>
      <w:r w:rsidRPr="00812273">
        <w:rPr>
          <w:rFonts w:ascii="SimSun" w:hAnsi="SimSun"/>
          <w:snapToGrid w:val="0"/>
          <w:sz w:val="24"/>
          <w:szCs w:val="24"/>
          <w:lang w:val="zh-CN" w:eastAsia="zh-CN"/>
        </w:rPr>
        <w:t>报告中查明的差距。该框架由</w:t>
      </w:r>
      <w:r w:rsidRPr="003341D1">
        <w:rPr>
          <w:snapToGrid w:val="0"/>
          <w:sz w:val="24"/>
          <w:szCs w:val="24"/>
          <w:lang w:val="zh-CN" w:eastAsia="zh-CN"/>
        </w:rPr>
        <w:t>10</w:t>
      </w:r>
      <w:r w:rsidRPr="00812273">
        <w:rPr>
          <w:rFonts w:ascii="SimSun" w:hAnsi="SimSun"/>
          <w:snapToGrid w:val="0"/>
          <w:sz w:val="24"/>
          <w:szCs w:val="24"/>
          <w:lang w:val="zh-CN" w:eastAsia="zh-CN"/>
        </w:rPr>
        <w:t>项原则组成，这些</w:t>
      </w:r>
      <w:r w:rsidRPr="00812273">
        <w:rPr>
          <w:snapToGrid w:val="0"/>
          <w:sz w:val="24"/>
          <w:szCs w:val="24"/>
          <w:lang w:val="zh-CN" w:eastAsia="zh-CN"/>
        </w:rPr>
        <w:t>原则是可持续基础设施规划和发展方面基于需求的系统层面综合办法的基础；该框架将在环境大会第五届会议上发布。</w:t>
      </w:r>
    </w:p>
    <w:p w14:paraId="1D218BB8" w14:textId="3A6D0E0E"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sz w:val="24"/>
          <w:szCs w:val="24"/>
          <w:lang w:eastAsia="zh-CN"/>
        </w:rPr>
      </w:pPr>
      <w:r w:rsidRPr="00812273">
        <w:rPr>
          <w:snapToGrid w:val="0"/>
          <w:sz w:val="24"/>
          <w:szCs w:val="24"/>
          <w:lang w:val="zh-CN" w:eastAsia="zh-CN"/>
        </w:rPr>
        <w:t>指导框架草案已于</w:t>
      </w:r>
      <w:r w:rsidRPr="00812273">
        <w:rPr>
          <w:snapToGrid w:val="0"/>
          <w:sz w:val="24"/>
          <w:szCs w:val="24"/>
          <w:lang w:val="zh-CN" w:eastAsia="zh-CN"/>
        </w:rPr>
        <w:t>2020</w:t>
      </w:r>
      <w:r w:rsidRPr="00812273">
        <w:rPr>
          <w:snapToGrid w:val="0"/>
          <w:sz w:val="24"/>
          <w:szCs w:val="24"/>
          <w:lang w:val="zh-CN" w:eastAsia="zh-CN"/>
        </w:rPr>
        <w:t>年</w:t>
      </w:r>
      <w:r w:rsidRPr="00812273">
        <w:rPr>
          <w:snapToGrid w:val="0"/>
          <w:sz w:val="24"/>
          <w:szCs w:val="24"/>
          <w:lang w:val="zh-CN" w:eastAsia="zh-CN"/>
        </w:rPr>
        <w:t>5</w:t>
      </w:r>
      <w:r w:rsidRPr="00812273">
        <w:rPr>
          <w:snapToGrid w:val="0"/>
          <w:sz w:val="24"/>
          <w:szCs w:val="24"/>
          <w:lang w:val="zh-CN" w:eastAsia="zh-CN"/>
        </w:rPr>
        <w:t>月与国际专家和会员国分享，以供审阅。在瑞士政府的资金支持下，</w:t>
      </w:r>
      <w:r w:rsidR="003C762E" w:rsidRPr="00812273">
        <w:rPr>
          <w:rFonts w:hint="eastAsia"/>
          <w:snapToGrid w:val="0"/>
          <w:sz w:val="24"/>
          <w:szCs w:val="24"/>
          <w:lang w:val="zh-CN" w:eastAsia="zh-CN"/>
        </w:rPr>
        <w:t>开展</w:t>
      </w:r>
      <w:r w:rsidR="00233458" w:rsidRPr="00812273">
        <w:rPr>
          <w:rFonts w:hint="eastAsia"/>
          <w:snapToGrid w:val="0"/>
          <w:sz w:val="24"/>
          <w:szCs w:val="24"/>
          <w:lang w:val="zh-CN" w:eastAsia="zh-CN"/>
        </w:rPr>
        <w:t>了</w:t>
      </w:r>
      <w:r w:rsidRPr="00812273">
        <w:rPr>
          <w:snapToGrid w:val="0"/>
          <w:sz w:val="24"/>
          <w:szCs w:val="24"/>
          <w:lang w:val="zh-CN" w:eastAsia="zh-CN"/>
        </w:rPr>
        <w:t>同行审评和利益攸关方协商进程</w:t>
      </w:r>
      <w:r w:rsidR="003C762E" w:rsidRPr="00812273">
        <w:rPr>
          <w:rFonts w:hint="eastAsia"/>
          <w:snapToGrid w:val="0"/>
          <w:sz w:val="24"/>
          <w:szCs w:val="24"/>
          <w:lang w:val="zh-CN" w:eastAsia="zh-CN"/>
        </w:rPr>
        <w:t>，包括</w:t>
      </w:r>
      <w:r w:rsidRPr="00812273">
        <w:rPr>
          <w:snapToGrid w:val="0"/>
          <w:sz w:val="24"/>
          <w:szCs w:val="24"/>
          <w:lang w:val="zh-CN" w:eastAsia="zh-CN"/>
        </w:rPr>
        <w:t>7</w:t>
      </w:r>
      <w:r w:rsidRPr="00812273">
        <w:rPr>
          <w:snapToGrid w:val="0"/>
          <w:sz w:val="24"/>
          <w:szCs w:val="24"/>
          <w:lang w:val="zh-CN" w:eastAsia="zh-CN"/>
        </w:rPr>
        <w:t>次在线区域协商会议，涉及</w:t>
      </w:r>
      <w:r w:rsidRPr="00812273">
        <w:rPr>
          <w:snapToGrid w:val="0"/>
          <w:sz w:val="24"/>
          <w:szCs w:val="24"/>
          <w:lang w:val="zh-CN" w:eastAsia="zh-CN"/>
        </w:rPr>
        <w:t>72</w:t>
      </w:r>
      <w:r w:rsidRPr="00812273">
        <w:rPr>
          <w:snapToGrid w:val="0"/>
          <w:sz w:val="24"/>
          <w:szCs w:val="24"/>
          <w:lang w:val="zh-CN" w:eastAsia="zh-CN"/>
        </w:rPr>
        <w:t>个国家，以及来自广泛多边组织的代表。协商旨在</w:t>
      </w:r>
      <w:r w:rsidR="004F3714" w:rsidRPr="00812273">
        <w:rPr>
          <w:rFonts w:hint="eastAsia"/>
          <w:snapToGrid w:val="0"/>
          <w:sz w:val="24"/>
          <w:szCs w:val="24"/>
          <w:lang w:val="zh-CN" w:eastAsia="zh-CN"/>
        </w:rPr>
        <w:t>为指导草案</w:t>
      </w:r>
      <w:r w:rsidRPr="00812273">
        <w:rPr>
          <w:snapToGrid w:val="0"/>
          <w:sz w:val="24"/>
          <w:szCs w:val="24"/>
          <w:lang w:val="zh-CN" w:eastAsia="zh-CN"/>
        </w:rPr>
        <w:t>提供信息并收集</w:t>
      </w:r>
      <w:r w:rsidR="004F3714" w:rsidRPr="00812273">
        <w:rPr>
          <w:rFonts w:hint="eastAsia"/>
          <w:snapToGrid w:val="0"/>
          <w:sz w:val="24"/>
          <w:szCs w:val="24"/>
          <w:lang w:val="zh-CN" w:eastAsia="zh-CN"/>
        </w:rPr>
        <w:t>对</w:t>
      </w:r>
      <w:r w:rsidRPr="00812273">
        <w:rPr>
          <w:snapToGrid w:val="0"/>
          <w:sz w:val="24"/>
          <w:szCs w:val="24"/>
          <w:lang w:val="zh-CN" w:eastAsia="zh-CN"/>
        </w:rPr>
        <w:t>草案的反馈意见，为各国</w:t>
      </w:r>
      <w:r w:rsidR="00233458" w:rsidRPr="00812273">
        <w:rPr>
          <w:snapToGrid w:val="0"/>
          <w:sz w:val="24"/>
          <w:szCs w:val="24"/>
          <w:lang w:val="zh-CN" w:eastAsia="zh-CN"/>
        </w:rPr>
        <w:t>提供</w:t>
      </w:r>
      <w:r w:rsidR="00EF0E0A" w:rsidRPr="00812273">
        <w:rPr>
          <w:rFonts w:hint="eastAsia"/>
          <w:snapToGrid w:val="0"/>
          <w:sz w:val="24"/>
          <w:szCs w:val="24"/>
          <w:lang w:val="zh-CN" w:eastAsia="zh-CN"/>
        </w:rPr>
        <w:t>机会以</w:t>
      </w:r>
      <w:r w:rsidRPr="00812273">
        <w:rPr>
          <w:snapToGrid w:val="0"/>
          <w:sz w:val="24"/>
          <w:szCs w:val="24"/>
          <w:lang w:val="zh-CN" w:eastAsia="zh-CN"/>
        </w:rPr>
        <w:t>分享执行第</w:t>
      </w:r>
      <w:r w:rsidRPr="00812273">
        <w:rPr>
          <w:snapToGrid w:val="0"/>
          <w:sz w:val="24"/>
          <w:szCs w:val="24"/>
          <w:lang w:val="zh-CN" w:eastAsia="zh-CN"/>
        </w:rPr>
        <w:t>4/5</w:t>
      </w:r>
      <w:r w:rsidRPr="00812273">
        <w:rPr>
          <w:snapToGrid w:val="0"/>
          <w:sz w:val="24"/>
          <w:szCs w:val="24"/>
          <w:lang w:val="zh-CN" w:eastAsia="zh-CN"/>
        </w:rPr>
        <w:t>号决议</w:t>
      </w:r>
      <w:r w:rsidR="00233458" w:rsidRPr="00812273">
        <w:rPr>
          <w:rFonts w:hint="eastAsia"/>
          <w:snapToGrid w:val="0"/>
          <w:sz w:val="24"/>
          <w:szCs w:val="24"/>
          <w:lang w:val="zh-CN" w:eastAsia="zh-CN"/>
        </w:rPr>
        <w:t>的</w:t>
      </w:r>
      <w:r w:rsidRPr="00812273">
        <w:rPr>
          <w:snapToGrid w:val="0"/>
          <w:sz w:val="24"/>
          <w:szCs w:val="24"/>
          <w:lang w:val="zh-CN" w:eastAsia="zh-CN"/>
        </w:rPr>
        <w:t>经验和其他可持续基础设施经验，并讨论正在进行的执行决议活动以及环境大会第五届会议可能采取的后续行动。协商进程之余还开展了问卷调查，收到了</w:t>
      </w:r>
      <w:r w:rsidRPr="00812273">
        <w:rPr>
          <w:snapToGrid w:val="0"/>
          <w:sz w:val="24"/>
          <w:szCs w:val="24"/>
          <w:lang w:val="zh-CN" w:eastAsia="zh-CN"/>
        </w:rPr>
        <w:t>39</w:t>
      </w:r>
      <w:r w:rsidRPr="00812273">
        <w:rPr>
          <w:snapToGrid w:val="0"/>
          <w:sz w:val="24"/>
          <w:szCs w:val="24"/>
          <w:lang w:val="zh-CN" w:eastAsia="zh-CN"/>
        </w:rPr>
        <w:t>个国家的</w:t>
      </w:r>
      <w:r w:rsidRPr="00812273">
        <w:rPr>
          <w:snapToGrid w:val="0"/>
          <w:sz w:val="24"/>
          <w:szCs w:val="24"/>
          <w:lang w:val="zh-CN" w:eastAsia="zh-CN"/>
        </w:rPr>
        <w:t>62</w:t>
      </w:r>
      <w:r w:rsidRPr="00812273">
        <w:rPr>
          <w:snapToGrid w:val="0"/>
          <w:sz w:val="24"/>
          <w:szCs w:val="24"/>
          <w:lang w:val="zh-CN" w:eastAsia="zh-CN"/>
        </w:rPr>
        <w:t>份答复，还有</w:t>
      </w:r>
      <w:r w:rsidRPr="00812273">
        <w:rPr>
          <w:snapToGrid w:val="0"/>
          <w:sz w:val="24"/>
          <w:szCs w:val="24"/>
          <w:lang w:val="zh-CN" w:eastAsia="zh-CN"/>
        </w:rPr>
        <w:t>32</w:t>
      </w:r>
      <w:r w:rsidRPr="00812273">
        <w:rPr>
          <w:snapToGrid w:val="0"/>
          <w:sz w:val="24"/>
          <w:szCs w:val="24"/>
          <w:lang w:val="zh-CN" w:eastAsia="zh-CN"/>
        </w:rPr>
        <w:t>名国际专家对指导草案进行了同行审评。</w:t>
      </w:r>
    </w:p>
    <w:p w14:paraId="2AF9C59F" w14:textId="253B4B79"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除可持续基础设施良好做法指导框架外，还有两项产出。第一项是会员国建设可持续基础设施经验方面的案例研究集合。这份出版物得到了瑞士政府和绿色经济行动伙伴关系的资金支持，与可持续基础设施伙伴关系的伙伴合作编制，阐述了来自</w:t>
      </w:r>
      <w:r w:rsidRPr="00812273">
        <w:rPr>
          <w:snapToGrid w:val="0"/>
          <w:sz w:val="24"/>
          <w:szCs w:val="24"/>
          <w:lang w:val="zh-CN" w:eastAsia="zh-CN"/>
        </w:rPr>
        <w:t>10</w:t>
      </w:r>
      <w:r w:rsidRPr="00812273">
        <w:rPr>
          <w:snapToGrid w:val="0"/>
          <w:sz w:val="24"/>
          <w:szCs w:val="24"/>
          <w:lang w:val="zh-CN" w:eastAsia="zh-CN"/>
        </w:rPr>
        <w:t>个不同国家（阿富汗、奥地利、智利、厄瓜多尔、伊朗伊斯兰共和国、马拉维、蒙古、圣卢西亚、新加坡和津巴布韦）的案例研究，分别对应框架中的</w:t>
      </w:r>
      <w:r w:rsidRPr="00812273">
        <w:rPr>
          <w:snapToGrid w:val="0"/>
          <w:sz w:val="24"/>
          <w:szCs w:val="24"/>
          <w:lang w:val="zh-CN" w:eastAsia="zh-CN"/>
        </w:rPr>
        <w:t>10</w:t>
      </w:r>
      <w:r w:rsidRPr="00812273">
        <w:rPr>
          <w:snapToGrid w:val="0"/>
          <w:sz w:val="24"/>
          <w:szCs w:val="24"/>
          <w:lang w:val="zh-CN" w:eastAsia="zh-CN"/>
        </w:rPr>
        <w:t>项原则。第二项成果是一个知识中心，以德国国际合作局（</w:t>
      </w:r>
      <w:r w:rsidRPr="00812273">
        <w:rPr>
          <w:snapToGrid w:val="0"/>
          <w:sz w:val="24"/>
          <w:szCs w:val="24"/>
          <w:lang w:val="zh-CN" w:eastAsia="zh-CN"/>
        </w:rPr>
        <w:t>GIZ</w:t>
      </w:r>
      <w:r w:rsidRPr="00812273">
        <w:rPr>
          <w:snapToGrid w:val="0"/>
          <w:sz w:val="24"/>
          <w:szCs w:val="24"/>
          <w:lang w:val="zh-CN" w:eastAsia="zh-CN"/>
        </w:rPr>
        <w:t>）创建的在线</w:t>
      </w:r>
      <w:hyperlink r:id="rId16" w:history="1">
        <w:r w:rsidRPr="00812273">
          <w:rPr>
            <w:rStyle w:val="Hyperlink"/>
            <w:rFonts w:ascii="SimSun" w:hAnsi="SimSun"/>
            <w:snapToGrid w:val="0"/>
            <w:sz w:val="24"/>
            <w:szCs w:val="24"/>
            <w:lang w:val="zh-CN" w:eastAsia="zh-CN"/>
          </w:rPr>
          <w:t>“可持续基础设施工具导航器”</w:t>
        </w:r>
      </w:hyperlink>
      <w:r w:rsidRPr="00812273">
        <w:rPr>
          <w:rFonts w:ascii="SimSun" w:hAnsi="SimSun"/>
          <w:snapToGrid w:val="0"/>
          <w:sz w:val="24"/>
          <w:szCs w:val="24"/>
          <w:lang w:val="zh-CN" w:eastAsia="zh-CN"/>
        </w:rPr>
        <w:t>为</w:t>
      </w:r>
      <w:r w:rsidRPr="00812273">
        <w:rPr>
          <w:snapToGrid w:val="0"/>
          <w:sz w:val="24"/>
          <w:szCs w:val="24"/>
          <w:lang w:val="zh-CN" w:eastAsia="zh-CN"/>
        </w:rPr>
        <w:t>基础，环境署与该机构合作扩大了导航器的范围。</w:t>
      </w:r>
    </w:p>
    <w:p w14:paraId="4B1F2BF1" w14:textId="4AEC047B" w:rsidR="00C83D89" w:rsidRPr="00812273" w:rsidRDefault="002A50DE" w:rsidP="00812273">
      <w:pPr>
        <w:pStyle w:val="CH2"/>
        <w:numPr>
          <w:ilvl w:val="2"/>
          <w:numId w:val="26"/>
        </w:numPr>
        <w:ind w:hanging="2215"/>
        <w:rPr>
          <w:rFonts w:eastAsia="SimHei"/>
          <w:bCs/>
          <w:snapToGrid w:val="0"/>
          <w:sz w:val="28"/>
          <w:szCs w:val="28"/>
          <w:lang w:val="zh-CN" w:eastAsia="zh-CN"/>
        </w:rPr>
      </w:pPr>
      <w:r w:rsidRPr="00812273">
        <w:rPr>
          <w:rFonts w:eastAsia="SimHei"/>
          <w:bCs/>
          <w:snapToGrid w:val="0"/>
          <w:sz w:val="28"/>
          <w:szCs w:val="28"/>
          <w:lang w:val="zh-CN" w:eastAsia="zh-CN"/>
        </w:rPr>
        <w:t>知识生成和交流</w:t>
      </w:r>
    </w:p>
    <w:p w14:paraId="05E5ABD3" w14:textId="7E158B88" w:rsidR="00C83D89" w:rsidRPr="00812273" w:rsidRDefault="00C83D89" w:rsidP="00812273">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sz w:val="24"/>
          <w:szCs w:val="24"/>
          <w:lang w:eastAsia="zh-CN"/>
        </w:rPr>
      </w:pPr>
      <w:r w:rsidRPr="00812273">
        <w:rPr>
          <w:snapToGrid w:val="0"/>
          <w:sz w:val="24"/>
          <w:szCs w:val="24"/>
          <w:lang w:val="zh-CN" w:eastAsia="zh-CN"/>
        </w:rPr>
        <w:t>环境署与伙伴合作主办活动并发布知识产品，涉及到可持续基础设施的各个方面，包括社会包容性、气候、生物多样性、资源</w:t>
      </w:r>
      <w:r w:rsidR="00652D31" w:rsidRPr="00812273">
        <w:rPr>
          <w:rFonts w:hint="eastAsia"/>
          <w:snapToGrid w:val="0"/>
          <w:sz w:val="24"/>
          <w:szCs w:val="24"/>
          <w:lang w:val="zh-CN" w:eastAsia="zh-CN"/>
        </w:rPr>
        <w:t>高效型</w:t>
      </w:r>
      <w:r w:rsidRPr="00812273">
        <w:rPr>
          <w:snapToGrid w:val="0"/>
          <w:sz w:val="24"/>
          <w:szCs w:val="24"/>
          <w:lang w:val="zh-CN" w:eastAsia="zh-CN"/>
        </w:rPr>
        <w:t>基础设施、可持续公共采购、私营部门的作用、绿色、蓝色和灰色基础设施的整合，以及可持续基础设施在后疫情时代绿色复苏中的作用。在城市一级，环境署制定了</w:t>
      </w:r>
      <w:r w:rsidRPr="00812273">
        <w:rPr>
          <w:rFonts w:ascii="SimSun" w:hAnsi="SimSun"/>
          <w:snapToGrid w:val="0"/>
          <w:sz w:val="24"/>
          <w:szCs w:val="24"/>
          <w:lang w:val="zh-CN" w:eastAsia="zh-CN"/>
        </w:rPr>
        <w:t>“可持续居民区设计综合准则”</w:t>
      </w:r>
      <w:r w:rsidRPr="00812273">
        <w:rPr>
          <w:snapToGrid w:val="0"/>
          <w:sz w:val="24"/>
          <w:szCs w:val="24"/>
          <w:lang w:val="zh-CN" w:eastAsia="zh-CN"/>
        </w:rPr>
        <w:t>，将国际资源委员会《城市的重量》报告的</w:t>
      </w:r>
      <w:r w:rsidR="007D0057" w:rsidRPr="00812273">
        <w:rPr>
          <w:rFonts w:hint="eastAsia"/>
          <w:snapToGrid w:val="0"/>
          <w:sz w:val="24"/>
          <w:szCs w:val="24"/>
          <w:lang w:val="zh-CN" w:eastAsia="zh-CN"/>
        </w:rPr>
        <w:t>调查</w:t>
      </w:r>
      <w:r w:rsidRPr="00812273">
        <w:rPr>
          <w:snapToGrid w:val="0"/>
          <w:sz w:val="24"/>
          <w:szCs w:val="24"/>
          <w:lang w:val="zh-CN" w:eastAsia="zh-CN"/>
        </w:rPr>
        <w:t>结果转化为如何</w:t>
      </w:r>
      <w:r w:rsidR="0085678D" w:rsidRPr="00812273">
        <w:rPr>
          <w:rFonts w:hint="eastAsia"/>
          <w:snapToGrid w:val="0"/>
          <w:sz w:val="24"/>
          <w:szCs w:val="24"/>
          <w:lang w:val="zh-CN" w:eastAsia="zh-CN"/>
        </w:rPr>
        <w:t>发挥</w:t>
      </w:r>
      <w:r w:rsidR="00362BCF" w:rsidRPr="00812273">
        <w:rPr>
          <w:rFonts w:hint="eastAsia"/>
          <w:snapToGrid w:val="0"/>
          <w:sz w:val="24"/>
          <w:szCs w:val="24"/>
          <w:lang w:val="zh-CN" w:eastAsia="zh-CN"/>
        </w:rPr>
        <w:t>应对</w:t>
      </w:r>
      <w:r w:rsidRPr="00812273">
        <w:rPr>
          <w:snapToGrid w:val="0"/>
          <w:sz w:val="24"/>
          <w:szCs w:val="24"/>
          <w:lang w:val="zh-CN" w:eastAsia="zh-CN"/>
        </w:rPr>
        <w:t>气候</w:t>
      </w:r>
      <w:r w:rsidR="0085678D" w:rsidRPr="00812273">
        <w:rPr>
          <w:rFonts w:hint="eastAsia"/>
          <w:snapToGrid w:val="0"/>
          <w:sz w:val="24"/>
          <w:szCs w:val="24"/>
          <w:lang w:val="zh-CN" w:eastAsia="zh-CN"/>
        </w:rPr>
        <w:t>变化</w:t>
      </w:r>
      <w:r w:rsidRPr="00812273">
        <w:rPr>
          <w:snapToGrid w:val="0"/>
          <w:sz w:val="24"/>
          <w:szCs w:val="24"/>
          <w:lang w:val="zh-CN" w:eastAsia="zh-CN"/>
        </w:rPr>
        <w:t>和</w:t>
      </w:r>
      <w:r w:rsidR="00362BCF" w:rsidRPr="00812273">
        <w:rPr>
          <w:snapToGrid w:val="0"/>
          <w:sz w:val="24"/>
          <w:szCs w:val="24"/>
          <w:lang w:val="zh-CN" w:eastAsia="zh-CN"/>
        </w:rPr>
        <w:t>减少</w:t>
      </w:r>
      <w:r w:rsidRPr="00812273">
        <w:rPr>
          <w:snapToGrid w:val="0"/>
          <w:sz w:val="24"/>
          <w:szCs w:val="24"/>
          <w:lang w:val="zh-CN" w:eastAsia="zh-CN"/>
        </w:rPr>
        <w:t>资源</w:t>
      </w:r>
      <w:r w:rsidR="0085678D" w:rsidRPr="00812273">
        <w:rPr>
          <w:rFonts w:hint="eastAsia"/>
          <w:snapToGrid w:val="0"/>
          <w:sz w:val="24"/>
          <w:szCs w:val="24"/>
          <w:lang w:val="zh-CN" w:eastAsia="zh-CN"/>
        </w:rPr>
        <w:t>需求的</w:t>
      </w:r>
      <w:r w:rsidRPr="00812273">
        <w:rPr>
          <w:snapToGrid w:val="0"/>
          <w:sz w:val="24"/>
          <w:szCs w:val="24"/>
          <w:lang w:val="zh-CN" w:eastAsia="zh-CN"/>
        </w:rPr>
        <w:t>潜力的指导意见。</w:t>
      </w:r>
    </w:p>
    <w:p w14:paraId="56FD6703" w14:textId="79D3BC4E" w:rsidR="00C83D89" w:rsidRPr="00812273" w:rsidRDefault="002A50DE" w:rsidP="00812273">
      <w:pPr>
        <w:pStyle w:val="CH2"/>
        <w:numPr>
          <w:ilvl w:val="2"/>
          <w:numId w:val="26"/>
        </w:numPr>
        <w:ind w:hanging="2215"/>
        <w:rPr>
          <w:rFonts w:eastAsia="SimHei"/>
          <w:bCs/>
          <w:snapToGrid w:val="0"/>
          <w:sz w:val="28"/>
          <w:szCs w:val="28"/>
          <w:lang w:val="zh-CN" w:eastAsia="zh-CN"/>
        </w:rPr>
      </w:pPr>
      <w:r w:rsidRPr="00812273">
        <w:rPr>
          <w:rFonts w:eastAsia="SimHei"/>
          <w:bCs/>
          <w:snapToGrid w:val="0"/>
          <w:sz w:val="28"/>
          <w:szCs w:val="28"/>
          <w:lang w:val="zh-CN" w:eastAsia="zh-CN"/>
        </w:rPr>
        <w:t>能力建设和国家支持</w:t>
      </w:r>
    </w:p>
    <w:p w14:paraId="5265C21E" w14:textId="55B705C5" w:rsidR="00C83D89" w:rsidRPr="00812273" w:rsidRDefault="00C83D89" w:rsidP="00B76B77">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自</w:t>
      </w:r>
      <w:r w:rsidRPr="00812273">
        <w:rPr>
          <w:snapToGrid w:val="0"/>
          <w:sz w:val="24"/>
          <w:szCs w:val="24"/>
          <w:lang w:val="zh-CN" w:eastAsia="zh-CN"/>
        </w:rPr>
        <w:t>2019</w:t>
      </w:r>
      <w:r w:rsidRPr="00812273">
        <w:rPr>
          <w:snapToGrid w:val="0"/>
          <w:sz w:val="24"/>
          <w:szCs w:val="24"/>
          <w:lang w:val="zh-CN" w:eastAsia="zh-CN"/>
        </w:rPr>
        <w:t>年</w:t>
      </w:r>
      <w:r w:rsidRPr="00812273">
        <w:rPr>
          <w:snapToGrid w:val="0"/>
          <w:sz w:val="24"/>
          <w:szCs w:val="24"/>
          <w:lang w:val="zh-CN" w:eastAsia="zh-CN"/>
        </w:rPr>
        <w:t>9</w:t>
      </w:r>
      <w:r w:rsidRPr="00812273">
        <w:rPr>
          <w:snapToGrid w:val="0"/>
          <w:sz w:val="24"/>
          <w:szCs w:val="24"/>
          <w:lang w:val="zh-CN" w:eastAsia="zh-CN"/>
        </w:rPr>
        <w:t>月以来，在全球环境基金的资金支持下，环境署</w:t>
      </w:r>
      <w:r w:rsidR="00602FB4" w:rsidRPr="00812273">
        <w:rPr>
          <w:rFonts w:hint="eastAsia"/>
          <w:snapToGrid w:val="0"/>
          <w:sz w:val="24"/>
          <w:szCs w:val="24"/>
          <w:lang w:val="zh-CN" w:eastAsia="zh-CN"/>
        </w:rPr>
        <w:t>一直</w:t>
      </w:r>
      <w:r w:rsidRPr="00812273">
        <w:rPr>
          <w:snapToGrid w:val="0"/>
          <w:sz w:val="24"/>
          <w:szCs w:val="24"/>
          <w:lang w:val="zh-CN" w:eastAsia="zh-CN"/>
        </w:rPr>
        <w:t>与世界养护监测中心合作，评估全球范围内基础设施发展对环境、社会和经济的影响。</w:t>
      </w:r>
      <w:r w:rsidR="006A7608" w:rsidRPr="00812273">
        <w:rPr>
          <w:rFonts w:hint="eastAsia"/>
          <w:snapToGrid w:val="0"/>
          <w:sz w:val="24"/>
          <w:szCs w:val="24"/>
          <w:lang w:val="zh-CN" w:eastAsia="zh-CN"/>
        </w:rPr>
        <w:t>这项</w:t>
      </w:r>
      <w:r w:rsidRPr="00812273">
        <w:rPr>
          <w:snapToGrid w:val="0"/>
          <w:sz w:val="24"/>
          <w:szCs w:val="24"/>
          <w:lang w:val="zh-CN" w:eastAsia="zh-CN"/>
        </w:rPr>
        <w:t>评估将在</w:t>
      </w:r>
      <w:r w:rsidRPr="00812273">
        <w:rPr>
          <w:snapToGrid w:val="0"/>
          <w:sz w:val="24"/>
          <w:szCs w:val="24"/>
          <w:lang w:val="zh-CN" w:eastAsia="zh-CN"/>
        </w:rPr>
        <w:t>2021</w:t>
      </w:r>
      <w:r w:rsidRPr="00812273">
        <w:rPr>
          <w:snapToGrid w:val="0"/>
          <w:sz w:val="24"/>
          <w:szCs w:val="24"/>
          <w:lang w:val="zh-CN" w:eastAsia="zh-CN"/>
        </w:rPr>
        <w:t>年</w:t>
      </w:r>
      <w:r w:rsidRPr="00812273">
        <w:rPr>
          <w:snapToGrid w:val="0"/>
          <w:sz w:val="24"/>
          <w:szCs w:val="24"/>
          <w:lang w:val="zh-CN" w:eastAsia="zh-CN"/>
        </w:rPr>
        <w:t>8</w:t>
      </w:r>
      <w:r w:rsidRPr="00812273">
        <w:rPr>
          <w:snapToGrid w:val="0"/>
          <w:sz w:val="24"/>
          <w:szCs w:val="24"/>
          <w:lang w:val="zh-CN" w:eastAsia="zh-CN"/>
        </w:rPr>
        <w:t>月前完成。与此同时，正在对评估方法加以调整，以便在国家一级应用；</w:t>
      </w:r>
      <w:r w:rsidRPr="00812273">
        <w:rPr>
          <w:snapToGrid w:val="0"/>
          <w:sz w:val="24"/>
          <w:szCs w:val="24"/>
          <w:lang w:val="zh-CN" w:eastAsia="zh-CN"/>
        </w:rPr>
        <w:t>2021</w:t>
      </w:r>
      <w:r w:rsidRPr="00812273">
        <w:rPr>
          <w:snapToGrid w:val="0"/>
          <w:sz w:val="24"/>
          <w:szCs w:val="24"/>
          <w:lang w:val="zh-CN" w:eastAsia="zh-CN"/>
        </w:rPr>
        <w:t>年上半年将在蒙古试行该方法，以评估该国运输部门的可持续性。</w:t>
      </w:r>
    </w:p>
    <w:p w14:paraId="24D4E58C" w14:textId="054ABCF9" w:rsidR="00C83D89" w:rsidRPr="00812273" w:rsidRDefault="00C83D89" w:rsidP="00B76B77">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在加纳，环境署正在与全球适应中心</w:t>
      </w:r>
      <w:r w:rsidRPr="00812273">
        <w:rPr>
          <w:snapToGrid w:val="0"/>
          <w:sz w:val="24"/>
          <w:szCs w:val="24"/>
          <w:lang w:val="zh-CN" w:eastAsia="zh-CN"/>
        </w:rPr>
        <w:t xml:space="preserve"> </w:t>
      </w:r>
      <w:r w:rsidRPr="00812273">
        <w:rPr>
          <w:snapToGrid w:val="0"/>
          <w:sz w:val="24"/>
          <w:szCs w:val="24"/>
          <w:lang w:val="zh-CN" w:eastAsia="zh-CN"/>
        </w:rPr>
        <w:t>、牛津大学、联合国项目事务署和加纳政府合作，开展一项全球适应问题委员会的项目，对</w:t>
      </w:r>
      <w:r w:rsidR="0085678D" w:rsidRPr="00812273">
        <w:rPr>
          <w:rFonts w:hint="eastAsia"/>
          <w:snapToGrid w:val="0"/>
          <w:sz w:val="24"/>
          <w:szCs w:val="24"/>
          <w:lang w:val="zh-CN" w:eastAsia="zh-CN"/>
        </w:rPr>
        <w:t>有利的人造</w:t>
      </w:r>
      <w:r w:rsidRPr="00812273">
        <w:rPr>
          <w:snapToGrid w:val="0"/>
          <w:sz w:val="24"/>
          <w:szCs w:val="24"/>
          <w:lang w:val="zh-CN" w:eastAsia="zh-CN"/>
        </w:rPr>
        <w:t>环境和自然环境进行综合评估。这项评估将提供信息，协助制定提高水、运输和能源部门基础设施的复原力和可持续性的国家计划。该计划将用于修订加纳根据《巴黎协定》作出的国家自主贡献，以及制定加纳适应气候变化的国家行动计划。</w:t>
      </w:r>
    </w:p>
    <w:p w14:paraId="1676EDE0" w14:textId="62C0049A" w:rsidR="00C83D89" w:rsidRPr="00812273" w:rsidRDefault="00C83D89" w:rsidP="00B76B77">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在中国政府的资金支持下，环境署与区域伙伴合作为政策制定者举办了三场为期一周的可持续基础设施区域能力建设讲习班。其中一场针对中亚国家政策制定者的讲习班已经</w:t>
      </w:r>
      <w:r w:rsidR="001F3124" w:rsidRPr="00812273">
        <w:rPr>
          <w:rFonts w:hint="eastAsia"/>
          <w:snapToGrid w:val="0"/>
          <w:sz w:val="24"/>
          <w:szCs w:val="24"/>
          <w:lang w:val="zh-CN" w:eastAsia="zh-CN"/>
        </w:rPr>
        <w:t>开办</w:t>
      </w:r>
      <w:r w:rsidRPr="00812273">
        <w:rPr>
          <w:snapToGrid w:val="0"/>
          <w:sz w:val="24"/>
          <w:szCs w:val="24"/>
          <w:lang w:val="zh-CN" w:eastAsia="zh-CN"/>
        </w:rPr>
        <w:t>，其余两场（分别针对东南亚和非洲）原定于</w:t>
      </w:r>
      <w:r w:rsidRPr="00812273">
        <w:rPr>
          <w:snapToGrid w:val="0"/>
          <w:sz w:val="24"/>
          <w:szCs w:val="24"/>
          <w:lang w:val="zh-CN" w:eastAsia="zh-CN"/>
        </w:rPr>
        <w:t>2020</w:t>
      </w:r>
      <w:r w:rsidRPr="00812273">
        <w:rPr>
          <w:snapToGrid w:val="0"/>
          <w:sz w:val="24"/>
          <w:szCs w:val="24"/>
          <w:lang w:val="zh-CN" w:eastAsia="zh-CN"/>
        </w:rPr>
        <w:t>年</w:t>
      </w:r>
      <w:r w:rsidRPr="00812273">
        <w:rPr>
          <w:snapToGrid w:val="0"/>
          <w:sz w:val="24"/>
          <w:szCs w:val="24"/>
          <w:lang w:val="zh-CN" w:eastAsia="zh-CN"/>
        </w:rPr>
        <w:t>2</w:t>
      </w:r>
      <w:r w:rsidRPr="00812273">
        <w:rPr>
          <w:snapToGrid w:val="0"/>
          <w:sz w:val="24"/>
          <w:szCs w:val="24"/>
          <w:lang w:val="zh-CN" w:eastAsia="zh-CN"/>
        </w:rPr>
        <w:t>月和</w:t>
      </w:r>
      <w:r w:rsidRPr="00812273">
        <w:rPr>
          <w:snapToGrid w:val="0"/>
          <w:sz w:val="24"/>
          <w:szCs w:val="24"/>
          <w:lang w:val="zh-CN" w:eastAsia="zh-CN"/>
        </w:rPr>
        <w:t>10</w:t>
      </w:r>
      <w:r w:rsidRPr="00812273">
        <w:rPr>
          <w:snapToGrid w:val="0"/>
          <w:sz w:val="24"/>
          <w:szCs w:val="24"/>
          <w:lang w:val="zh-CN" w:eastAsia="zh-CN"/>
        </w:rPr>
        <w:t>月举行，但由于疫情相关限制，已推迟到</w:t>
      </w:r>
      <w:r w:rsidRPr="00812273">
        <w:rPr>
          <w:snapToGrid w:val="0"/>
          <w:sz w:val="24"/>
          <w:szCs w:val="24"/>
          <w:lang w:val="zh-CN" w:eastAsia="zh-CN"/>
        </w:rPr>
        <w:t>2021</w:t>
      </w:r>
      <w:r w:rsidRPr="00812273">
        <w:rPr>
          <w:snapToGrid w:val="0"/>
          <w:sz w:val="24"/>
          <w:szCs w:val="24"/>
          <w:lang w:val="zh-CN" w:eastAsia="zh-CN"/>
        </w:rPr>
        <w:t>年。环境署正</w:t>
      </w:r>
      <w:r w:rsidRPr="00812273">
        <w:rPr>
          <w:snapToGrid w:val="0"/>
          <w:sz w:val="24"/>
          <w:szCs w:val="24"/>
          <w:lang w:val="zh-CN" w:eastAsia="zh-CN"/>
        </w:rPr>
        <w:lastRenderedPageBreak/>
        <w:t>在与杜克大学合作，牵头建立一个可持续基础设施学习社区，迄今包括其他</w:t>
      </w:r>
      <w:r w:rsidRPr="00812273">
        <w:rPr>
          <w:snapToGrid w:val="0"/>
          <w:sz w:val="24"/>
          <w:szCs w:val="24"/>
          <w:lang w:val="zh-CN" w:eastAsia="zh-CN"/>
        </w:rPr>
        <w:t>20</w:t>
      </w:r>
      <w:r w:rsidRPr="00812273">
        <w:rPr>
          <w:snapToGrid w:val="0"/>
          <w:sz w:val="24"/>
          <w:szCs w:val="24"/>
          <w:lang w:val="zh-CN" w:eastAsia="zh-CN"/>
        </w:rPr>
        <w:t>个组织，以便使能力发展工作制度化并</w:t>
      </w:r>
      <w:r w:rsidR="001F3124" w:rsidRPr="00812273">
        <w:rPr>
          <w:rFonts w:hint="eastAsia"/>
          <w:snapToGrid w:val="0"/>
          <w:sz w:val="24"/>
          <w:szCs w:val="24"/>
          <w:lang w:val="zh-CN" w:eastAsia="zh-CN"/>
        </w:rPr>
        <w:t>得到</w:t>
      </w:r>
      <w:r w:rsidRPr="00812273">
        <w:rPr>
          <w:snapToGrid w:val="0"/>
          <w:sz w:val="24"/>
          <w:szCs w:val="24"/>
          <w:lang w:val="zh-CN" w:eastAsia="zh-CN"/>
        </w:rPr>
        <w:t>更好的协调。</w:t>
      </w:r>
    </w:p>
    <w:p w14:paraId="6B905ED3" w14:textId="6C26CB3D" w:rsidR="00C83D89" w:rsidRPr="00D571A7" w:rsidRDefault="002A50DE" w:rsidP="009702DD">
      <w:pPr>
        <w:pStyle w:val="CH1"/>
        <w:numPr>
          <w:ilvl w:val="0"/>
          <w:numId w:val="23"/>
        </w:numPr>
        <w:ind w:left="1260" w:hanging="810"/>
        <w:rPr>
          <w:rFonts w:eastAsia="SimHei"/>
          <w:snapToGrid w:val="0"/>
          <w:sz w:val="32"/>
          <w:szCs w:val="32"/>
          <w:lang w:val="zh-CN" w:eastAsia="zh-CN"/>
        </w:rPr>
      </w:pPr>
      <w:r w:rsidRPr="00D571A7">
        <w:rPr>
          <w:rFonts w:eastAsia="SimHei"/>
          <w:snapToGrid w:val="0"/>
          <w:sz w:val="32"/>
          <w:szCs w:val="32"/>
          <w:lang w:val="zh-CN" w:eastAsia="zh-CN"/>
        </w:rPr>
        <w:t>经验教训</w:t>
      </w:r>
    </w:p>
    <w:p w14:paraId="1C92A430" w14:textId="736ED46F" w:rsidR="00C83D89" w:rsidRPr="00812273" w:rsidRDefault="00C83D89" w:rsidP="00D571A7">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在上文第</w:t>
      </w:r>
      <w:r w:rsidRPr="00812273">
        <w:rPr>
          <w:snapToGrid w:val="0"/>
          <w:sz w:val="24"/>
          <w:szCs w:val="24"/>
          <w:lang w:val="zh-CN" w:eastAsia="zh-CN"/>
        </w:rPr>
        <w:t>10</w:t>
      </w:r>
      <w:r w:rsidRPr="00812273">
        <w:rPr>
          <w:snapToGrid w:val="0"/>
          <w:sz w:val="24"/>
          <w:szCs w:val="24"/>
          <w:lang w:val="zh-CN" w:eastAsia="zh-CN"/>
        </w:rPr>
        <w:t>段所述可持续基础设施良好做法指导框架的广泛协商中总结了关于可持续基础设施的多个经验教训，</w:t>
      </w:r>
      <w:r w:rsidR="00CA7F6E" w:rsidRPr="00812273">
        <w:rPr>
          <w:rFonts w:hint="eastAsia"/>
          <w:snapToGrid w:val="0"/>
          <w:sz w:val="24"/>
          <w:szCs w:val="24"/>
          <w:lang w:val="zh-CN" w:eastAsia="zh-CN"/>
        </w:rPr>
        <w:t>具体</w:t>
      </w:r>
      <w:r w:rsidR="005473BF" w:rsidRPr="00812273">
        <w:rPr>
          <w:rFonts w:hint="eastAsia"/>
          <w:snapToGrid w:val="0"/>
          <w:sz w:val="24"/>
          <w:szCs w:val="24"/>
          <w:lang w:val="zh-CN" w:eastAsia="zh-CN"/>
        </w:rPr>
        <w:t>如下</w:t>
      </w:r>
      <w:r w:rsidRPr="00812273">
        <w:rPr>
          <w:snapToGrid w:val="0"/>
          <w:sz w:val="24"/>
          <w:szCs w:val="24"/>
          <w:lang w:val="zh-CN" w:eastAsia="zh-CN"/>
        </w:rPr>
        <w:t>：</w:t>
      </w:r>
    </w:p>
    <w:p w14:paraId="40B18FB1" w14:textId="77777777"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eastAsia="zh-CN"/>
        </w:rPr>
      </w:pPr>
      <w:r w:rsidRPr="00812273">
        <w:rPr>
          <w:rFonts w:ascii="SimSun" w:hAnsi="SimSun"/>
          <w:snapToGrid w:val="0"/>
          <w:sz w:val="24"/>
          <w:szCs w:val="24"/>
          <w:lang w:val="zh-CN" w:eastAsia="zh-CN"/>
        </w:rPr>
        <w:t>“一切照旧”的</w:t>
      </w:r>
      <w:r w:rsidRPr="00812273">
        <w:rPr>
          <w:snapToGrid w:val="0"/>
          <w:sz w:val="24"/>
          <w:szCs w:val="24"/>
          <w:lang w:val="zh-CN" w:eastAsia="zh-CN"/>
        </w:rPr>
        <w:t>基础设施发展模式未能提供实现可持续发展目标所需的可持续基础设施规模。对可持续性的考虑往往不够及时、不够深入，而且只针对某个项目。作为替代办法，在基础设施生命周期中尽早考虑可持续性的所有方面，并考虑到包括自然环境在内的不同基础设施系统之间的相互联系，以此为基础采取更综合的办法，可以有助于取得更可持续、更有效的成果。当基础设施被</w:t>
      </w:r>
      <w:r w:rsidRPr="00812273">
        <w:rPr>
          <w:rFonts w:ascii="SimSun" w:hAnsi="SimSun"/>
          <w:snapToGrid w:val="0"/>
          <w:sz w:val="24"/>
          <w:szCs w:val="24"/>
          <w:lang w:val="zh-CN" w:eastAsia="zh-CN"/>
        </w:rPr>
        <w:t>视为“系统之系统”时，</w:t>
      </w:r>
      <w:r w:rsidRPr="00812273">
        <w:rPr>
          <w:snapToGrid w:val="0"/>
          <w:sz w:val="24"/>
          <w:szCs w:val="24"/>
          <w:lang w:val="zh-CN" w:eastAsia="zh-CN"/>
        </w:rPr>
        <w:t>不同项目和部门之间的权衡取舍和协同效应可加以调节，从而更有效地分配基础设施投资，以提供服务和实现国家可持续发展目标。潜在的风险可以在规划过程中及早发现和解决，使项目更具可持续性，更契合用户的需求和期望。</w:t>
      </w:r>
    </w:p>
    <w:p w14:paraId="76E2535D" w14:textId="0194F202"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val="zh-CN" w:eastAsia="zh-CN"/>
        </w:rPr>
      </w:pPr>
      <w:r w:rsidRPr="00812273">
        <w:rPr>
          <w:snapToGrid w:val="0"/>
          <w:sz w:val="24"/>
          <w:szCs w:val="24"/>
          <w:lang w:val="zh-CN" w:eastAsia="zh-CN"/>
        </w:rPr>
        <w:t>国际和国家两级的主要行为体之间缺乏协调。在国际一级，这涉及致力于可持续基础设施的发展伙伴，例如联合国实体、</w:t>
      </w:r>
      <w:r w:rsidRPr="00812273">
        <w:rPr>
          <w:snapToGrid w:val="0"/>
          <w:sz w:val="24"/>
          <w:szCs w:val="24"/>
          <w:lang w:val="zh-CN" w:eastAsia="zh-CN"/>
        </w:rPr>
        <w:t>20</w:t>
      </w:r>
      <w:r w:rsidRPr="00812273">
        <w:rPr>
          <w:snapToGrid w:val="0"/>
          <w:sz w:val="24"/>
          <w:szCs w:val="24"/>
          <w:lang w:val="zh-CN" w:eastAsia="zh-CN"/>
        </w:rPr>
        <w:t>国集团和多边开发银行。在国家一级，则涉及跨部委合作和多层次治理。无论国际还是国家，还必须与私营部门行为体进行共</w:t>
      </w:r>
      <w:r w:rsidR="000F3F2E" w:rsidRPr="00812273">
        <w:rPr>
          <w:rFonts w:hint="eastAsia"/>
          <w:snapToGrid w:val="0"/>
          <w:sz w:val="24"/>
          <w:szCs w:val="24"/>
          <w:lang w:val="zh-CN" w:eastAsia="zh-CN"/>
        </w:rPr>
        <w:t>创</w:t>
      </w:r>
      <w:r w:rsidRPr="00812273">
        <w:rPr>
          <w:snapToGrid w:val="0"/>
          <w:sz w:val="24"/>
          <w:szCs w:val="24"/>
          <w:lang w:val="zh-CN" w:eastAsia="zh-CN"/>
        </w:rPr>
        <w:t xml:space="preserve"> </w:t>
      </w:r>
      <w:r w:rsidRPr="00812273">
        <w:rPr>
          <w:snapToGrid w:val="0"/>
          <w:sz w:val="24"/>
          <w:szCs w:val="24"/>
          <w:lang w:val="zh-CN" w:eastAsia="zh-CN"/>
        </w:rPr>
        <w:t>。国际行为体以及国家和地方政府需要建立</w:t>
      </w:r>
      <w:r w:rsidRPr="007E48C9">
        <w:rPr>
          <w:rFonts w:ascii="SimSun" w:hAnsi="SimSun" w:hint="eastAsia"/>
          <w:snapToGrid w:val="0"/>
          <w:sz w:val="24"/>
          <w:szCs w:val="24"/>
          <w:lang w:val="zh-CN" w:eastAsia="zh-CN"/>
        </w:rPr>
        <w:t>能够</w:t>
      </w:r>
      <w:r w:rsidR="00C0625D" w:rsidRPr="00812273">
        <w:rPr>
          <w:rFonts w:hint="eastAsia"/>
          <w:snapToGrid w:val="0"/>
          <w:sz w:val="24"/>
          <w:szCs w:val="24"/>
          <w:lang w:val="zh-CN" w:eastAsia="zh-CN"/>
        </w:rPr>
        <w:t>以</w:t>
      </w:r>
      <w:r w:rsidRPr="00812273">
        <w:rPr>
          <w:snapToGrid w:val="0"/>
          <w:sz w:val="24"/>
          <w:szCs w:val="24"/>
          <w:lang w:val="zh-CN" w:eastAsia="zh-CN"/>
        </w:rPr>
        <w:t>协调、综合</w:t>
      </w:r>
      <w:r w:rsidR="004E0660" w:rsidRPr="00812273">
        <w:rPr>
          <w:rFonts w:hint="eastAsia"/>
          <w:snapToGrid w:val="0"/>
          <w:sz w:val="24"/>
          <w:szCs w:val="24"/>
          <w:lang w:val="zh-CN" w:eastAsia="zh-CN"/>
        </w:rPr>
        <w:t>方式</w:t>
      </w:r>
      <w:r w:rsidRPr="00812273">
        <w:rPr>
          <w:snapToGrid w:val="0"/>
          <w:sz w:val="24"/>
          <w:szCs w:val="24"/>
          <w:lang w:val="zh-CN" w:eastAsia="zh-CN"/>
        </w:rPr>
        <w:t>规划和交付可持续基础设施的体制、政策和监管环境。</w:t>
      </w:r>
    </w:p>
    <w:p w14:paraId="63A4FD5C" w14:textId="4A14ED93"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val="zh-CN" w:eastAsia="zh-CN"/>
        </w:rPr>
      </w:pPr>
      <w:r w:rsidRPr="00812273">
        <w:rPr>
          <w:snapToGrid w:val="0"/>
          <w:sz w:val="24"/>
          <w:szCs w:val="24"/>
          <w:lang w:val="zh-CN" w:eastAsia="zh-CN"/>
        </w:rPr>
        <w:t>基础设施投资需要应对多重危机，包括气候变化（兼顾缓解和适应两方面）、资源过度使用、生物多样性丧失和污染。基于自然的解决方案和对自然基础设施的投资在结合这些</w:t>
      </w:r>
      <w:r w:rsidR="0099557E" w:rsidRPr="00812273">
        <w:rPr>
          <w:rFonts w:hint="eastAsia"/>
          <w:snapToGrid w:val="0"/>
          <w:sz w:val="24"/>
          <w:szCs w:val="24"/>
          <w:lang w:val="zh-CN" w:eastAsia="zh-CN"/>
        </w:rPr>
        <w:t>纲领</w:t>
      </w:r>
      <w:r w:rsidRPr="00812273">
        <w:rPr>
          <w:snapToGrid w:val="0"/>
          <w:sz w:val="24"/>
          <w:szCs w:val="24"/>
          <w:lang w:val="zh-CN" w:eastAsia="zh-CN"/>
        </w:rPr>
        <w:t>方面发挥着关键作用。</w:t>
      </w:r>
    </w:p>
    <w:p w14:paraId="4B98A5E3" w14:textId="77777777"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val="zh-CN" w:eastAsia="zh-CN"/>
        </w:rPr>
      </w:pPr>
      <w:r w:rsidRPr="00812273">
        <w:rPr>
          <w:snapToGrid w:val="0"/>
          <w:sz w:val="24"/>
          <w:szCs w:val="24"/>
          <w:lang w:val="zh-CN" w:eastAsia="zh-CN"/>
        </w:rPr>
        <w:t>在大多数情况下，缺乏指导和工具并不是目前可持续基础设施的主要障碍；障碍在于缺乏能力驾驭丰富多样的现有信息和工具，了解何时、为何以及如何使用它们，然后创建有效应用它们所需的机构、政策和治理框架（即扶持环境）。</w:t>
      </w:r>
    </w:p>
    <w:p w14:paraId="3A20CBC8" w14:textId="0A703A42"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val="zh-CN" w:eastAsia="zh-CN"/>
        </w:rPr>
      </w:pPr>
      <w:r w:rsidRPr="00812273">
        <w:rPr>
          <w:snapToGrid w:val="0"/>
          <w:sz w:val="24"/>
          <w:szCs w:val="24"/>
          <w:lang w:val="zh-CN" w:eastAsia="zh-CN"/>
        </w:rPr>
        <w:t>在全球宣传和规范工作之外，还迫切需要以知识共享、能力建设和技术援助的形式为国家和国家以下各级政府提供更多直接支持，尤其着重于最大限度地利用现有工具。这包括创建可持续基础设施专门知识产品和工具的</w:t>
      </w:r>
      <w:r w:rsidRPr="00812273">
        <w:rPr>
          <w:rFonts w:ascii="SimSun" w:hAnsi="SimSun"/>
          <w:snapToGrid w:val="0"/>
          <w:sz w:val="24"/>
          <w:szCs w:val="24"/>
          <w:lang w:val="zh-CN" w:eastAsia="zh-CN"/>
        </w:rPr>
        <w:t>“一站式信息中心”，</w:t>
      </w:r>
      <w:r w:rsidR="000B0265" w:rsidRPr="00812273">
        <w:rPr>
          <w:rFonts w:ascii="SimSun" w:hAnsi="SimSun" w:hint="eastAsia"/>
          <w:snapToGrid w:val="0"/>
          <w:sz w:val="24"/>
          <w:szCs w:val="24"/>
          <w:lang w:val="zh-CN" w:eastAsia="zh-CN"/>
        </w:rPr>
        <w:t>其</w:t>
      </w:r>
      <w:r w:rsidR="000B0265" w:rsidRPr="00812273">
        <w:rPr>
          <w:rFonts w:hint="eastAsia"/>
          <w:snapToGrid w:val="0"/>
          <w:sz w:val="24"/>
          <w:szCs w:val="24"/>
          <w:lang w:val="zh-CN" w:eastAsia="zh-CN"/>
        </w:rPr>
        <w:t>中</w:t>
      </w:r>
      <w:r w:rsidRPr="00812273">
        <w:rPr>
          <w:snapToGrid w:val="0"/>
          <w:sz w:val="24"/>
          <w:szCs w:val="24"/>
          <w:lang w:val="zh-CN" w:eastAsia="zh-CN"/>
        </w:rPr>
        <w:t>提供案例研究，向用户展示这些产品和工具曾何时、何地、为何及如何应用，突出成功事例和经验教训，以及有针对性、协调一致的能力建设，以帮助各国政府根据不同的当地情况调整和应用相关知识和工具。</w:t>
      </w:r>
    </w:p>
    <w:p w14:paraId="17369B17" w14:textId="571A0CE7"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val="zh-CN" w:eastAsia="zh-CN"/>
        </w:rPr>
      </w:pPr>
      <w:r w:rsidRPr="00812273">
        <w:rPr>
          <w:snapToGrid w:val="0"/>
          <w:sz w:val="24"/>
          <w:szCs w:val="24"/>
          <w:lang w:val="zh-CN" w:eastAsia="zh-CN"/>
        </w:rPr>
        <w:t>可持续基础设施缺乏供资，而且由于公共预算日益紧张，需要激励私营部门投资者投资于可持续项目。</w:t>
      </w:r>
      <w:r w:rsidR="00AC3375" w:rsidRPr="00812273">
        <w:rPr>
          <w:snapToGrid w:val="0"/>
          <w:sz w:val="24"/>
          <w:szCs w:val="24"/>
          <w:lang w:val="zh-CN" w:eastAsia="zh-CN"/>
        </w:rPr>
        <w:t>目前</w:t>
      </w:r>
      <w:r w:rsidRPr="00812273">
        <w:rPr>
          <w:snapToGrid w:val="0"/>
          <w:sz w:val="24"/>
          <w:szCs w:val="24"/>
          <w:lang w:val="zh-CN" w:eastAsia="zh-CN"/>
        </w:rPr>
        <w:t>在增加公共和私人投资方面面临障碍，是因为人们认为可持续基础设施比可持续性</w:t>
      </w:r>
      <w:r w:rsidRPr="00812273">
        <w:rPr>
          <w:rFonts w:ascii="SimSun" w:hAnsi="SimSun"/>
          <w:snapToGrid w:val="0"/>
          <w:sz w:val="24"/>
          <w:szCs w:val="24"/>
          <w:lang w:val="zh-CN" w:eastAsia="zh-CN"/>
        </w:rPr>
        <w:t>较差的“一切照旧”模</w:t>
      </w:r>
      <w:r w:rsidRPr="00812273">
        <w:rPr>
          <w:snapToGrid w:val="0"/>
          <w:sz w:val="24"/>
          <w:szCs w:val="24"/>
          <w:lang w:val="zh-CN" w:eastAsia="zh-CN"/>
        </w:rPr>
        <w:t>式更昂贵，而且也缺乏可持续基础设施的融资机制。这表明，需要对可持续基础设施进行商业论证，其中包括基于自然的解决方案，将可抵消前期成本的长期经济、社会和环境效益考虑在内，还需要对创新融资机制进行商业论证，其中统筹考虑成本和效益，并相应地分配风险。</w:t>
      </w:r>
      <w:r w:rsidR="00BE648E" w:rsidRPr="00812273">
        <w:rPr>
          <w:rFonts w:hint="eastAsia"/>
          <w:snapToGrid w:val="0"/>
          <w:sz w:val="24"/>
          <w:szCs w:val="24"/>
          <w:lang w:val="zh-CN" w:eastAsia="zh-CN"/>
        </w:rPr>
        <w:t xml:space="preserve"> </w:t>
      </w:r>
    </w:p>
    <w:p w14:paraId="24E87642" w14:textId="50CD9FD1" w:rsidR="00C83D89" w:rsidRPr="00812273" w:rsidRDefault="00152F0B"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sz w:val="24"/>
          <w:szCs w:val="24"/>
          <w:lang w:val="zh-CN" w:eastAsia="zh-CN"/>
        </w:rPr>
      </w:pPr>
      <w:r w:rsidRPr="00812273">
        <w:rPr>
          <w:rFonts w:hint="eastAsia"/>
          <w:snapToGrid w:val="0"/>
          <w:sz w:val="24"/>
          <w:szCs w:val="24"/>
          <w:lang w:val="zh-CN" w:eastAsia="zh-CN"/>
        </w:rPr>
        <w:t>缺乏</w:t>
      </w:r>
      <w:r w:rsidR="00C83D89" w:rsidRPr="00812273">
        <w:rPr>
          <w:snapToGrid w:val="0"/>
          <w:sz w:val="24"/>
          <w:szCs w:val="24"/>
          <w:lang w:val="zh-CN" w:eastAsia="zh-CN"/>
        </w:rPr>
        <w:t>在总体层面（例如国家）以整体方式监测基础设施可持续性的衡量框架。目前衡量可持续发展目标具体目标</w:t>
      </w:r>
      <w:r w:rsidR="00C83D89" w:rsidRPr="00812273">
        <w:rPr>
          <w:snapToGrid w:val="0"/>
          <w:sz w:val="24"/>
          <w:szCs w:val="24"/>
          <w:lang w:val="zh-CN" w:eastAsia="zh-CN"/>
        </w:rPr>
        <w:t>9.1</w:t>
      </w:r>
      <w:r w:rsidR="00C83D89" w:rsidRPr="00812273">
        <w:rPr>
          <w:snapToGrid w:val="0"/>
          <w:sz w:val="24"/>
          <w:szCs w:val="24"/>
          <w:lang w:val="zh-CN" w:eastAsia="zh-CN"/>
        </w:rPr>
        <w:t>进展情况的指标</w:t>
      </w:r>
      <w:r w:rsidR="00D9523C" w:rsidRPr="00812273">
        <w:rPr>
          <w:rFonts w:hint="eastAsia"/>
          <w:snapToGrid w:val="0"/>
          <w:sz w:val="24"/>
          <w:szCs w:val="24"/>
          <w:lang w:val="zh-CN" w:eastAsia="zh-CN"/>
        </w:rPr>
        <w:t>仅</w:t>
      </w:r>
      <w:r w:rsidR="00C83D89" w:rsidRPr="00812273">
        <w:rPr>
          <w:snapToGrid w:val="0"/>
          <w:sz w:val="24"/>
          <w:szCs w:val="24"/>
          <w:lang w:val="zh-CN" w:eastAsia="zh-CN"/>
        </w:rPr>
        <w:t>直接反映了基础设施的经济方面。</w:t>
      </w:r>
    </w:p>
    <w:p w14:paraId="050D7E99" w14:textId="17B528E9" w:rsidR="00C83D89" w:rsidRPr="00812273" w:rsidRDefault="00C83D89" w:rsidP="00FE2051">
      <w:pPr>
        <w:pStyle w:val="Normalnumber"/>
        <w:numPr>
          <w:ilvl w:val="1"/>
          <w:numId w:val="25"/>
        </w:numPr>
        <w:tabs>
          <w:tab w:val="clear" w:pos="1814"/>
          <w:tab w:val="clear" w:pos="2381"/>
          <w:tab w:val="clear" w:pos="2948"/>
          <w:tab w:val="clear" w:pos="3515"/>
          <w:tab w:val="clear" w:pos="4082"/>
          <w:tab w:val="left" w:pos="624"/>
          <w:tab w:val="left" w:pos="2610"/>
        </w:tabs>
        <w:ind w:left="1260" w:firstLine="630"/>
        <w:jc w:val="both"/>
        <w:rPr>
          <w:snapToGrid w:val="0"/>
          <w:color w:val="000000" w:themeColor="text1"/>
          <w:sz w:val="24"/>
          <w:szCs w:val="24"/>
          <w:lang w:eastAsia="zh-CN"/>
        </w:rPr>
      </w:pPr>
      <w:r w:rsidRPr="00812273">
        <w:rPr>
          <w:snapToGrid w:val="0"/>
          <w:sz w:val="24"/>
          <w:szCs w:val="24"/>
          <w:lang w:val="zh-CN" w:eastAsia="zh-CN"/>
        </w:rPr>
        <w:lastRenderedPageBreak/>
        <w:t>COVID-19</w:t>
      </w:r>
      <w:r w:rsidRPr="00812273">
        <w:rPr>
          <w:snapToGrid w:val="0"/>
          <w:sz w:val="24"/>
          <w:szCs w:val="24"/>
          <w:lang w:val="zh-CN" w:eastAsia="zh-CN"/>
        </w:rPr>
        <w:t>大流行和随之而来的经济危机加剧了应对基础设施挑战的紧迫性，因为作为刺激措施的一部分，许多大规模基础设施投资已纳入规划。以往复苏的</w:t>
      </w:r>
      <w:r w:rsidR="002449F7" w:rsidRPr="00812273">
        <w:rPr>
          <w:rFonts w:hint="eastAsia"/>
          <w:snapToGrid w:val="0"/>
          <w:sz w:val="24"/>
          <w:szCs w:val="24"/>
          <w:lang w:val="zh-CN" w:eastAsia="zh-CN"/>
        </w:rPr>
        <w:t>经验</w:t>
      </w:r>
      <w:r w:rsidRPr="00812273">
        <w:rPr>
          <w:snapToGrid w:val="0"/>
          <w:sz w:val="24"/>
          <w:szCs w:val="24"/>
          <w:lang w:val="zh-CN" w:eastAsia="zh-CN"/>
        </w:rPr>
        <w:t>教训表明，需要确保这些投资是可持续的，因为它们将塑造经济和社会的未来，并影响可持续发展目标和《巴黎协定》目标的实现。</w:t>
      </w:r>
    </w:p>
    <w:p w14:paraId="71BE6508" w14:textId="274FD368" w:rsidR="00C83D89" w:rsidRPr="00D571A7" w:rsidRDefault="002A50DE" w:rsidP="00055F21">
      <w:pPr>
        <w:pStyle w:val="CH1"/>
        <w:numPr>
          <w:ilvl w:val="0"/>
          <w:numId w:val="23"/>
        </w:numPr>
        <w:ind w:left="1260" w:hanging="810"/>
        <w:rPr>
          <w:rFonts w:eastAsia="SimHei"/>
          <w:snapToGrid w:val="0"/>
          <w:sz w:val="32"/>
          <w:szCs w:val="32"/>
          <w:lang w:val="zh-CN" w:eastAsia="zh-CN"/>
        </w:rPr>
      </w:pPr>
      <w:r w:rsidRPr="00D571A7">
        <w:rPr>
          <w:rFonts w:eastAsia="SimHei"/>
          <w:snapToGrid w:val="0"/>
          <w:sz w:val="32"/>
          <w:szCs w:val="32"/>
          <w:lang w:val="zh-CN" w:eastAsia="zh-CN"/>
        </w:rPr>
        <w:t>建议和建议采取的行动</w:t>
      </w:r>
    </w:p>
    <w:p w14:paraId="3036DF9D" w14:textId="1FEAF8BF" w:rsidR="00C83D89" w:rsidRPr="00812273" w:rsidRDefault="00C83D89" w:rsidP="00D571A7">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环境大会不妨</w:t>
      </w:r>
      <w:r w:rsidR="00AD5713" w:rsidRPr="00812273">
        <w:rPr>
          <w:rFonts w:hint="eastAsia"/>
          <w:snapToGrid w:val="0"/>
          <w:sz w:val="24"/>
          <w:szCs w:val="24"/>
          <w:lang w:val="zh-CN" w:eastAsia="zh-CN"/>
        </w:rPr>
        <w:t>确认</w:t>
      </w:r>
      <w:r w:rsidRPr="00812273">
        <w:rPr>
          <w:snapToGrid w:val="0"/>
          <w:sz w:val="24"/>
          <w:szCs w:val="24"/>
          <w:lang w:val="zh-CN" w:eastAsia="zh-CN"/>
        </w:rPr>
        <w:t>可持续基础设施</w:t>
      </w:r>
      <w:r w:rsidRPr="00812273">
        <w:rPr>
          <w:rFonts w:ascii="SimSun" w:hAnsi="SimSun"/>
          <w:snapToGrid w:val="0"/>
          <w:sz w:val="24"/>
          <w:szCs w:val="24"/>
          <w:lang w:val="zh-CN" w:eastAsia="zh-CN"/>
        </w:rPr>
        <w:t>对于“重建得更好”和</w:t>
      </w:r>
      <w:r w:rsidRPr="00812273">
        <w:rPr>
          <w:snapToGrid w:val="0"/>
          <w:sz w:val="24"/>
          <w:szCs w:val="24"/>
          <w:lang w:val="zh-CN" w:eastAsia="zh-CN"/>
        </w:rPr>
        <w:t>后疫情时代绿色复苏的重要性，并考虑对社会、经济和生态基础设施的投资如何能够支持经济复苏，创造绿色就业机会，</w:t>
      </w:r>
      <w:r w:rsidR="0096498D" w:rsidRPr="00812273">
        <w:rPr>
          <w:rFonts w:hint="eastAsia"/>
          <w:snapToGrid w:val="0"/>
          <w:sz w:val="24"/>
          <w:szCs w:val="24"/>
          <w:lang w:val="zh-CN" w:eastAsia="zh-CN"/>
        </w:rPr>
        <w:t>建设</w:t>
      </w:r>
      <w:r w:rsidRPr="00812273">
        <w:rPr>
          <w:snapToGrid w:val="0"/>
          <w:sz w:val="24"/>
          <w:szCs w:val="24"/>
          <w:lang w:val="zh-CN" w:eastAsia="zh-CN"/>
        </w:rPr>
        <w:t>应对未来危机的复原力，以及打造包容和健康的社会。</w:t>
      </w:r>
    </w:p>
    <w:p w14:paraId="442D5FAE" w14:textId="77777777" w:rsidR="00C83D89" w:rsidRPr="00812273" w:rsidRDefault="00C83D89" w:rsidP="00D571A7">
      <w:pPr>
        <w:pStyle w:val="Normalnumber"/>
        <w:numPr>
          <w:ilvl w:val="0"/>
          <w:numId w:val="14"/>
        </w:numPr>
        <w:tabs>
          <w:tab w:val="clear" w:pos="1814"/>
          <w:tab w:val="clear" w:pos="2381"/>
          <w:tab w:val="clear" w:pos="2948"/>
          <w:tab w:val="clear" w:pos="3515"/>
          <w:tab w:val="clear" w:pos="4082"/>
          <w:tab w:val="left" w:pos="624"/>
        </w:tabs>
        <w:ind w:left="1247" w:firstLine="0"/>
        <w:jc w:val="both"/>
        <w:rPr>
          <w:snapToGrid w:val="0"/>
          <w:color w:val="000000" w:themeColor="text1"/>
          <w:sz w:val="24"/>
          <w:szCs w:val="24"/>
          <w:lang w:eastAsia="zh-CN"/>
        </w:rPr>
      </w:pPr>
      <w:r w:rsidRPr="00812273">
        <w:rPr>
          <w:snapToGrid w:val="0"/>
          <w:sz w:val="24"/>
          <w:szCs w:val="24"/>
          <w:lang w:val="zh-CN" w:eastAsia="zh-CN"/>
        </w:rPr>
        <w:t>大会不妨考虑通过可持续基础设施准则，这些准则连同促进遵守准则的相关政策和监管激励措施，可通过制定和加强国家和区域系统层面的基础设施规划战略办法，并将基于自然的解决方案作为这些办法的关键组成部分加以推广等途径，帮助会员国执行关于可持续基础设施的第</w:t>
      </w:r>
      <w:r w:rsidRPr="00812273">
        <w:rPr>
          <w:snapToGrid w:val="0"/>
          <w:sz w:val="24"/>
          <w:szCs w:val="24"/>
          <w:lang w:val="zh-CN" w:eastAsia="zh-CN"/>
        </w:rPr>
        <w:t>4/5</w:t>
      </w:r>
      <w:r w:rsidRPr="00812273">
        <w:rPr>
          <w:snapToGrid w:val="0"/>
          <w:sz w:val="24"/>
          <w:szCs w:val="24"/>
          <w:lang w:val="zh-CN" w:eastAsia="zh-CN"/>
        </w:rPr>
        <w:t>号决议。</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EA7596" w14:paraId="2C3DC079" w14:textId="77777777" w:rsidTr="00FE2051">
        <w:trPr>
          <w:jc w:val="center"/>
        </w:trPr>
        <w:tc>
          <w:tcPr>
            <w:tcW w:w="1897" w:type="dxa"/>
          </w:tcPr>
          <w:p w14:paraId="1BBC614B" w14:textId="77777777" w:rsidR="0083403A" w:rsidRPr="00EA7596" w:rsidRDefault="0083403A" w:rsidP="00D571A7">
            <w:pPr>
              <w:pStyle w:val="Normal-pool"/>
              <w:spacing w:before="520"/>
              <w:rPr>
                <w:rFonts w:ascii="Times New Roman" w:eastAsia="SimSun" w:hAnsi="Times New Roman"/>
                <w:snapToGrid w:val="0"/>
                <w:kern w:val="0"/>
                <w:sz w:val="24"/>
                <w:szCs w:val="24"/>
              </w:rPr>
            </w:pPr>
          </w:p>
        </w:tc>
        <w:tc>
          <w:tcPr>
            <w:tcW w:w="1897" w:type="dxa"/>
          </w:tcPr>
          <w:p w14:paraId="24ED2DE0" w14:textId="77777777" w:rsidR="0083403A" w:rsidRPr="00EA7596" w:rsidRDefault="0083403A" w:rsidP="00D571A7">
            <w:pPr>
              <w:pStyle w:val="Normal-pool"/>
              <w:spacing w:before="520"/>
              <w:rPr>
                <w:rFonts w:ascii="Times New Roman" w:eastAsia="SimSun" w:hAnsi="Times New Roman"/>
                <w:snapToGrid w:val="0"/>
                <w:kern w:val="0"/>
                <w:sz w:val="24"/>
                <w:szCs w:val="24"/>
              </w:rPr>
            </w:pPr>
          </w:p>
        </w:tc>
        <w:tc>
          <w:tcPr>
            <w:tcW w:w="1897" w:type="dxa"/>
            <w:tcBorders>
              <w:bottom w:val="single" w:sz="4" w:space="0" w:color="auto"/>
            </w:tcBorders>
          </w:tcPr>
          <w:p w14:paraId="3A05A39F" w14:textId="77777777" w:rsidR="0083403A" w:rsidRPr="00EA7596" w:rsidRDefault="0083403A" w:rsidP="00D571A7">
            <w:pPr>
              <w:pStyle w:val="Normal-pool"/>
              <w:spacing w:before="520"/>
              <w:rPr>
                <w:rFonts w:ascii="Times New Roman" w:eastAsia="SimSun" w:hAnsi="Times New Roman"/>
                <w:snapToGrid w:val="0"/>
                <w:kern w:val="0"/>
                <w:sz w:val="24"/>
                <w:szCs w:val="24"/>
              </w:rPr>
            </w:pPr>
          </w:p>
        </w:tc>
        <w:tc>
          <w:tcPr>
            <w:tcW w:w="1897" w:type="dxa"/>
          </w:tcPr>
          <w:p w14:paraId="0562DBEA" w14:textId="77777777" w:rsidR="0083403A" w:rsidRPr="00EA7596" w:rsidRDefault="0083403A" w:rsidP="00D571A7">
            <w:pPr>
              <w:pStyle w:val="Normal-pool"/>
              <w:spacing w:before="520"/>
              <w:rPr>
                <w:rFonts w:ascii="Times New Roman" w:eastAsia="SimSun" w:hAnsi="Times New Roman"/>
                <w:snapToGrid w:val="0"/>
                <w:kern w:val="0"/>
                <w:sz w:val="24"/>
                <w:szCs w:val="24"/>
              </w:rPr>
            </w:pPr>
          </w:p>
        </w:tc>
        <w:tc>
          <w:tcPr>
            <w:tcW w:w="1898" w:type="dxa"/>
          </w:tcPr>
          <w:p w14:paraId="3C9B489F" w14:textId="77777777" w:rsidR="0083403A" w:rsidRPr="00EA7596" w:rsidRDefault="0083403A" w:rsidP="00D571A7">
            <w:pPr>
              <w:pStyle w:val="Normal-pool"/>
              <w:spacing w:before="520"/>
              <w:rPr>
                <w:rFonts w:ascii="Times New Roman" w:eastAsia="SimSun" w:hAnsi="Times New Roman"/>
                <w:snapToGrid w:val="0"/>
                <w:kern w:val="0"/>
                <w:sz w:val="24"/>
                <w:szCs w:val="24"/>
              </w:rPr>
            </w:pPr>
          </w:p>
        </w:tc>
      </w:tr>
    </w:tbl>
    <w:p w14:paraId="580DAB16" w14:textId="77777777" w:rsidR="00030898" w:rsidRPr="00EA7596" w:rsidRDefault="00030898" w:rsidP="0010497A">
      <w:pPr>
        <w:pStyle w:val="Normal-pool"/>
        <w:rPr>
          <w:snapToGrid w:val="0"/>
          <w:sz w:val="24"/>
          <w:szCs w:val="24"/>
          <w:lang w:eastAsia="zh-CN"/>
        </w:rPr>
      </w:pPr>
    </w:p>
    <w:sectPr w:rsidR="00030898" w:rsidRPr="00EA7596" w:rsidSect="006E6722">
      <w:headerReference w:type="even" r:id="rId17"/>
      <w:headerReference w:type="default" r:id="rId18"/>
      <w:footerReference w:type="even" r:id="rId19"/>
      <w:footerReference w:type="default" r:id="rId20"/>
      <w:headerReference w:type="first" r:id="rId21"/>
      <w:footerReference w:type="first" r:id="rId22"/>
      <w:footnotePr>
        <w:numRestart w:val="eachSect"/>
      </w:footnotePr>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22805" w16cex:dateUtc="2020-11-20T10:33:00Z"/>
  <w16cex:commentExtensible w16cex:durableId="236BAC8E" w16cex:dateUtc="2020-11-27T15:49:00Z"/>
  <w16cex:commentExtensible w16cex:durableId="236F73BD" w16cex:dateUtc="2020-11-30T10:35:00Z"/>
  <w16cex:commentExtensible w16cex:durableId="236BAD69" w16cex:dateUtc="2020-11-27T15:52:00Z"/>
  <w16cex:commentExtensible w16cex:durableId="235E4E30" w16cex:dateUtc="2020-11-17T12:27:00Z"/>
  <w16cex:commentExtensible w16cex:durableId="236BAECF" w16cex:dateUtc="2020-11-27T15:58:00Z"/>
  <w16cex:commentExtensible w16cex:durableId="23621787" w16cex:dateUtc="2020-11-20T09:23:00Z"/>
  <w16cex:commentExtensible w16cex:durableId="236BAEEC" w16cex:dateUtc="2020-11-27T15:59:00Z"/>
  <w16cex:commentExtensible w16cex:durableId="235E68E8" w16cex:dateUtc="2020-11-17T14:21:00Z"/>
  <w16cex:commentExtensible w16cex:durableId="236BB0B0" w16cex:dateUtc="2020-11-27T16:06:00Z"/>
  <w16cex:commentExtensible w16cex:durableId="235E6BBD" w16cex:dateUtc="2020-11-17T14:33:00Z"/>
  <w16cex:commentExtensible w16cex:durableId="236BB0EE" w16cex:dateUtc="2020-11-27T16:07:00Z"/>
  <w16cex:commentExtensible w16cex:durableId="235E797C" w16cex:dateUtc="2020-11-17T15:31:00Z"/>
  <w16cex:commentExtensible w16cex:durableId="236BB180" w16cex:dateUtc="2020-11-27T16: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8EC3C" w14:textId="77777777" w:rsidR="007E51D1" w:rsidRDefault="007E51D1">
      <w:r>
        <w:separator/>
      </w:r>
    </w:p>
  </w:endnote>
  <w:endnote w:type="continuationSeparator" w:id="0">
    <w:p w14:paraId="1F8036F6" w14:textId="77777777" w:rsidR="007E51D1" w:rsidRDefault="007E51D1">
      <w:r>
        <w:continuationSeparator/>
      </w:r>
    </w:p>
  </w:endnote>
  <w:endnote w:type="continuationNotice" w:id="1">
    <w:p w14:paraId="060E1B06" w14:textId="77777777" w:rsidR="007E51D1" w:rsidRDefault="007E5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Hei">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sz w:val="20"/>
      </w:rPr>
    </w:sdtEndPr>
    <w:sdtContent>
      <w:p w14:paraId="0F5D09E8" w14:textId="51E550CA" w:rsidR="00601AF9" w:rsidRPr="00D571A7" w:rsidRDefault="00601AF9" w:rsidP="00D571A7">
        <w:pPr>
          <w:pStyle w:val="Footer-pool"/>
          <w:spacing w:before="0"/>
          <w:rPr>
            <w:sz w:val="20"/>
          </w:rPr>
        </w:pPr>
        <w:r w:rsidRPr="00D571A7">
          <w:rPr>
            <w:sz w:val="20"/>
          </w:rPr>
          <w:fldChar w:fldCharType="begin"/>
        </w:r>
        <w:r w:rsidRPr="00D571A7">
          <w:rPr>
            <w:sz w:val="20"/>
          </w:rPr>
          <w:instrText xml:space="preserve"> PAGE   \* MERGEFORMAT </w:instrText>
        </w:r>
        <w:r w:rsidRPr="00D571A7">
          <w:rPr>
            <w:sz w:val="20"/>
          </w:rPr>
          <w:fldChar w:fldCharType="separate"/>
        </w:r>
        <w:r w:rsidR="003818B0" w:rsidRPr="00D571A7">
          <w:rPr>
            <w:noProof/>
            <w:sz w:val="20"/>
          </w:rPr>
          <w:t>6</w:t>
        </w:r>
        <w:r w:rsidRPr="00D571A7">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rPr>
        <w:sz w:val="20"/>
      </w:rPr>
    </w:sdtEndPr>
    <w:sdtContent>
      <w:p w14:paraId="7E390AD8" w14:textId="7FDBDAFA" w:rsidR="00601AF9" w:rsidRPr="00D571A7" w:rsidRDefault="00601AF9" w:rsidP="00D571A7">
        <w:pPr>
          <w:pStyle w:val="Footer-pool"/>
          <w:spacing w:before="0"/>
          <w:jc w:val="right"/>
          <w:rPr>
            <w:sz w:val="20"/>
          </w:rPr>
        </w:pPr>
        <w:r w:rsidRPr="00D571A7">
          <w:rPr>
            <w:sz w:val="20"/>
          </w:rPr>
          <w:fldChar w:fldCharType="begin"/>
        </w:r>
        <w:r w:rsidRPr="00D571A7">
          <w:rPr>
            <w:sz w:val="20"/>
          </w:rPr>
          <w:instrText xml:space="preserve"> PAGE   \* MERGEFORMAT </w:instrText>
        </w:r>
        <w:r w:rsidRPr="00D571A7">
          <w:rPr>
            <w:sz w:val="20"/>
          </w:rPr>
          <w:fldChar w:fldCharType="separate"/>
        </w:r>
        <w:r w:rsidR="003818B0" w:rsidRPr="00D571A7">
          <w:rPr>
            <w:noProof/>
            <w:sz w:val="20"/>
          </w:rPr>
          <w:t>5</w:t>
        </w:r>
        <w:r w:rsidRPr="00D571A7">
          <w:rPr>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87DBC" w14:textId="72EB5D62" w:rsidR="00601AF9" w:rsidRPr="00D571A7" w:rsidRDefault="00601AF9" w:rsidP="00FE2051">
    <w:pPr>
      <w:pStyle w:val="Footer-pool"/>
      <w:spacing w:before="0" w:after="0"/>
      <w:rPr>
        <w:sz w:val="20"/>
      </w:rPr>
    </w:pPr>
    <w:r w:rsidRPr="00D571A7">
      <w:rPr>
        <w:sz w:val="20"/>
      </w:rPr>
      <w:t>K200256</w:t>
    </w:r>
    <w:r w:rsidR="00D35D7B" w:rsidRPr="00D571A7">
      <w:rPr>
        <w:sz w:val="20"/>
      </w:rPr>
      <w:t>8</w:t>
    </w:r>
    <w:r w:rsidRPr="00D571A7">
      <w:rPr>
        <w:sz w:val="20"/>
      </w:rPr>
      <w:tab/>
    </w:r>
    <w:r w:rsidR="00D571A7" w:rsidRPr="00D571A7">
      <w:rPr>
        <w:sz w:val="20"/>
      </w:rPr>
      <w:t>3012</w:t>
    </w:r>
    <w:r w:rsidRPr="00D571A7">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664D3" w14:textId="77777777" w:rsidR="007E51D1" w:rsidRPr="00643832" w:rsidRDefault="007E51D1" w:rsidP="00FE2051">
      <w:pPr>
        <w:spacing w:after="0" w:line="240" w:lineRule="auto"/>
        <w:ind w:left="619"/>
        <w:rPr>
          <w:sz w:val="18"/>
          <w:szCs w:val="18"/>
        </w:rPr>
      </w:pPr>
      <w:r w:rsidRPr="00643832">
        <w:rPr>
          <w:sz w:val="18"/>
          <w:szCs w:val="18"/>
        </w:rPr>
        <w:separator/>
      </w:r>
    </w:p>
  </w:footnote>
  <w:footnote w:type="continuationSeparator" w:id="0">
    <w:p w14:paraId="05605821" w14:textId="77777777" w:rsidR="007E51D1" w:rsidRDefault="007E51D1">
      <w:r>
        <w:continuationSeparator/>
      </w:r>
    </w:p>
  </w:footnote>
  <w:footnote w:type="continuationNotice" w:id="1">
    <w:p w14:paraId="12B3981C" w14:textId="77777777" w:rsidR="007E51D1" w:rsidRDefault="007E51D1"/>
  </w:footnote>
  <w:footnote w:id="2">
    <w:p w14:paraId="2A3BA85D" w14:textId="6B1B4A9B" w:rsidR="00EA54A3" w:rsidRPr="00EA7596" w:rsidRDefault="00EA54A3" w:rsidP="00EA7596">
      <w:pPr>
        <w:pStyle w:val="FootnoteText"/>
        <w:spacing w:after="40" w:line="240" w:lineRule="auto"/>
        <w:ind w:left="1260" w:hanging="25"/>
        <w:rPr>
          <w:snapToGrid w:val="0"/>
          <w:spacing w:val="0"/>
          <w:w w:val="100"/>
          <w:kern w:val="0"/>
          <w:sz w:val="20"/>
        </w:rPr>
      </w:pPr>
      <w:r w:rsidRPr="00EA7596">
        <w:rPr>
          <w:rStyle w:val="FootnoteReference"/>
          <w:snapToGrid w:val="0"/>
          <w:spacing w:val="0"/>
          <w:w w:val="100"/>
          <w:kern w:val="0"/>
          <w:position w:val="0"/>
          <w:szCs w:val="20"/>
          <w:vertAlign w:val="baseline"/>
        </w:rPr>
        <w:t>*</w:t>
      </w:r>
      <w:r w:rsidRPr="00EA7596">
        <w:rPr>
          <w:snapToGrid w:val="0"/>
          <w:spacing w:val="0"/>
          <w:w w:val="100"/>
          <w:kern w:val="0"/>
          <w:sz w:val="20"/>
        </w:rPr>
        <w:t xml:space="preserve"> </w:t>
      </w:r>
      <w:r w:rsidRPr="00EA7596">
        <w:rPr>
          <w:snapToGrid w:val="0"/>
          <w:spacing w:val="0"/>
          <w:w w:val="100"/>
          <w:kern w:val="0"/>
          <w:sz w:val="20"/>
        </w:rPr>
        <w:t>根据</w:t>
      </w:r>
      <w:r w:rsidRPr="00EA7596">
        <w:rPr>
          <w:rFonts w:hint="eastAsia"/>
          <w:snapToGrid w:val="0"/>
          <w:spacing w:val="0"/>
          <w:w w:val="100"/>
          <w:kern w:val="0"/>
          <w:sz w:val="20"/>
        </w:rPr>
        <w:t>2</w:t>
      </w:r>
      <w:r w:rsidRPr="00EA7596">
        <w:rPr>
          <w:snapToGrid w:val="0"/>
          <w:spacing w:val="0"/>
          <w:w w:val="100"/>
          <w:kern w:val="0"/>
          <w:sz w:val="20"/>
        </w:rPr>
        <w:t>020</w:t>
      </w:r>
      <w:r w:rsidRPr="00EA7596">
        <w:rPr>
          <w:rFonts w:hint="eastAsia"/>
          <w:snapToGrid w:val="0"/>
          <w:spacing w:val="0"/>
          <w:w w:val="100"/>
          <w:kern w:val="0"/>
          <w:sz w:val="20"/>
        </w:rPr>
        <w:t>年</w:t>
      </w:r>
      <w:r w:rsidRPr="00EA7596">
        <w:rPr>
          <w:rFonts w:hint="eastAsia"/>
          <w:snapToGrid w:val="0"/>
          <w:spacing w:val="0"/>
          <w:w w:val="100"/>
          <w:kern w:val="0"/>
          <w:sz w:val="20"/>
        </w:rPr>
        <w:t>1</w:t>
      </w:r>
      <w:r w:rsidRPr="00EA7596">
        <w:rPr>
          <w:snapToGrid w:val="0"/>
          <w:spacing w:val="0"/>
          <w:w w:val="100"/>
          <w:kern w:val="0"/>
          <w:sz w:val="20"/>
        </w:rPr>
        <w:t>0</w:t>
      </w:r>
      <w:r w:rsidRPr="00EA7596">
        <w:rPr>
          <w:rFonts w:hint="eastAsia"/>
          <w:snapToGrid w:val="0"/>
          <w:spacing w:val="0"/>
          <w:w w:val="100"/>
          <w:kern w:val="0"/>
          <w:sz w:val="20"/>
        </w:rPr>
        <w:t>月</w:t>
      </w:r>
      <w:r w:rsidRPr="00EA7596">
        <w:rPr>
          <w:rFonts w:hint="eastAsia"/>
          <w:snapToGrid w:val="0"/>
          <w:spacing w:val="0"/>
          <w:w w:val="100"/>
          <w:kern w:val="0"/>
          <w:sz w:val="20"/>
        </w:rPr>
        <w:t>8</w:t>
      </w:r>
      <w:r w:rsidRPr="00EA7596">
        <w:rPr>
          <w:rFonts w:hint="eastAsia"/>
          <w:snapToGrid w:val="0"/>
          <w:spacing w:val="0"/>
          <w:w w:val="100"/>
          <w:kern w:val="0"/>
          <w:sz w:val="20"/>
        </w:rPr>
        <w:t>日举行的</w:t>
      </w:r>
      <w:r w:rsidRPr="00EA7596">
        <w:rPr>
          <w:snapToGrid w:val="0"/>
          <w:spacing w:val="0"/>
          <w:w w:val="100"/>
          <w:kern w:val="0"/>
          <w:sz w:val="20"/>
        </w:rPr>
        <w:t>联合国环境大会主席团</w:t>
      </w:r>
      <w:r w:rsidRPr="00EA7596">
        <w:rPr>
          <w:rFonts w:hint="eastAsia"/>
          <w:snapToGrid w:val="0"/>
          <w:spacing w:val="0"/>
          <w:w w:val="100"/>
          <w:kern w:val="0"/>
          <w:sz w:val="20"/>
        </w:rPr>
        <w:t>会议以及</w:t>
      </w:r>
      <w:r w:rsidRPr="00EA7596">
        <w:rPr>
          <w:snapToGrid w:val="0"/>
          <w:spacing w:val="0"/>
          <w:w w:val="100"/>
          <w:kern w:val="0"/>
          <w:sz w:val="20"/>
        </w:rPr>
        <w:t>2020</w:t>
      </w:r>
      <w:r w:rsidRPr="00EA7596">
        <w:rPr>
          <w:snapToGrid w:val="0"/>
          <w:spacing w:val="0"/>
          <w:w w:val="100"/>
          <w:kern w:val="0"/>
          <w:sz w:val="20"/>
        </w:rPr>
        <w:t>年</w:t>
      </w:r>
      <w:r w:rsidRPr="00EA7596">
        <w:rPr>
          <w:snapToGrid w:val="0"/>
          <w:spacing w:val="0"/>
          <w:w w:val="100"/>
          <w:kern w:val="0"/>
          <w:sz w:val="20"/>
        </w:rPr>
        <w:t>12</w:t>
      </w:r>
      <w:r w:rsidRPr="00EA7596">
        <w:rPr>
          <w:snapToGrid w:val="0"/>
          <w:spacing w:val="0"/>
          <w:w w:val="100"/>
          <w:kern w:val="0"/>
          <w:sz w:val="20"/>
        </w:rPr>
        <w:t>月</w:t>
      </w:r>
      <w:r w:rsidRPr="00EA7596">
        <w:rPr>
          <w:snapToGrid w:val="0"/>
          <w:spacing w:val="0"/>
          <w:w w:val="100"/>
          <w:kern w:val="0"/>
          <w:sz w:val="20"/>
        </w:rPr>
        <w:t>1</w:t>
      </w:r>
      <w:r w:rsidRPr="00EA7596">
        <w:rPr>
          <w:snapToGrid w:val="0"/>
          <w:spacing w:val="0"/>
          <w:w w:val="100"/>
          <w:kern w:val="0"/>
          <w:sz w:val="20"/>
        </w:rPr>
        <w:t>日举行的联合国环境大会主席团和常驻代表委员会主席团联席会议所作的决定，环境大会第五届会议预计于</w:t>
      </w:r>
      <w:r w:rsidRPr="00EA7596">
        <w:rPr>
          <w:snapToGrid w:val="0"/>
          <w:spacing w:val="0"/>
          <w:w w:val="100"/>
          <w:kern w:val="0"/>
          <w:sz w:val="20"/>
        </w:rPr>
        <w:t>2021</w:t>
      </w:r>
      <w:r w:rsidRPr="00EA7596">
        <w:rPr>
          <w:snapToGrid w:val="0"/>
          <w:spacing w:val="0"/>
          <w:w w:val="100"/>
          <w:kern w:val="0"/>
          <w:sz w:val="20"/>
        </w:rPr>
        <w:t>年</w:t>
      </w:r>
      <w:r w:rsidRPr="00EA7596">
        <w:rPr>
          <w:snapToGrid w:val="0"/>
          <w:spacing w:val="0"/>
          <w:w w:val="100"/>
          <w:kern w:val="0"/>
          <w:sz w:val="20"/>
        </w:rPr>
        <w:t>2</w:t>
      </w:r>
      <w:r w:rsidRPr="00EA7596">
        <w:rPr>
          <w:snapToGrid w:val="0"/>
          <w:spacing w:val="0"/>
          <w:w w:val="100"/>
          <w:kern w:val="0"/>
          <w:sz w:val="20"/>
        </w:rPr>
        <w:t>月</w:t>
      </w:r>
      <w:r w:rsidRPr="00EA7596">
        <w:rPr>
          <w:snapToGrid w:val="0"/>
          <w:spacing w:val="0"/>
          <w:w w:val="100"/>
          <w:kern w:val="0"/>
          <w:sz w:val="20"/>
        </w:rPr>
        <w:t>23</w:t>
      </w:r>
      <w:r w:rsidRPr="00EA7596">
        <w:rPr>
          <w:snapToGrid w:val="0"/>
          <w:spacing w:val="0"/>
          <w:w w:val="100"/>
          <w:kern w:val="0"/>
          <w:sz w:val="20"/>
        </w:rPr>
        <w:t>日休会，并于</w:t>
      </w:r>
      <w:r w:rsidRPr="00EA7596">
        <w:rPr>
          <w:snapToGrid w:val="0"/>
          <w:spacing w:val="0"/>
          <w:w w:val="100"/>
          <w:kern w:val="0"/>
          <w:sz w:val="20"/>
        </w:rPr>
        <w:t>2022</w:t>
      </w:r>
      <w:r w:rsidRPr="00EA7596">
        <w:rPr>
          <w:snapToGrid w:val="0"/>
          <w:spacing w:val="0"/>
          <w:w w:val="100"/>
          <w:kern w:val="0"/>
          <w:sz w:val="20"/>
        </w:rPr>
        <w:t>年</w:t>
      </w:r>
      <w:r w:rsidRPr="00EA7596">
        <w:rPr>
          <w:snapToGrid w:val="0"/>
          <w:spacing w:val="0"/>
          <w:w w:val="100"/>
          <w:kern w:val="0"/>
          <w:sz w:val="20"/>
        </w:rPr>
        <w:t>2</w:t>
      </w:r>
      <w:r w:rsidRPr="00EA7596">
        <w:rPr>
          <w:snapToGrid w:val="0"/>
          <w:spacing w:val="0"/>
          <w:w w:val="100"/>
          <w:kern w:val="0"/>
          <w:sz w:val="20"/>
        </w:rPr>
        <w:t>月以现场会议形式复会。</w:t>
      </w:r>
    </w:p>
  </w:footnote>
  <w:footnote w:id="3">
    <w:p w14:paraId="22F8B8D1" w14:textId="7C2784B9" w:rsidR="00EA54A3" w:rsidRDefault="00EA54A3" w:rsidP="00EA7596">
      <w:pPr>
        <w:pStyle w:val="FootnoteText"/>
        <w:spacing w:after="40" w:line="240" w:lineRule="auto"/>
      </w:pPr>
      <w:r w:rsidRPr="00EA7596">
        <w:rPr>
          <w:snapToGrid w:val="0"/>
          <w:spacing w:val="0"/>
          <w:w w:val="100"/>
          <w:kern w:val="0"/>
          <w:sz w:val="20"/>
        </w:rPr>
        <w:tab/>
      </w:r>
      <w:r w:rsidRPr="00EA7596">
        <w:rPr>
          <w:snapToGrid w:val="0"/>
          <w:spacing w:val="0"/>
          <w:w w:val="100"/>
          <w:kern w:val="0"/>
          <w:sz w:val="20"/>
        </w:rPr>
        <w:tab/>
      </w:r>
      <w:r w:rsidRPr="00EA7596">
        <w:rPr>
          <w:rStyle w:val="FootnoteReference"/>
          <w:snapToGrid w:val="0"/>
          <w:spacing w:val="0"/>
          <w:w w:val="100"/>
          <w:kern w:val="0"/>
          <w:position w:val="0"/>
          <w:szCs w:val="20"/>
          <w:vertAlign w:val="baseline"/>
        </w:rPr>
        <w:t>**</w:t>
      </w:r>
      <w:r w:rsidRPr="00EA7596">
        <w:rPr>
          <w:snapToGrid w:val="0"/>
          <w:spacing w:val="0"/>
          <w:w w:val="100"/>
          <w:kern w:val="0"/>
          <w:sz w:val="20"/>
        </w:rPr>
        <w:t xml:space="preserve"> UNEP/EA.5/1</w:t>
      </w:r>
      <w:r w:rsidR="003818B0" w:rsidRPr="00EA7596">
        <w:rPr>
          <w:snapToGrid w:val="0"/>
          <w:spacing w:val="0"/>
          <w:w w:val="100"/>
          <w:kern w:val="0"/>
          <w:sz w:val="20"/>
        </w:rPr>
        <w:t>/Rev.1</w:t>
      </w:r>
      <w:r w:rsidRPr="00EA7596">
        <w:rPr>
          <w:snapToGrid w:val="0"/>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1DDEC" w14:textId="0A41B6B9" w:rsidR="00601AF9" w:rsidRPr="00D571A7" w:rsidRDefault="00601AF9" w:rsidP="00177088">
    <w:pPr>
      <w:pStyle w:val="Header-pool"/>
      <w:rPr>
        <w:sz w:val="20"/>
      </w:rPr>
    </w:pPr>
    <w:r w:rsidRPr="00D571A7">
      <w:rPr>
        <w:bCs/>
        <w:sz w:val="20"/>
      </w:rPr>
      <w:t>UNEP</w:t>
    </w:r>
    <w:r w:rsidRPr="00D571A7">
      <w:rPr>
        <w:noProof/>
        <w:sz w:val="20"/>
      </w:rPr>
      <w:t>/EA.5/7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3DAD5" w14:textId="160B837E" w:rsidR="00601AF9" w:rsidRPr="00D571A7" w:rsidRDefault="00601AF9" w:rsidP="00B87AB1">
    <w:pPr>
      <w:pStyle w:val="Header-pool"/>
      <w:jc w:val="right"/>
      <w:rPr>
        <w:sz w:val="20"/>
      </w:rPr>
    </w:pPr>
    <w:r w:rsidRPr="00D571A7">
      <w:rPr>
        <w:bCs/>
        <w:sz w:val="20"/>
      </w:rPr>
      <w:t>UNEP</w:t>
    </w:r>
    <w:r w:rsidRPr="00D571A7">
      <w:rPr>
        <w:noProof/>
        <w:sz w:val="20"/>
      </w:rPr>
      <w:t>/EA.5/7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F33A6" w14:textId="6E27DC77" w:rsidR="00601AF9" w:rsidRDefault="00601AF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912711"/>
    <w:multiLevelType w:val="hybridMultilevel"/>
    <w:tmpl w:val="5EB6D448"/>
    <w:lvl w:ilvl="0" w:tplc="0EF41BD4">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8D686C6A">
      <w:start w:val="1"/>
      <w:numFmt w:val="upperLetter"/>
      <w:lvlText w:val="%3."/>
      <w:lvlJc w:val="left"/>
      <w:pPr>
        <w:ind w:left="2460" w:hanging="480"/>
      </w:pPr>
      <w:rPr>
        <w:rFonts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69B423A"/>
    <w:multiLevelType w:val="hybridMultilevel"/>
    <w:tmpl w:val="67301284"/>
    <w:lvl w:ilvl="0" w:tplc="1F5C50F0">
      <w:start w:val="1"/>
      <w:numFmt w:val="lowerLetter"/>
      <w:lvlText w:val="(%1)"/>
      <w:lvlJc w:val="left"/>
      <w:pPr>
        <w:ind w:left="1610" w:hanging="360"/>
      </w:pPr>
      <w:rPr>
        <w:rFonts w:hint="default"/>
        <w:sz w:val="16"/>
      </w:rPr>
    </w:lvl>
    <w:lvl w:ilvl="1" w:tplc="04090019" w:tentative="1">
      <w:start w:val="1"/>
      <w:numFmt w:val="lowerLetter"/>
      <w:lvlText w:val="%2."/>
      <w:lvlJc w:val="left"/>
      <w:pPr>
        <w:ind w:left="2330" w:hanging="360"/>
      </w:pPr>
    </w:lvl>
    <w:lvl w:ilvl="2" w:tplc="0409001B" w:tentative="1">
      <w:start w:val="1"/>
      <w:numFmt w:val="lowerRoman"/>
      <w:lvlText w:val="%3."/>
      <w:lvlJc w:val="right"/>
      <w:pPr>
        <w:ind w:left="3050" w:hanging="180"/>
      </w:pPr>
    </w:lvl>
    <w:lvl w:ilvl="3" w:tplc="0409000F" w:tentative="1">
      <w:start w:val="1"/>
      <w:numFmt w:val="decimal"/>
      <w:lvlText w:val="%4."/>
      <w:lvlJc w:val="left"/>
      <w:pPr>
        <w:ind w:left="3770" w:hanging="360"/>
      </w:pPr>
    </w:lvl>
    <w:lvl w:ilvl="4" w:tplc="04090019" w:tentative="1">
      <w:start w:val="1"/>
      <w:numFmt w:val="lowerLetter"/>
      <w:lvlText w:val="%5."/>
      <w:lvlJc w:val="left"/>
      <w:pPr>
        <w:ind w:left="4490" w:hanging="360"/>
      </w:pPr>
    </w:lvl>
    <w:lvl w:ilvl="5" w:tplc="0409001B" w:tentative="1">
      <w:start w:val="1"/>
      <w:numFmt w:val="lowerRoman"/>
      <w:lvlText w:val="%6."/>
      <w:lvlJc w:val="right"/>
      <w:pPr>
        <w:ind w:left="5210" w:hanging="180"/>
      </w:pPr>
    </w:lvl>
    <w:lvl w:ilvl="6" w:tplc="0409000F" w:tentative="1">
      <w:start w:val="1"/>
      <w:numFmt w:val="decimal"/>
      <w:lvlText w:val="%7."/>
      <w:lvlJc w:val="left"/>
      <w:pPr>
        <w:ind w:left="5930" w:hanging="360"/>
      </w:pPr>
    </w:lvl>
    <w:lvl w:ilvl="7" w:tplc="04090019" w:tentative="1">
      <w:start w:val="1"/>
      <w:numFmt w:val="lowerLetter"/>
      <w:lvlText w:val="%8."/>
      <w:lvlJc w:val="left"/>
      <w:pPr>
        <w:ind w:left="6650" w:hanging="360"/>
      </w:pPr>
    </w:lvl>
    <w:lvl w:ilvl="8" w:tplc="0409001B" w:tentative="1">
      <w:start w:val="1"/>
      <w:numFmt w:val="lowerRoman"/>
      <w:lvlText w:val="%9."/>
      <w:lvlJc w:val="right"/>
      <w:pPr>
        <w:ind w:left="7370" w:hanging="180"/>
      </w:pPr>
    </w:lvl>
  </w:abstractNum>
  <w:abstractNum w:abstractNumId="4"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4B106CB2"/>
    <w:multiLevelType w:val="hybridMultilevel"/>
    <w:tmpl w:val="757440B8"/>
    <w:lvl w:ilvl="0" w:tplc="1264D768">
      <w:start w:val="1"/>
      <w:numFmt w:val="decimal"/>
      <w:lvlText w:val="%1."/>
      <w:lvlJc w:val="left"/>
      <w:pPr>
        <w:ind w:left="720" w:hanging="360"/>
      </w:pPr>
      <w:rPr>
        <w:i w:val="0"/>
        <w:iCs w:val="0"/>
      </w:rPr>
    </w:lvl>
    <w:lvl w:ilvl="1" w:tplc="4F2A89AE">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2A66A9D"/>
    <w:multiLevelType w:val="multilevel"/>
    <w:tmpl w:val="3322019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7"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C516826"/>
    <w:multiLevelType w:val="hybridMultilevel"/>
    <w:tmpl w:val="4C9A0E2E"/>
    <w:lvl w:ilvl="0" w:tplc="20000015">
      <w:start w:val="1"/>
      <w:numFmt w:val="upperLetter"/>
      <w:lvlText w:val="%1."/>
      <w:lvlJc w:val="left"/>
      <w:pPr>
        <w:ind w:left="1484" w:hanging="360"/>
      </w:pPr>
    </w:lvl>
    <w:lvl w:ilvl="1" w:tplc="20000019" w:tentative="1">
      <w:start w:val="1"/>
      <w:numFmt w:val="lowerLetter"/>
      <w:lvlText w:val="%2."/>
      <w:lvlJc w:val="left"/>
      <w:pPr>
        <w:ind w:left="2204" w:hanging="360"/>
      </w:pPr>
    </w:lvl>
    <w:lvl w:ilvl="2" w:tplc="6810BE96">
      <w:start w:val="1"/>
      <w:numFmt w:val="upperLetter"/>
      <w:lvlText w:val="%3."/>
      <w:lvlJc w:val="left"/>
      <w:pPr>
        <w:ind w:left="2924" w:hanging="180"/>
      </w:pPr>
      <w:rPr>
        <w:sz w:val="28"/>
        <w:szCs w:val="28"/>
      </w:rPr>
    </w:lvl>
    <w:lvl w:ilvl="3" w:tplc="2000000F" w:tentative="1">
      <w:start w:val="1"/>
      <w:numFmt w:val="decimal"/>
      <w:lvlText w:val="%4."/>
      <w:lvlJc w:val="left"/>
      <w:pPr>
        <w:ind w:left="3644" w:hanging="360"/>
      </w:pPr>
    </w:lvl>
    <w:lvl w:ilvl="4" w:tplc="20000019" w:tentative="1">
      <w:start w:val="1"/>
      <w:numFmt w:val="lowerLetter"/>
      <w:lvlText w:val="%5."/>
      <w:lvlJc w:val="left"/>
      <w:pPr>
        <w:ind w:left="4364" w:hanging="360"/>
      </w:pPr>
    </w:lvl>
    <w:lvl w:ilvl="5" w:tplc="2000001B" w:tentative="1">
      <w:start w:val="1"/>
      <w:numFmt w:val="lowerRoman"/>
      <w:lvlText w:val="%6."/>
      <w:lvlJc w:val="right"/>
      <w:pPr>
        <w:ind w:left="5084" w:hanging="180"/>
      </w:pPr>
    </w:lvl>
    <w:lvl w:ilvl="6" w:tplc="2000000F" w:tentative="1">
      <w:start w:val="1"/>
      <w:numFmt w:val="decimal"/>
      <w:lvlText w:val="%7."/>
      <w:lvlJc w:val="left"/>
      <w:pPr>
        <w:ind w:left="5804" w:hanging="360"/>
      </w:pPr>
    </w:lvl>
    <w:lvl w:ilvl="7" w:tplc="20000019" w:tentative="1">
      <w:start w:val="1"/>
      <w:numFmt w:val="lowerLetter"/>
      <w:lvlText w:val="%8."/>
      <w:lvlJc w:val="left"/>
      <w:pPr>
        <w:ind w:left="6524" w:hanging="360"/>
      </w:pPr>
    </w:lvl>
    <w:lvl w:ilvl="8" w:tplc="2000001B" w:tentative="1">
      <w:start w:val="1"/>
      <w:numFmt w:val="lowerRoman"/>
      <w:lvlText w:val="%9."/>
      <w:lvlJc w:val="right"/>
      <w:pPr>
        <w:ind w:left="7244" w:hanging="180"/>
      </w:pPr>
    </w:lvl>
  </w:abstractNum>
  <w:abstractNum w:abstractNumId="9"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492DD8"/>
    <w:multiLevelType w:val="hybridMultilevel"/>
    <w:tmpl w:val="08E2277E"/>
    <w:lvl w:ilvl="0" w:tplc="61F426F6">
      <w:start w:val="1"/>
      <w:numFmt w:val="japaneseCounting"/>
      <w:lvlText w:val="%1、"/>
      <w:lvlJc w:val="left"/>
      <w:pPr>
        <w:ind w:left="1005" w:hanging="72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6"/>
  </w:num>
  <w:num w:numId="2">
    <w:abstractNumId w:val="0"/>
  </w:num>
  <w:num w:numId="3">
    <w:abstractNumId w:val="4"/>
  </w:num>
  <w:num w:numId="4">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9"/>
  </w:num>
  <w:num w:numId="6">
    <w:abstractNumId w:val="2"/>
  </w:num>
  <w:num w:numId="7">
    <w:abstractNumId w:val="7"/>
  </w:num>
  <w:num w:numId="8">
    <w:abstractNumId w:val="6"/>
    <w:lvlOverride w:ilvl="0">
      <w:lvl w:ilvl="0">
        <w:start w:val="1"/>
        <w:numFmt w:val="decimal"/>
        <w:lvlText w:val="%1."/>
        <w:lvlJc w:val="left"/>
        <w:pPr>
          <w:tabs>
            <w:tab w:val="num" w:pos="1247"/>
          </w:tabs>
          <w:ind w:left="1247" w:firstLine="0"/>
        </w:pPr>
        <w:rPr>
          <w:rFonts w:hint="default"/>
          <w:b w:val="0"/>
          <w:bCs/>
        </w:rPr>
      </w:lvl>
    </w:lvlOverride>
  </w:num>
  <w:num w:numId="9">
    <w:abstractNumId w:val="6"/>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lvlOverride w:ilvl="0">
      <w:lvl w:ilvl="0" w:tplc="0EF41BD4">
        <w:start w:val="1"/>
        <w:numFmt w:val="decimal"/>
        <w:lvlText w:val="%1."/>
        <w:lvlJc w:val="left"/>
        <w:pPr>
          <w:ind w:left="720"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1440" w:hanging="360"/>
        </w:pPr>
        <w:rPr>
          <w:rFonts w:hint="default"/>
        </w:rPr>
      </w:lvl>
    </w:lvlOverride>
  </w:num>
  <w:num w:numId="15">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3"/>
  </w:num>
  <w:num w:numId="23">
    <w:abstractNumId w:val="10"/>
  </w:num>
  <w:num w:numId="24">
    <w:abstractNumId w:val="1"/>
  </w:num>
  <w:num w:numId="25">
    <w:abstractNumId w:val="5"/>
  </w:num>
  <w:num w:numId="2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DIxMLY0NrY0sjRT0lEKTi0uzszPAykwqgUAa/bMvSwAAAA="/>
  </w:docVars>
  <w:rsids>
    <w:rsidRoot w:val="00091FA7"/>
    <w:rsid w:val="0000760B"/>
    <w:rsid w:val="00007A53"/>
    <w:rsid w:val="00010971"/>
    <w:rsid w:val="00012077"/>
    <w:rsid w:val="000149E6"/>
    <w:rsid w:val="00020068"/>
    <w:rsid w:val="000247B0"/>
    <w:rsid w:val="00026997"/>
    <w:rsid w:val="00030898"/>
    <w:rsid w:val="00033E0B"/>
    <w:rsid w:val="00035EDE"/>
    <w:rsid w:val="000509B4"/>
    <w:rsid w:val="00052070"/>
    <w:rsid w:val="00055F21"/>
    <w:rsid w:val="00057A47"/>
    <w:rsid w:val="0006035B"/>
    <w:rsid w:val="0006047E"/>
    <w:rsid w:val="0007060F"/>
    <w:rsid w:val="00070740"/>
    <w:rsid w:val="00071886"/>
    <w:rsid w:val="000736AB"/>
    <w:rsid w:val="00074171"/>
    <w:rsid w:val="000742BC"/>
    <w:rsid w:val="00074FE5"/>
    <w:rsid w:val="000751B6"/>
    <w:rsid w:val="00075A44"/>
    <w:rsid w:val="00080C63"/>
    <w:rsid w:val="00082A0C"/>
    <w:rsid w:val="00083504"/>
    <w:rsid w:val="000877FC"/>
    <w:rsid w:val="00087DE3"/>
    <w:rsid w:val="00091FA7"/>
    <w:rsid w:val="00095D6F"/>
    <w:rsid w:val="0009640C"/>
    <w:rsid w:val="000A13C5"/>
    <w:rsid w:val="000A5F18"/>
    <w:rsid w:val="000B0265"/>
    <w:rsid w:val="000B1231"/>
    <w:rsid w:val="000B22A2"/>
    <w:rsid w:val="000B6A59"/>
    <w:rsid w:val="000C2A52"/>
    <w:rsid w:val="000C30E8"/>
    <w:rsid w:val="000C6AAB"/>
    <w:rsid w:val="000D09B0"/>
    <w:rsid w:val="000D33C0"/>
    <w:rsid w:val="000D4A65"/>
    <w:rsid w:val="000D6941"/>
    <w:rsid w:val="000F3F2E"/>
    <w:rsid w:val="00100766"/>
    <w:rsid w:val="00101863"/>
    <w:rsid w:val="0010497A"/>
    <w:rsid w:val="0011190A"/>
    <w:rsid w:val="00112D7C"/>
    <w:rsid w:val="001202E3"/>
    <w:rsid w:val="00123699"/>
    <w:rsid w:val="00123C52"/>
    <w:rsid w:val="0013059D"/>
    <w:rsid w:val="00141A55"/>
    <w:rsid w:val="001446A3"/>
    <w:rsid w:val="001451E3"/>
    <w:rsid w:val="00150D94"/>
    <w:rsid w:val="00152F0B"/>
    <w:rsid w:val="00155395"/>
    <w:rsid w:val="00160120"/>
    <w:rsid w:val="00160D74"/>
    <w:rsid w:val="00163919"/>
    <w:rsid w:val="00167760"/>
    <w:rsid w:val="00167D02"/>
    <w:rsid w:val="00170216"/>
    <w:rsid w:val="00177088"/>
    <w:rsid w:val="00181EC8"/>
    <w:rsid w:val="00184349"/>
    <w:rsid w:val="0018635E"/>
    <w:rsid w:val="00190E9E"/>
    <w:rsid w:val="00195F33"/>
    <w:rsid w:val="001A179F"/>
    <w:rsid w:val="001A31DA"/>
    <w:rsid w:val="001A54A9"/>
    <w:rsid w:val="001A5C87"/>
    <w:rsid w:val="001B1617"/>
    <w:rsid w:val="001B504B"/>
    <w:rsid w:val="001C31AF"/>
    <w:rsid w:val="001C7D11"/>
    <w:rsid w:val="001C7D7F"/>
    <w:rsid w:val="001D0C19"/>
    <w:rsid w:val="001D2E7D"/>
    <w:rsid w:val="001D3874"/>
    <w:rsid w:val="001D79B8"/>
    <w:rsid w:val="001D7E75"/>
    <w:rsid w:val="001E3CB7"/>
    <w:rsid w:val="001E503F"/>
    <w:rsid w:val="001E56D2"/>
    <w:rsid w:val="001E57D4"/>
    <w:rsid w:val="001E7D56"/>
    <w:rsid w:val="001F2443"/>
    <w:rsid w:val="001F3124"/>
    <w:rsid w:val="001F7040"/>
    <w:rsid w:val="001F75DE"/>
    <w:rsid w:val="00200D58"/>
    <w:rsid w:val="002013BE"/>
    <w:rsid w:val="002063A4"/>
    <w:rsid w:val="00206E77"/>
    <w:rsid w:val="0021145B"/>
    <w:rsid w:val="002146C0"/>
    <w:rsid w:val="0022436A"/>
    <w:rsid w:val="002245B6"/>
    <w:rsid w:val="00227485"/>
    <w:rsid w:val="00233458"/>
    <w:rsid w:val="002345A6"/>
    <w:rsid w:val="002379C0"/>
    <w:rsid w:val="00241A3E"/>
    <w:rsid w:val="00242E48"/>
    <w:rsid w:val="00243D36"/>
    <w:rsid w:val="002449F7"/>
    <w:rsid w:val="00247707"/>
    <w:rsid w:val="0026012F"/>
    <w:rsid w:val="0026018E"/>
    <w:rsid w:val="0026222E"/>
    <w:rsid w:val="002779A7"/>
    <w:rsid w:val="00286740"/>
    <w:rsid w:val="00291D38"/>
    <w:rsid w:val="002929D8"/>
    <w:rsid w:val="00296929"/>
    <w:rsid w:val="00297F3C"/>
    <w:rsid w:val="002A1F8A"/>
    <w:rsid w:val="002A237D"/>
    <w:rsid w:val="002A4C53"/>
    <w:rsid w:val="002A50DE"/>
    <w:rsid w:val="002B01EA"/>
    <w:rsid w:val="002B0672"/>
    <w:rsid w:val="002B247F"/>
    <w:rsid w:val="002B675B"/>
    <w:rsid w:val="002C145D"/>
    <w:rsid w:val="002C2C3E"/>
    <w:rsid w:val="002C517B"/>
    <w:rsid w:val="002C533E"/>
    <w:rsid w:val="002C7D03"/>
    <w:rsid w:val="002D027F"/>
    <w:rsid w:val="002D386A"/>
    <w:rsid w:val="002D3C64"/>
    <w:rsid w:val="002D409D"/>
    <w:rsid w:val="002D4624"/>
    <w:rsid w:val="002D7358"/>
    <w:rsid w:val="002D7A85"/>
    <w:rsid w:val="002D7B60"/>
    <w:rsid w:val="002E44A1"/>
    <w:rsid w:val="002E48CE"/>
    <w:rsid w:val="002E512F"/>
    <w:rsid w:val="002F0F0A"/>
    <w:rsid w:val="002F4761"/>
    <w:rsid w:val="002F5C79"/>
    <w:rsid w:val="002F6B9C"/>
    <w:rsid w:val="002F7E04"/>
    <w:rsid w:val="00300A10"/>
    <w:rsid w:val="003019E2"/>
    <w:rsid w:val="00303867"/>
    <w:rsid w:val="0031413F"/>
    <w:rsid w:val="003148BB"/>
    <w:rsid w:val="00317976"/>
    <w:rsid w:val="00327491"/>
    <w:rsid w:val="003341D1"/>
    <w:rsid w:val="00343AA8"/>
    <w:rsid w:val="00344F72"/>
    <w:rsid w:val="00345684"/>
    <w:rsid w:val="00351F16"/>
    <w:rsid w:val="003523F7"/>
    <w:rsid w:val="00355EA9"/>
    <w:rsid w:val="003578DE"/>
    <w:rsid w:val="00360306"/>
    <w:rsid w:val="0036268A"/>
    <w:rsid w:val="00362BCF"/>
    <w:rsid w:val="00363E12"/>
    <w:rsid w:val="0036679E"/>
    <w:rsid w:val="00375652"/>
    <w:rsid w:val="003800B6"/>
    <w:rsid w:val="003818B0"/>
    <w:rsid w:val="00383B45"/>
    <w:rsid w:val="00390B8B"/>
    <w:rsid w:val="00393E4B"/>
    <w:rsid w:val="00394131"/>
    <w:rsid w:val="00395C92"/>
    <w:rsid w:val="00395D25"/>
    <w:rsid w:val="00396257"/>
    <w:rsid w:val="003962B0"/>
    <w:rsid w:val="00396433"/>
    <w:rsid w:val="00397EB8"/>
    <w:rsid w:val="003A2006"/>
    <w:rsid w:val="003A3C9B"/>
    <w:rsid w:val="003A4FD0"/>
    <w:rsid w:val="003A633C"/>
    <w:rsid w:val="003A69D1"/>
    <w:rsid w:val="003A7705"/>
    <w:rsid w:val="003A77F1"/>
    <w:rsid w:val="003B1545"/>
    <w:rsid w:val="003B1DE1"/>
    <w:rsid w:val="003B444A"/>
    <w:rsid w:val="003C1EEE"/>
    <w:rsid w:val="003C409D"/>
    <w:rsid w:val="003C5BA6"/>
    <w:rsid w:val="003C762E"/>
    <w:rsid w:val="003E60DB"/>
    <w:rsid w:val="003F0E85"/>
    <w:rsid w:val="003F0FE4"/>
    <w:rsid w:val="003F2079"/>
    <w:rsid w:val="00406F65"/>
    <w:rsid w:val="00410C55"/>
    <w:rsid w:val="0041285A"/>
    <w:rsid w:val="00416854"/>
    <w:rsid w:val="00417725"/>
    <w:rsid w:val="00426F8D"/>
    <w:rsid w:val="00432B4B"/>
    <w:rsid w:val="00437117"/>
    <w:rsid w:val="00437F26"/>
    <w:rsid w:val="00440150"/>
    <w:rsid w:val="0044180F"/>
    <w:rsid w:val="00443757"/>
    <w:rsid w:val="00444097"/>
    <w:rsid w:val="00444B06"/>
    <w:rsid w:val="00445487"/>
    <w:rsid w:val="004509CC"/>
    <w:rsid w:val="00451B49"/>
    <w:rsid w:val="00452F9C"/>
    <w:rsid w:val="00453964"/>
    <w:rsid w:val="00454769"/>
    <w:rsid w:val="00466991"/>
    <w:rsid w:val="0047064C"/>
    <w:rsid w:val="004713B7"/>
    <w:rsid w:val="00474064"/>
    <w:rsid w:val="00474BEB"/>
    <w:rsid w:val="00476DCD"/>
    <w:rsid w:val="004800FA"/>
    <w:rsid w:val="00484DDB"/>
    <w:rsid w:val="0048610B"/>
    <w:rsid w:val="004A42E1"/>
    <w:rsid w:val="004A45B2"/>
    <w:rsid w:val="004A48FB"/>
    <w:rsid w:val="004A761D"/>
    <w:rsid w:val="004B0FC2"/>
    <w:rsid w:val="004B162C"/>
    <w:rsid w:val="004B1F5F"/>
    <w:rsid w:val="004B2703"/>
    <w:rsid w:val="004B3EA8"/>
    <w:rsid w:val="004B3FC1"/>
    <w:rsid w:val="004C3DBE"/>
    <w:rsid w:val="004C5C96"/>
    <w:rsid w:val="004C72DC"/>
    <w:rsid w:val="004D06A4"/>
    <w:rsid w:val="004D0E4D"/>
    <w:rsid w:val="004D5F74"/>
    <w:rsid w:val="004D6A29"/>
    <w:rsid w:val="004E0660"/>
    <w:rsid w:val="004E4919"/>
    <w:rsid w:val="004F1A81"/>
    <w:rsid w:val="004F3714"/>
    <w:rsid w:val="004F6844"/>
    <w:rsid w:val="0051136F"/>
    <w:rsid w:val="005177A3"/>
    <w:rsid w:val="005218D9"/>
    <w:rsid w:val="00523317"/>
    <w:rsid w:val="0052629C"/>
    <w:rsid w:val="00531E6F"/>
    <w:rsid w:val="00532011"/>
    <w:rsid w:val="0053418F"/>
    <w:rsid w:val="00536186"/>
    <w:rsid w:val="0053641D"/>
    <w:rsid w:val="0054498C"/>
    <w:rsid w:val="00544CBB"/>
    <w:rsid w:val="005473BF"/>
    <w:rsid w:val="0054756D"/>
    <w:rsid w:val="0057239E"/>
    <w:rsid w:val="0057315F"/>
    <w:rsid w:val="00573EF1"/>
    <w:rsid w:val="00576104"/>
    <w:rsid w:val="005818BA"/>
    <w:rsid w:val="00582BC0"/>
    <w:rsid w:val="005A3DF4"/>
    <w:rsid w:val="005A7B96"/>
    <w:rsid w:val="005B4F16"/>
    <w:rsid w:val="005B4F5F"/>
    <w:rsid w:val="005B675D"/>
    <w:rsid w:val="005C21AE"/>
    <w:rsid w:val="005C5E59"/>
    <w:rsid w:val="005C67C8"/>
    <w:rsid w:val="005C7140"/>
    <w:rsid w:val="005C72D8"/>
    <w:rsid w:val="005D0249"/>
    <w:rsid w:val="005D09AB"/>
    <w:rsid w:val="005D5400"/>
    <w:rsid w:val="005D6E8C"/>
    <w:rsid w:val="005E0549"/>
    <w:rsid w:val="005E28E8"/>
    <w:rsid w:val="005E34AD"/>
    <w:rsid w:val="005E3984"/>
    <w:rsid w:val="005E4EB1"/>
    <w:rsid w:val="005E5E0C"/>
    <w:rsid w:val="005F100C"/>
    <w:rsid w:val="005F65BB"/>
    <w:rsid w:val="005F68DA"/>
    <w:rsid w:val="00601AF9"/>
    <w:rsid w:val="00602EEE"/>
    <w:rsid w:val="00602FB4"/>
    <w:rsid w:val="0060773B"/>
    <w:rsid w:val="006123DF"/>
    <w:rsid w:val="00612F3F"/>
    <w:rsid w:val="00613E2D"/>
    <w:rsid w:val="006157B5"/>
    <w:rsid w:val="00615E75"/>
    <w:rsid w:val="00616CB1"/>
    <w:rsid w:val="006214BE"/>
    <w:rsid w:val="006214E8"/>
    <w:rsid w:val="00626FC6"/>
    <w:rsid w:val="006303B4"/>
    <w:rsid w:val="00631354"/>
    <w:rsid w:val="00633D3D"/>
    <w:rsid w:val="00635787"/>
    <w:rsid w:val="006375A9"/>
    <w:rsid w:val="00641703"/>
    <w:rsid w:val="0064197F"/>
    <w:rsid w:val="006431A6"/>
    <w:rsid w:val="00643832"/>
    <w:rsid w:val="00644B2D"/>
    <w:rsid w:val="006459F6"/>
    <w:rsid w:val="006501AD"/>
    <w:rsid w:val="00651958"/>
    <w:rsid w:val="00651BFA"/>
    <w:rsid w:val="00652D31"/>
    <w:rsid w:val="00654475"/>
    <w:rsid w:val="00663C14"/>
    <w:rsid w:val="00664B07"/>
    <w:rsid w:val="00665A4B"/>
    <w:rsid w:val="00667C1F"/>
    <w:rsid w:val="00667CF7"/>
    <w:rsid w:val="00671E85"/>
    <w:rsid w:val="00673FD1"/>
    <w:rsid w:val="00682226"/>
    <w:rsid w:val="0068295D"/>
    <w:rsid w:val="00683562"/>
    <w:rsid w:val="00683BB2"/>
    <w:rsid w:val="00683F7F"/>
    <w:rsid w:val="006870D7"/>
    <w:rsid w:val="00692E2A"/>
    <w:rsid w:val="006A1844"/>
    <w:rsid w:val="006A4C0A"/>
    <w:rsid w:val="006A7608"/>
    <w:rsid w:val="006A76F2"/>
    <w:rsid w:val="006B2A60"/>
    <w:rsid w:val="006B45D6"/>
    <w:rsid w:val="006B7B1F"/>
    <w:rsid w:val="006C03CE"/>
    <w:rsid w:val="006C2201"/>
    <w:rsid w:val="006C5B2A"/>
    <w:rsid w:val="006C6549"/>
    <w:rsid w:val="006D17F7"/>
    <w:rsid w:val="006D26B4"/>
    <w:rsid w:val="006D50E0"/>
    <w:rsid w:val="006D7EFB"/>
    <w:rsid w:val="006E4A50"/>
    <w:rsid w:val="006E6672"/>
    <w:rsid w:val="006E6722"/>
    <w:rsid w:val="006F56E6"/>
    <w:rsid w:val="006F6EDC"/>
    <w:rsid w:val="007027B9"/>
    <w:rsid w:val="00705056"/>
    <w:rsid w:val="00707233"/>
    <w:rsid w:val="0071119A"/>
    <w:rsid w:val="00715E88"/>
    <w:rsid w:val="007304C3"/>
    <w:rsid w:val="007320EF"/>
    <w:rsid w:val="0073264E"/>
    <w:rsid w:val="007341BD"/>
    <w:rsid w:val="00734CAA"/>
    <w:rsid w:val="00734D65"/>
    <w:rsid w:val="00736520"/>
    <w:rsid w:val="00742B16"/>
    <w:rsid w:val="0074533E"/>
    <w:rsid w:val="00746684"/>
    <w:rsid w:val="00750DF7"/>
    <w:rsid w:val="0075533C"/>
    <w:rsid w:val="00757581"/>
    <w:rsid w:val="007611A0"/>
    <w:rsid w:val="007647E2"/>
    <w:rsid w:val="007776C9"/>
    <w:rsid w:val="0078186C"/>
    <w:rsid w:val="007941C3"/>
    <w:rsid w:val="00796811"/>
    <w:rsid w:val="00796D3F"/>
    <w:rsid w:val="007A1683"/>
    <w:rsid w:val="007A3B94"/>
    <w:rsid w:val="007A5C12"/>
    <w:rsid w:val="007A7910"/>
    <w:rsid w:val="007A7CB0"/>
    <w:rsid w:val="007B1200"/>
    <w:rsid w:val="007B5DE1"/>
    <w:rsid w:val="007B68A3"/>
    <w:rsid w:val="007C025C"/>
    <w:rsid w:val="007C2541"/>
    <w:rsid w:val="007D0057"/>
    <w:rsid w:val="007D3B04"/>
    <w:rsid w:val="007D66A8"/>
    <w:rsid w:val="007E003F"/>
    <w:rsid w:val="007E42B8"/>
    <w:rsid w:val="007E48C9"/>
    <w:rsid w:val="007E51D1"/>
    <w:rsid w:val="007F093C"/>
    <w:rsid w:val="008014A9"/>
    <w:rsid w:val="008071E8"/>
    <w:rsid w:val="008072EF"/>
    <w:rsid w:val="00812273"/>
    <w:rsid w:val="008164F2"/>
    <w:rsid w:val="00821395"/>
    <w:rsid w:val="0082431A"/>
    <w:rsid w:val="00830E26"/>
    <w:rsid w:val="0083403A"/>
    <w:rsid w:val="008349AD"/>
    <w:rsid w:val="00843576"/>
    <w:rsid w:val="00843B64"/>
    <w:rsid w:val="00846973"/>
    <w:rsid w:val="008478FC"/>
    <w:rsid w:val="00852629"/>
    <w:rsid w:val="0085678D"/>
    <w:rsid w:val="0086154D"/>
    <w:rsid w:val="00863E11"/>
    <w:rsid w:val="00866282"/>
    <w:rsid w:val="00867BFF"/>
    <w:rsid w:val="008768F1"/>
    <w:rsid w:val="00881E0C"/>
    <w:rsid w:val="00883E14"/>
    <w:rsid w:val="0088480A"/>
    <w:rsid w:val="00884DB3"/>
    <w:rsid w:val="0088757A"/>
    <w:rsid w:val="00892469"/>
    <w:rsid w:val="008931A3"/>
    <w:rsid w:val="008957DD"/>
    <w:rsid w:val="008975E6"/>
    <w:rsid w:val="00897D98"/>
    <w:rsid w:val="008A6314"/>
    <w:rsid w:val="008A6DF2"/>
    <w:rsid w:val="008A7807"/>
    <w:rsid w:val="008B21C6"/>
    <w:rsid w:val="008B3B82"/>
    <w:rsid w:val="008B4CC9"/>
    <w:rsid w:val="008B51E0"/>
    <w:rsid w:val="008B6BFE"/>
    <w:rsid w:val="008C103B"/>
    <w:rsid w:val="008C2F27"/>
    <w:rsid w:val="008C4387"/>
    <w:rsid w:val="008C61A2"/>
    <w:rsid w:val="008D255B"/>
    <w:rsid w:val="008D7C99"/>
    <w:rsid w:val="008D7CF3"/>
    <w:rsid w:val="008E0FCB"/>
    <w:rsid w:val="008E2841"/>
    <w:rsid w:val="0090794E"/>
    <w:rsid w:val="009142D0"/>
    <w:rsid w:val="00916E6A"/>
    <w:rsid w:val="0092178C"/>
    <w:rsid w:val="00930B88"/>
    <w:rsid w:val="009328B6"/>
    <w:rsid w:val="0093687C"/>
    <w:rsid w:val="00937186"/>
    <w:rsid w:val="00940DCC"/>
    <w:rsid w:val="0094179A"/>
    <w:rsid w:val="009438B2"/>
    <w:rsid w:val="0094459E"/>
    <w:rsid w:val="00944DBC"/>
    <w:rsid w:val="00947C33"/>
    <w:rsid w:val="00950977"/>
    <w:rsid w:val="00951A7B"/>
    <w:rsid w:val="00952967"/>
    <w:rsid w:val="009564A6"/>
    <w:rsid w:val="009573E7"/>
    <w:rsid w:val="00960135"/>
    <w:rsid w:val="0096145A"/>
    <w:rsid w:val="00962500"/>
    <w:rsid w:val="0096498D"/>
    <w:rsid w:val="0096506B"/>
    <w:rsid w:val="00967621"/>
    <w:rsid w:val="00967E6A"/>
    <w:rsid w:val="009702DD"/>
    <w:rsid w:val="0097508E"/>
    <w:rsid w:val="009777AA"/>
    <w:rsid w:val="00980EB9"/>
    <w:rsid w:val="00981BD6"/>
    <w:rsid w:val="0098512E"/>
    <w:rsid w:val="0099557E"/>
    <w:rsid w:val="00997356"/>
    <w:rsid w:val="009A0C7B"/>
    <w:rsid w:val="009A265C"/>
    <w:rsid w:val="009A7801"/>
    <w:rsid w:val="009B4A0F"/>
    <w:rsid w:val="009C0027"/>
    <w:rsid w:val="009C11D2"/>
    <w:rsid w:val="009C421B"/>
    <w:rsid w:val="009C6295"/>
    <w:rsid w:val="009C6C70"/>
    <w:rsid w:val="009D0B63"/>
    <w:rsid w:val="009D7090"/>
    <w:rsid w:val="009E307E"/>
    <w:rsid w:val="009F1DC7"/>
    <w:rsid w:val="009F3CE0"/>
    <w:rsid w:val="009F5C56"/>
    <w:rsid w:val="00A01A4B"/>
    <w:rsid w:val="00A055A0"/>
    <w:rsid w:val="00A07870"/>
    <w:rsid w:val="00A07F19"/>
    <w:rsid w:val="00A1348D"/>
    <w:rsid w:val="00A232EE"/>
    <w:rsid w:val="00A27C9D"/>
    <w:rsid w:val="00A4175F"/>
    <w:rsid w:val="00A43CAF"/>
    <w:rsid w:val="00A44411"/>
    <w:rsid w:val="00A4536B"/>
    <w:rsid w:val="00A469FA"/>
    <w:rsid w:val="00A55618"/>
    <w:rsid w:val="00A55B01"/>
    <w:rsid w:val="00A56B5B"/>
    <w:rsid w:val="00A603FF"/>
    <w:rsid w:val="00A657DD"/>
    <w:rsid w:val="00A666A6"/>
    <w:rsid w:val="00A675FD"/>
    <w:rsid w:val="00A67F0E"/>
    <w:rsid w:val="00A70804"/>
    <w:rsid w:val="00A72437"/>
    <w:rsid w:val="00A80611"/>
    <w:rsid w:val="00A83F7A"/>
    <w:rsid w:val="00A86D2C"/>
    <w:rsid w:val="00A90CE2"/>
    <w:rsid w:val="00A9320A"/>
    <w:rsid w:val="00AA1C42"/>
    <w:rsid w:val="00AA23BF"/>
    <w:rsid w:val="00AA70CD"/>
    <w:rsid w:val="00AA78E8"/>
    <w:rsid w:val="00AB5340"/>
    <w:rsid w:val="00AB58DB"/>
    <w:rsid w:val="00AB6879"/>
    <w:rsid w:val="00AC0A89"/>
    <w:rsid w:val="00AC3375"/>
    <w:rsid w:val="00AC5319"/>
    <w:rsid w:val="00AC67A2"/>
    <w:rsid w:val="00AC7C96"/>
    <w:rsid w:val="00AD3A0E"/>
    <w:rsid w:val="00AD5713"/>
    <w:rsid w:val="00AE237D"/>
    <w:rsid w:val="00AE502A"/>
    <w:rsid w:val="00AF3BF0"/>
    <w:rsid w:val="00AF7C07"/>
    <w:rsid w:val="00B0142B"/>
    <w:rsid w:val="00B07834"/>
    <w:rsid w:val="00B17F40"/>
    <w:rsid w:val="00B22C93"/>
    <w:rsid w:val="00B245CD"/>
    <w:rsid w:val="00B27589"/>
    <w:rsid w:val="00B31082"/>
    <w:rsid w:val="00B32F19"/>
    <w:rsid w:val="00B3519A"/>
    <w:rsid w:val="00B405B7"/>
    <w:rsid w:val="00B40B1C"/>
    <w:rsid w:val="00B45A1D"/>
    <w:rsid w:val="00B52222"/>
    <w:rsid w:val="00B54FE7"/>
    <w:rsid w:val="00B60700"/>
    <w:rsid w:val="00B60D35"/>
    <w:rsid w:val="00B66901"/>
    <w:rsid w:val="00B71E6D"/>
    <w:rsid w:val="00B72070"/>
    <w:rsid w:val="00B76B77"/>
    <w:rsid w:val="00B779E1"/>
    <w:rsid w:val="00B85DF3"/>
    <w:rsid w:val="00B87AB1"/>
    <w:rsid w:val="00B91EE1"/>
    <w:rsid w:val="00B93C54"/>
    <w:rsid w:val="00BA0090"/>
    <w:rsid w:val="00BA06C4"/>
    <w:rsid w:val="00BA0C8B"/>
    <w:rsid w:val="00BA1A67"/>
    <w:rsid w:val="00BB1C33"/>
    <w:rsid w:val="00BB3D1A"/>
    <w:rsid w:val="00BB55F3"/>
    <w:rsid w:val="00BC3331"/>
    <w:rsid w:val="00BD27E2"/>
    <w:rsid w:val="00BD3835"/>
    <w:rsid w:val="00BD4A91"/>
    <w:rsid w:val="00BD7BE5"/>
    <w:rsid w:val="00BE131F"/>
    <w:rsid w:val="00BE18CD"/>
    <w:rsid w:val="00BE5B5F"/>
    <w:rsid w:val="00BE5F64"/>
    <w:rsid w:val="00BE648E"/>
    <w:rsid w:val="00BE7B92"/>
    <w:rsid w:val="00C004D1"/>
    <w:rsid w:val="00C04186"/>
    <w:rsid w:val="00C0625D"/>
    <w:rsid w:val="00C10B0E"/>
    <w:rsid w:val="00C11CCE"/>
    <w:rsid w:val="00C147B9"/>
    <w:rsid w:val="00C179DB"/>
    <w:rsid w:val="00C21B7B"/>
    <w:rsid w:val="00C26F55"/>
    <w:rsid w:val="00C270E1"/>
    <w:rsid w:val="00C30C63"/>
    <w:rsid w:val="00C36B8B"/>
    <w:rsid w:val="00C415C1"/>
    <w:rsid w:val="00C46FF2"/>
    <w:rsid w:val="00C47DBF"/>
    <w:rsid w:val="00C525C4"/>
    <w:rsid w:val="00C552FF"/>
    <w:rsid w:val="00C558DA"/>
    <w:rsid w:val="00C55AF3"/>
    <w:rsid w:val="00C63014"/>
    <w:rsid w:val="00C63389"/>
    <w:rsid w:val="00C664AA"/>
    <w:rsid w:val="00C70447"/>
    <w:rsid w:val="00C74DDF"/>
    <w:rsid w:val="00C83D89"/>
    <w:rsid w:val="00C84759"/>
    <w:rsid w:val="00C903BE"/>
    <w:rsid w:val="00C972F9"/>
    <w:rsid w:val="00CA13FF"/>
    <w:rsid w:val="00CA6C7F"/>
    <w:rsid w:val="00CA79BB"/>
    <w:rsid w:val="00CA7F6E"/>
    <w:rsid w:val="00CB39F8"/>
    <w:rsid w:val="00CB518C"/>
    <w:rsid w:val="00CC03CF"/>
    <w:rsid w:val="00CC10A6"/>
    <w:rsid w:val="00CC4EA5"/>
    <w:rsid w:val="00CC51DF"/>
    <w:rsid w:val="00CD1C12"/>
    <w:rsid w:val="00CD2911"/>
    <w:rsid w:val="00CD5A95"/>
    <w:rsid w:val="00CD5EB8"/>
    <w:rsid w:val="00CD7044"/>
    <w:rsid w:val="00CE08B9"/>
    <w:rsid w:val="00CE524C"/>
    <w:rsid w:val="00CE7C59"/>
    <w:rsid w:val="00CF141F"/>
    <w:rsid w:val="00CF4777"/>
    <w:rsid w:val="00CF6CEA"/>
    <w:rsid w:val="00D03E04"/>
    <w:rsid w:val="00D067BB"/>
    <w:rsid w:val="00D13271"/>
    <w:rsid w:val="00D1352A"/>
    <w:rsid w:val="00D13562"/>
    <w:rsid w:val="00D169AF"/>
    <w:rsid w:val="00D25249"/>
    <w:rsid w:val="00D321C6"/>
    <w:rsid w:val="00D35D7B"/>
    <w:rsid w:val="00D36256"/>
    <w:rsid w:val="00D44172"/>
    <w:rsid w:val="00D45697"/>
    <w:rsid w:val="00D46418"/>
    <w:rsid w:val="00D544C9"/>
    <w:rsid w:val="00D5475A"/>
    <w:rsid w:val="00D54FCC"/>
    <w:rsid w:val="00D55581"/>
    <w:rsid w:val="00D560BD"/>
    <w:rsid w:val="00D571A7"/>
    <w:rsid w:val="00D60D3F"/>
    <w:rsid w:val="00D63B8C"/>
    <w:rsid w:val="00D63F28"/>
    <w:rsid w:val="00D674C0"/>
    <w:rsid w:val="00D7205F"/>
    <w:rsid w:val="00D739CC"/>
    <w:rsid w:val="00D746E9"/>
    <w:rsid w:val="00D8093D"/>
    <w:rsid w:val="00D8108C"/>
    <w:rsid w:val="00D8424E"/>
    <w:rsid w:val="00D842AE"/>
    <w:rsid w:val="00D9211C"/>
    <w:rsid w:val="00D92DE0"/>
    <w:rsid w:val="00D92FEF"/>
    <w:rsid w:val="00D93A0F"/>
    <w:rsid w:val="00D9523C"/>
    <w:rsid w:val="00D97BBB"/>
    <w:rsid w:val="00DA1BCA"/>
    <w:rsid w:val="00DA44C3"/>
    <w:rsid w:val="00DA52A9"/>
    <w:rsid w:val="00DC3D67"/>
    <w:rsid w:val="00DC468F"/>
    <w:rsid w:val="00DC46FF"/>
    <w:rsid w:val="00DC5254"/>
    <w:rsid w:val="00DD1A4F"/>
    <w:rsid w:val="00DD3107"/>
    <w:rsid w:val="00DD76CF"/>
    <w:rsid w:val="00DD7C2C"/>
    <w:rsid w:val="00DE4531"/>
    <w:rsid w:val="00DE5CB1"/>
    <w:rsid w:val="00DF0A04"/>
    <w:rsid w:val="00DF1472"/>
    <w:rsid w:val="00DF5714"/>
    <w:rsid w:val="00DF58F4"/>
    <w:rsid w:val="00DF6E4B"/>
    <w:rsid w:val="00E06797"/>
    <w:rsid w:val="00E07C4B"/>
    <w:rsid w:val="00E07D43"/>
    <w:rsid w:val="00E1109D"/>
    <w:rsid w:val="00E1265B"/>
    <w:rsid w:val="00E13B48"/>
    <w:rsid w:val="00E1404F"/>
    <w:rsid w:val="00E21C83"/>
    <w:rsid w:val="00E2411E"/>
    <w:rsid w:val="00E243D1"/>
    <w:rsid w:val="00E24ADA"/>
    <w:rsid w:val="00E2683B"/>
    <w:rsid w:val="00E32F59"/>
    <w:rsid w:val="00E33FCB"/>
    <w:rsid w:val="00E44055"/>
    <w:rsid w:val="00E46D9A"/>
    <w:rsid w:val="00E538C2"/>
    <w:rsid w:val="00E5585D"/>
    <w:rsid w:val="00E565FF"/>
    <w:rsid w:val="00E61288"/>
    <w:rsid w:val="00E6130A"/>
    <w:rsid w:val="00E65388"/>
    <w:rsid w:val="00E71085"/>
    <w:rsid w:val="00E738BD"/>
    <w:rsid w:val="00E749EA"/>
    <w:rsid w:val="00E834E6"/>
    <w:rsid w:val="00E84C32"/>
    <w:rsid w:val="00E85B7D"/>
    <w:rsid w:val="00E87162"/>
    <w:rsid w:val="00E87DCA"/>
    <w:rsid w:val="00E9121B"/>
    <w:rsid w:val="00E93A82"/>
    <w:rsid w:val="00E97537"/>
    <w:rsid w:val="00EA0AE2"/>
    <w:rsid w:val="00EA39E5"/>
    <w:rsid w:val="00EA54A3"/>
    <w:rsid w:val="00EA7596"/>
    <w:rsid w:val="00EB3100"/>
    <w:rsid w:val="00EB422D"/>
    <w:rsid w:val="00EB57B2"/>
    <w:rsid w:val="00EB7379"/>
    <w:rsid w:val="00EC1536"/>
    <w:rsid w:val="00EC57A0"/>
    <w:rsid w:val="00EC5A46"/>
    <w:rsid w:val="00EC5CEA"/>
    <w:rsid w:val="00EC63E2"/>
    <w:rsid w:val="00ED03E0"/>
    <w:rsid w:val="00ED68AA"/>
    <w:rsid w:val="00EE1C1A"/>
    <w:rsid w:val="00EE67D1"/>
    <w:rsid w:val="00EF0E0A"/>
    <w:rsid w:val="00EF22B3"/>
    <w:rsid w:val="00EF539C"/>
    <w:rsid w:val="00F0181D"/>
    <w:rsid w:val="00F01887"/>
    <w:rsid w:val="00F03B69"/>
    <w:rsid w:val="00F07A50"/>
    <w:rsid w:val="00F113DA"/>
    <w:rsid w:val="00F12C30"/>
    <w:rsid w:val="00F26E01"/>
    <w:rsid w:val="00F36D1D"/>
    <w:rsid w:val="00F37DC8"/>
    <w:rsid w:val="00F439B3"/>
    <w:rsid w:val="00F4659D"/>
    <w:rsid w:val="00F611EC"/>
    <w:rsid w:val="00F650C3"/>
    <w:rsid w:val="00F65AB0"/>
    <w:rsid w:val="00F65D85"/>
    <w:rsid w:val="00F7021C"/>
    <w:rsid w:val="00F735BF"/>
    <w:rsid w:val="00F76E5F"/>
    <w:rsid w:val="00F8091E"/>
    <w:rsid w:val="00F820B5"/>
    <w:rsid w:val="00F83B6F"/>
    <w:rsid w:val="00F8615C"/>
    <w:rsid w:val="00F969E5"/>
    <w:rsid w:val="00FA04DB"/>
    <w:rsid w:val="00FA05B9"/>
    <w:rsid w:val="00FA0727"/>
    <w:rsid w:val="00FA1AD9"/>
    <w:rsid w:val="00FA6BB0"/>
    <w:rsid w:val="00FB41A4"/>
    <w:rsid w:val="00FC27C4"/>
    <w:rsid w:val="00FC4809"/>
    <w:rsid w:val="00FD1D35"/>
    <w:rsid w:val="00FD3F9A"/>
    <w:rsid w:val="00FD5860"/>
    <w:rsid w:val="00FE2051"/>
    <w:rsid w:val="00FE352D"/>
    <w:rsid w:val="00FE40EB"/>
    <w:rsid w:val="00FE4D02"/>
    <w:rsid w:val="00FE7D62"/>
    <w:rsid w:val="00FF1DA5"/>
    <w:rsid w:val="00FF259A"/>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48365D8"/>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link w:val="Heading1Char"/>
    <w:qFormat/>
    <w:rsid w:val="003F2079"/>
    <w:pPr>
      <w:keepNext/>
      <w:spacing w:before="240"/>
      <w:ind w:left="1247" w:hanging="680"/>
      <w:outlineLvl w:val="0"/>
    </w:pPr>
    <w:rPr>
      <w:b/>
      <w:sz w:val="28"/>
    </w:rPr>
  </w:style>
  <w:style w:type="paragraph" w:styleId="Heading2">
    <w:name w:val="heading 2"/>
    <w:basedOn w:val="Normal"/>
    <w:next w:val="Normal"/>
    <w:link w:val="Heading2Char"/>
    <w:qFormat/>
    <w:rsid w:val="003F2079"/>
    <w:pPr>
      <w:keepNext/>
      <w:spacing w:before="240"/>
      <w:ind w:left="1247" w:hanging="680"/>
      <w:outlineLvl w:val="1"/>
    </w:pPr>
    <w:rPr>
      <w:b/>
      <w:sz w:val="24"/>
      <w:szCs w:val="24"/>
    </w:rPr>
  </w:style>
  <w:style w:type="paragraph" w:styleId="Heading3">
    <w:name w:val="heading 3"/>
    <w:basedOn w:val="Normal"/>
    <w:next w:val="Normal"/>
    <w:link w:val="Heading3Char"/>
    <w:qFormat/>
    <w:rsid w:val="003F2079"/>
    <w:pPr>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3F2079"/>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3F2079"/>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F2079"/>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3F2079"/>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
    <w:basedOn w:val="Normal"/>
    <w:link w:val="FootnoteTextChar"/>
    <w:rsid w:val="003F2079"/>
    <w:pPr>
      <w:spacing w:before="20" w:after="0" w:line="210" w:lineRule="exact"/>
      <w:ind w:left="475" w:hanging="475"/>
      <w:jc w:val="left"/>
    </w:pPr>
    <w:rPr>
      <w:noProof/>
      <w:spacing w:val="5"/>
      <w:w w:val="104"/>
      <w:kern w:val="14"/>
      <w:sz w:val="18"/>
      <w:szCs w:val="20"/>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tabs>
        <w:tab w:val="clear" w:pos="4082"/>
      </w:tabs>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pPr>
    <w:rPr>
      <w:rFonts w:eastAsia="PMingLiU"/>
      <w:b/>
      <w:noProof/>
      <w:sz w:val="17"/>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3F2079"/>
    <w:pPr>
      <w:tabs>
        <w:tab w:val="clear" w:pos="1247"/>
      </w:tabs>
      <w:spacing w:after="120"/>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rFonts w:ascii="Times New Roman" w:eastAsia="SimSun" w:hAnsi="Times New Roman"/>
      <w:sz w:val="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pool Char"/>
    <w:locked/>
    <w:rsid w:val="0083403A"/>
    <w:rPr>
      <w:lang w:val="en-GB"/>
    </w:rPr>
  </w:style>
  <w:style w:type="character" w:styleId="FootnoteReference">
    <w:name w:val="footnote reference"/>
    <w:rsid w:val="000B6A59"/>
    <w:rPr>
      <w:rFonts w:ascii="Times New Roman" w:eastAsia="SimSun" w:hAnsi="Times New Roman"/>
      <w:color w:val="000000"/>
      <w:spacing w:val="-5"/>
      <w:w w:val="130"/>
      <w:position w:val="-4"/>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B3519A"/>
  </w:style>
  <w:style w:type="character" w:customStyle="1" w:styleId="NormalpoolChar">
    <w:name w:val="Normal_pool Char"/>
    <w:link w:val="Normalpool"/>
    <w:locked/>
    <w:rsid w:val="00D560BD"/>
    <w:rPr>
      <w:lang w:val="fr-CA"/>
    </w:rPr>
  </w:style>
  <w:style w:type="character" w:styleId="UnresolvedMention">
    <w:name w:val="Unresolved Mention"/>
    <w:basedOn w:val="DefaultParagraphFont"/>
    <w:uiPriority w:val="99"/>
    <w:semiHidden/>
    <w:unhideWhenUsed/>
    <w:rsid w:val="00145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5491059">
      <w:bodyDiv w:val="1"/>
      <w:marLeft w:val="0"/>
      <w:marRight w:val="0"/>
      <w:marTop w:val="0"/>
      <w:marBottom w:val="0"/>
      <w:divBdr>
        <w:top w:val="none" w:sz="0" w:space="0" w:color="auto"/>
        <w:left w:val="none" w:sz="0" w:space="0" w:color="auto"/>
        <w:bottom w:val="none" w:sz="0" w:space="0" w:color="auto"/>
        <w:right w:val="none" w:sz="0" w:space="0" w:color="auto"/>
      </w:divBdr>
    </w:div>
    <w:div w:id="1021510709">
      <w:bodyDiv w:val="1"/>
      <w:marLeft w:val="0"/>
      <w:marRight w:val="0"/>
      <w:marTop w:val="0"/>
      <w:marBottom w:val="0"/>
      <w:divBdr>
        <w:top w:val="none" w:sz="0" w:space="0" w:color="auto"/>
        <w:left w:val="none" w:sz="0" w:space="0" w:color="auto"/>
        <w:bottom w:val="none" w:sz="0" w:space="0" w:color="auto"/>
        <w:right w:val="none" w:sz="0" w:space="0" w:color="auto"/>
      </w:divBdr>
    </w:div>
    <w:div w:id="109439608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ustainable-infrastructure-tools.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greengrowthknowledge.org/sites/default/files/downloads/resource/Integrated_Approaches_To_Sustainable_Infrastructure_UNEP.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3113008-2bbe-49de-a2b9-cf1459b7aef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CF5481EDEAFA409DFC5D03919EC3CB" ma:contentTypeVersion="11" ma:contentTypeDescription="Create a new document." ma:contentTypeScope="" ma:versionID="050fe0e2e674bf034dc107cb41eab65a">
  <xsd:schema xmlns:xsd="http://www.w3.org/2001/XMLSchema" xmlns:xs="http://www.w3.org/2001/XMLSchema" xmlns:p="http://schemas.microsoft.com/office/2006/metadata/properties" xmlns:ns2="f7826c25-a33d-46f5-8024-83c354f6f142" xmlns:ns3="43113008-2bbe-49de-a2b9-cf1459b7aef2" targetNamespace="http://schemas.microsoft.com/office/2006/metadata/properties" ma:root="true" ma:fieldsID="251e4b37e4fcca69d8ceda9c2aa6a449" ns2:_="" ns3:_="">
    <xsd:import namespace="f7826c25-a33d-46f5-8024-83c354f6f142"/>
    <xsd:import namespace="43113008-2bbe-49de-a2b9-cf1459b7ae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26c25-a33d-46f5-8024-83c354f6f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113008-2bbe-49de-a2b9-cf1459b7aef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2.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43113008-2bbe-49de-a2b9-cf1459b7aef2"/>
    <ds:schemaRef ds:uri="http://schemas.microsoft.com/office/2006/documentManagement/types"/>
    <ds:schemaRef ds:uri="http://www.w3.org/XML/1998/namespace"/>
    <ds:schemaRef ds:uri="http://purl.org/dc/dcmitype/"/>
    <ds:schemaRef ds:uri="f7826c25-a33d-46f5-8024-83c354f6f142"/>
    <ds:schemaRef ds:uri="http://purl.org/dc/terms/"/>
  </ds:schemaRefs>
</ds:datastoreItem>
</file>

<file path=customXml/itemProps3.xml><?xml version="1.0" encoding="utf-8"?>
<ds:datastoreItem xmlns:ds="http://schemas.openxmlformats.org/officeDocument/2006/customXml" ds:itemID="{DA1DD073-67B4-4464-9A2D-22B4CB574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26c25-a33d-46f5-8024-83c354f6f142"/>
    <ds:schemaRef ds:uri="43113008-2bbe-49de-a2b9-cf1459b7ae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112521-3662-4EA2-958E-3BFD02A74732}">
  <ds:schemaRefs>
    <ds:schemaRef ds:uri="http://schemas.openxmlformats.org/officeDocument/2006/bibliography"/>
  </ds:schemaRefs>
</ds:datastoreItem>
</file>

<file path=customXml/itemProps5.xml><?xml version="1.0" encoding="utf-8"?>
<ds:datastoreItem xmlns:ds="http://schemas.openxmlformats.org/officeDocument/2006/customXml" ds:itemID="{683C4A39-BEBD-4191-9863-14DEB6F24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4518</Words>
  <Characters>450</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16</cp:revision>
  <cp:lastPrinted>2019-01-21T08:38:00Z</cp:lastPrinted>
  <dcterms:created xsi:type="dcterms:W3CDTF">2020-12-30T08:13:00Z</dcterms:created>
  <dcterms:modified xsi:type="dcterms:W3CDTF">2020-12-30T08:15:00Z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0x01010076CF5481EDEAFA409DFC5D03919EC3CB</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Cuiwen.qiu</vt:lpwstr>
  </property>
  <property fmtid="{D5CDD505-2E9C-101B-9397-08002B2CF9AE}" pid="10" name="GeneratedDate">
    <vt:lpwstr>12/22/2020 12:22:31</vt:lpwstr>
  </property>
  <property fmtid="{D5CDD505-2E9C-101B-9397-08002B2CF9AE}" pid="11" name="OriginalDocID">
    <vt:lpwstr>067edced-dbb7-4629-af42-d920daab3b1c</vt:lpwstr>
  </property>
</Properties>
</file>