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8C2F27" w:rsidRPr="00095CC6" w14:paraId="07021B4A" w14:textId="77777777" w:rsidTr="003F2079">
        <w:trPr>
          <w:cantSplit/>
          <w:trHeight w:val="57"/>
          <w:jc w:val="right"/>
        </w:trPr>
        <w:tc>
          <w:tcPr>
            <w:tcW w:w="1550" w:type="dxa"/>
          </w:tcPr>
          <w:p w14:paraId="6707C76D" w14:textId="59455A2C" w:rsidR="008C2F27" w:rsidRPr="00095CC6" w:rsidRDefault="008C2F27" w:rsidP="003F2079">
            <w:pPr>
              <w:pStyle w:val="Normal-pool"/>
              <w:rPr>
                <w:rFonts w:ascii="Arial" w:hAnsi="Arial" w:cs="Arial"/>
                <w:b/>
                <w:bCs/>
                <w:noProof/>
                <w:sz w:val="27"/>
                <w:szCs w:val="27"/>
                <w:lang w:val="en-GB"/>
              </w:rPr>
            </w:pPr>
            <w:r w:rsidRPr="00095CC6">
              <w:rPr>
                <w:rFonts w:ascii="Arial" w:hAnsi="Arial" w:cs="Arial"/>
                <w:b/>
                <w:bCs/>
                <w:noProof/>
                <w:sz w:val="27"/>
                <w:szCs w:val="27"/>
                <w:lang w:val="en-GB"/>
              </w:rPr>
              <w:t>UNITED</w:t>
            </w:r>
            <w:r w:rsidR="00644B2D" w:rsidRPr="00095CC6">
              <w:rPr>
                <w:rFonts w:ascii="Arial" w:hAnsi="Arial" w:cs="Arial"/>
                <w:b/>
                <w:bCs/>
                <w:noProof/>
                <w:sz w:val="27"/>
                <w:szCs w:val="27"/>
                <w:lang w:val="en-GB"/>
              </w:rPr>
              <w:t xml:space="preserve"> </w:t>
            </w:r>
            <w:r w:rsidRPr="00095CC6">
              <w:rPr>
                <w:rFonts w:ascii="Arial" w:hAnsi="Arial" w:cs="Arial"/>
                <w:b/>
                <w:bCs/>
                <w:noProof/>
                <w:sz w:val="27"/>
                <w:szCs w:val="27"/>
                <w:lang w:val="en-GB"/>
              </w:rPr>
              <w:br/>
              <w:t>NATIONS</w:t>
            </w:r>
          </w:p>
        </w:tc>
        <w:tc>
          <w:tcPr>
            <w:tcW w:w="5347" w:type="dxa"/>
          </w:tcPr>
          <w:p w14:paraId="307A8514" w14:textId="77777777" w:rsidR="008C2F27" w:rsidRPr="00095CC6" w:rsidRDefault="008C2F27" w:rsidP="003F2079">
            <w:pPr>
              <w:pStyle w:val="Normal-pool"/>
              <w:rPr>
                <w:lang w:val="en-GB"/>
              </w:rPr>
            </w:pPr>
          </w:p>
        </w:tc>
        <w:tc>
          <w:tcPr>
            <w:tcW w:w="2815" w:type="dxa"/>
          </w:tcPr>
          <w:p w14:paraId="675019FE" w14:textId="77777777" w:rsidR="008C2F27" w:rsidRPr="00095CC6" w:rsidRDefault="008C2F27" w:rsidP="003F2079">
            <w:pPr>
              <w:pStyle w:val="Normal-pool"/>
              <w:jc w:val="right"/>
              <w:rPr>
                <w:rFonts w:ascii="Arial" w:hAnsi="Arial" w:cs="Arial"/>
                <w:b/>
                <w:bCs/>
                <w:sz w:val="64"/>
                <w:szCs w:val="64"/>
                <w:lang w:val="en-GB"/>
              </w:rPr>
            </w:pPr>
            <w:r w:rsidRPr="00095CC6">
              <w:rPr>
                <w:rFonts w:ascii="Arial" w:hAnsi="Arial" w:cs="Arial"/>
                <w:b/>
                <w:bCs/>
                <w:sz w:val="64"/>
                <w:szCs w:val="64"/>
                <w:lang w:val="en-GB"/>
              </w:rPr>
              <w:t>EP</w:t>
            </w:r>
          </w:p>
        </w:tc>
      </w:tr>
      <w:tr w:rsidR="008C2F27" w:rsidRPr="00095CC6" w14:paraId="0CF972FD" w14:textId="77777777" w:rsidTr="003F2079">
        <w:trPr>
          <w:cantSplit/>
          <w:trHeight w:val="57"/>
          <w:jc w:val="right"/>
        </w:trPr>
        <w:tc>
          <w:tcPr>
            <w:tcW w:w="1550" w:type="dxa"/>
            <w:tcBorders>
              <w:bottom w:val="single" w:sz="4" w:space="0" w:color="auto"/>
            </w:tcBorders>
          </w:tcPr>
          <w:p w14:paraId="76DD9C94" w14:textId="77777777" w:rsidR="008C2F27" w:rsidRPr="00095CC6" w:rsidRDefault="008C2F27" w:rsidP="003F2079">
            <w:pPr>
              <w:pStyle w:val="Normal-pool"/>
              <w:rPr>
                <w:noProof/>
                <w:highlight w:val="cyan"/>
                <w:lang w:val="en-GB"/>
              </w:rPr>
            </w:pPr>
          </w:p>
        </w:tc>
        <w:tc>
          <w:tcPr>
            <w:tcW w:w="5347" w:type="dxa"/>
            <w:tcBorders>
              <w:bottom w:val="single" w:sz="4" w:space="0" w:color="auto"/>
            </w:tcBorders>
          </w:tcPr>
          <w:p w14:paraId="2ECCCA89" w14:textId="77777777" w:rsidR="008C2F27" w:rsidRPr="00095CC6" w:rsidRDefault="008C2F27" w:rsidP="003F2079">
            <w:pPr>
              <w:pStyle w:val="Normal-pool"/>
              <w:rPr>
                <w:noProof/>
                <w:sz w:val="18"/>
                <w:szCs w:val="18"/>
                <w:lang w:val="en-GB"/>
              </w:rPr>
            </w:pPr>
          </w:p>
        </w:tc>
        <w:tc>
          <w:tcPr>
            <w:tcW w:w="2815" w:type="dxa"/>
            <w:tcBorders>
              <w:bottom w:val="single" w:sz="4" w:space="0" w:color="auto"/>
            </w:tcBorders>
          </w:tcPr>
          <w:p w14:paraId="0182AB7C" w14:textId="497F937A" w:rsidR="008C2F27" w:rsidRPr="00095CC6" w:rsidRDefault="008C2F27" w:rsidP="003F2079">
            <w:pPr>
              <w:pStyle w:val="Normal-pool"/>
              <w:rPr>
                <w:noProof/>
                <w:sz w:val="18"/>
                <w:szCs w:val="18"/>
                <w:lang w:val="en-GB"/>
              </w:rPr>
            </w:pPr>
            <w:r w:rsidRPr="00095CC6">
              <w:rPr>
                <w:b/>
                <w:bCs/>
                <w:sz w:val="28"/>
                <w:lang w:val="en-GB"/>
              </w:rPr>
              <w:t>UNEP</w:t>
            </w:r>
            <w:r w:rsidRPr="00095CC6">
              <w:rPr>
                <w:noProof/>
                <w:lang w:val="en-GB"/>
              </w:rPr>
              <w:t>/EA.</w:t>
            </w:r>
            <w:r w:rsidR="003B1DE1" w:rsidRPr="00095CC6">
              <w:rPr>
                <w:noProof/>
                <w:lang w:val="en-GB"/>
              </w:rPr>
              <w:t>5</w:t>
            </w:r>
            <w:r w:rsidR="00B0142B" w:rsidRPr="00095CC6">
              <w:rPr>
                <w:noProof/>
                <w:lang w:val="en-GB"/>
              </w:rPr>
              <w:t>/</w:t>
            </w:r>
            <w:r w:rsidR="00BE7B92" w:rsidRPr="00095CC6">
              <w:rPr>
                <w:noProof/>
                <w:lang w:val="en-GB"/>
              </w:rPr>
              <w:t>7</w:t>
            </w:r>
          </w:p>
        </w:tc>
      </w:tr>
      <w:bookmarkStart w:id="0" w:name="_MON_1021710510"/>
      <w:bookmarkEnd w:id="0"/>
      <w:tr w:rsidR="008C2F27" w:rsidRPr="00095CC6" w14:paraId="339812ED" w14:textId="77777777" w:rsidTr="003F2079">
        <w:trPr>
          <w:cantSplit/>
          <w:trHeight w:val="57"/>
          <w:jc w:val="right"/>
        </w:trPr>
        <w:tc>
          <w:tcPr>
            <w:tcW w:w="1550" w:type="dxa"/>
            <w:tcBorders>
              <w:top w:val="single" w:sz="4" w:space="0" w:color="auto"/>
              <w:bottom w:val="single" w:sz="24" w:space="0" w:color="auto"/>
            </w:tcBorders>
          </w:tcPr>
          <w:p w14:paraId="58BD1D91" w14:textId="77777777" w:rsidR="008C2F27" w:rsidRPr="00095CC6" w:rsidRDefault="00C04186" w:rsidP="003F2079">
            <w:pPr>
              <w:pStyle w:val="Normal-pool"/>
              <w:rPr>
                <w:noProof/>
                <w:lang w:val="en-GB"/>
              </w:rPr>
            </w:pPr>
            <w:r w:rsidRPr="00095CC6">
              <w:rPr>
                <w:noProof/>
                <w:lang w:val="en-GB"/>
              </w:rPr>
              <w:object w:dxaOrig="1831" w:dyaOrig="1726" w14:anchorId="04A471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alt="" style="width:65.6pt;height:61.35pt;mso-width-percent:0;mso-height-percent:0;mso-width-percent:0;mso-height-percent:0" o:ole="" fillcolor="window">
                  <v:imagedata r:id="rId12" o:title=""/>
                </v:shape>
                <o:OLEObject Type="Embed" ProgID="Word.Picture.8" ShapeID="_x0000_i1038" DrawAspect="Content" ObjectID="_1670764898" r:id="rId13"/>
              </w:object>
            </w:r>
            <w:r w:rsidR="002E48CE" w:rsidRPr="00095CC6">
              <w:rPr>
                <w:noProof/>
                <w:lang w:val="en-GB" w:eastAsia="en-GB"/>
              </w:rPr>
              <w:drawing>
                <wp:inline distT="0" distB="0" distL="0" distR="0" wp14:anchorId="1D37024A" wp14:editId="625F9D15">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347" w:type="dxa"/>
            <w:tcBorders>
              <w:top w:val="single" w:sz="4" w:space="0" w:color="auto"/>
              <w:bottom w:val="single" w:sz="24" w:space="0" w:color="auto"/>
            </w:tcBorders>
          </w:tcPr>
          <w:p w14:paraId="6A2417DB" w14:textId="77777777" w:rsidR="008C2F27" w:rsidRPr="00095CC6" w:rsidRDefault="008C2F27" w:rsidP="003B444A">
            <w:pPr>
              <w:pStyle w:val="Normal-pool"/>
              <w:spacing w:before="1400" w:after="120"/>
              <w:rPr>
                <w:rFonts w:ascii="Arial" w:hAnsi="Arial" w:cs="Arial"/>
                <w:b/>
                <w:bCs/>
                <w:sz w:val="28"/>
                <w:szCs w:val="28"/>
                <w:lang w:val="en-GB"/>
              </w:rPr>
            </w:pPr>
            <w:r w:rsidRPr="00095CC6">
              <w:rPr>
                <w:rFonts w:ascii="Arial" w:hAnsi="Arial" w:cs="Arial"/>
                <w:b/>
                <w:bCs/>
                <w:sz w:val="28"/>
                <w:szCs w:val="28"/>
                <w:lang w:val="en-GB"/>
              </w:rPr>
              <w:t xml:space="preserve">United Nations </w:t>
            </w:r>
            <w:r w:rsidRPr="00095CC6">
              <w:rPr>
                <w:rFonts w:ascii="Arial" w:hAnsi="Arial" w:cs="Arial"/>
                <w:b/>
                <w:bCs/>
                <w:sz w:val="28"/>
                <w:szCs w:val="28"/>
                <w:lang w:val="en-GB"/>
              </w:rPr>
              <w:br/>
              <w:t xml:space="preserve">Environment Assembly of the </w:t>
            </w:r>
            <w:r w:rsidRPr="00095CC6">
              <w:rPr>
                <w:rFonts w:ascii="Arial" w:hAnsi="Arial" w:cs="Arial"/>
                <w:b/>
                <w:bCs/>
                <w:sz w:val="28"/>
                <w:szCs w:val="28"/>
                <w:lang w:val="en-GB"/>
              </w:rPr>
              <w:br/>
              <w:t>United Nations Environment Programme</w:t>
            </w:r>
          </w:p>
        </w:tc>
        <w:tc>
          <w:tcPr>
            <w:tcW w:w="2815" w:type="dxa"/>
            <w:tcBorders>
              <w:top w:val="single" w:sz="4" w:space="0" w:color="auto"/>
              <w:bottom w:val="single" w:sz="24" w:space="0" w:color="auto"/>
            </w:tcBorders>
          </w:tcPr>
          <w:p w14:paraId="05B41C5B" w14:textId="7879BE80" w:rsidR="008C2F27" w:rsidRPr="00095CC6" w:rsidRDefault="008C2F27" w:rsidP="00FA0727">
            <w:pPr>
              <w:pStyle w:val="Normal-pool"/>
              <w:spacing w:before="120"/>
              <w:rPr>
                <w:lang w:val="en-GB"/>
              </w:rPr>
            </w:pPr>
            <w:r w:rsidRPr="00095CC6">
              <w:rPr>
                <w:lang w:val="en-GB"/>
              </w:rPr>
              <w:t>Distr.: General</w:t>
            </w:r>
            <w:r w:rsidR="00FA0727" w:rsidRPr="00095CC6">
              <w:rPr>
                <w:lang w:val="en-GB"/>
              </w:rPr>
              <w:t xml:space="preserve"> </w:t>
            </w:r>
            <w:r w:rsidR="00FA0727" w:rsidRPr="00095CC6">
              <w:rPr>
                <w:lang w:val="en-GB"/>
              </w:rPr>
              <w:br/>
            </w:r>
            <w:r w:rsidR="0007060F" w:rsidRPr="00095CC6">
              <w:rPr>
                <w:lang w:val="en-GB"/>
              </w:rPr>
              <w:t>1</w:t>
            </w:r>
            <w:r w:rsidR="0093687C" w:rsidRPr="00095CC6">
              <w:rPr>
                <w:lang w:val="en-GB"/>
              </w:rPr>
              <w:t>2</w:t>
            </w:r>
            <w:r w:rsidR="0007060F" w:rsidRPr="00095CC6">
              <w:rPr>
                <w:lang w:val="en-GB"/>
              </w:rPr>
              <w:t xml:space="preserve"> November</w:t>
            </w:r>
            <w:r w:rsidR="00EF539C" w:rsidRPr="00095CC6">
              <w:rPr>
                <w:lang w:val="en-GB"/>
              </w:rPr>
              <w:t xml:space="preserve"> 2020</w:t>
            </w:r>
          </w:p>
          <w:p w14:paraId="69B082D5" w14:textId="77777777" w:rsidR="008C2F27" w:rsidRPr="00095CC6" w:rsidRDefault="00866282" w:rsidP="003F2079">
            <w:pPr>
              <w:pStyle w:val="Normal-pool"/>
              <w:spacing w:before="120"/>
              <w:rPr>
                <w:lang w:val="en-GB"/>
              </w:rPr>
            </w:pPr>
            <w:r w:rsidRPr="00095CC6">
              <w:rPr>
                <w:lang w:val="en-GB"/>
              </w:rPr>
              <w:t xml:space="preserve">Original: </w:t>
            </w:r>
            <w:r w:rsidR="008C2F27" w:rsidRPr="00095CC6">
              <w:rPr>
                <w:lang w:val="en-GB"/>
              </w:rPr>
              <w:t>English</w:t>
            </w:r>
          </w:p>
        </w:tc>
      </w:tr>
    </w:tbl>
    <w:p w14:paraId="6C1AD700" w14:textId="092BCDE6" w:rsidR="008C2F27" w:rsidRPr="00095CC6" w:rsidRDefault="008C2F27" w:rsidP="003F2079">
      <w:pPr>
        <w:pStyle w:val="AATitle"/>
      </w:pPr>
      <w:r w:rsidRPr="00095CC6">
        <w:t>United Nations Environment Assembly of the</w:t>
      </w:r>
      <w:r w:rsidR="00644B2D" w:rsidRPr="00095CC6">
        <w:t xml:space="preserve"> </w:t>
      </w:r>
      <w:r w:rsidR="006C2201" w:rsidRPr="00095CC6">
        <w:br/>
      </w:r>
      <w:r w:rsidRPr="00095CC6">
        <w:t>United Nations Environment Programme</w:t>
      </w:r>
    </w:p>
    <w:p w14:paraId="5B1F40C0" w14:textId="5FF162E6" w:rsidR="00BE5F64" w:rsidRPr="00095CC6" w:rsidRDefault="002A1F8A" w:rsidP="003F2079">
      <w:pPr>
        <w:pStyle w:val="AATitle"/>
      </w:pPr>
      <w:r w:rsidRPr="00095CC6">
        <w:t xml:space="preserve">Fifth </w:t>
      </w:r>
      <w:r w:rsidR="00D5475A" w:rsidRPr="00095CC6">
        <w:t>session</w:t>
      </w:r>
    </w:p>
    <w:p w14:paraId="02961CC9" w14:textId="5115C18B" w:rsidR="009A0C7B" w:rsidRPr="00095CC6" w:rsidRDefault="009A0C7B" w:rsidP="00945D6D">
      <w:pPr>
        <w:pStyle w:val="AATitle"/>
        <w:rPr>
          <w:b w:val="0"/>
          <w:bCs/>
        </w:rPr>
      </w:pPr>
      <w:r w:rsidRPr="00095CC6">
        <w:rPr>
          <w:b w:val="0"/>
          <w:bCs/>
        </w:rPr>
        <w:t>Nairobi</w:t>
      </w:r>
      <w:r w:rsidR="000145AA" w:rsidRPr="00095CC6">
        <w:rPr>
          <w:b w:val="0"/>
          <w:bCs/>
        </w:rPr>
        <w:t xml:space="preserve"> (online)</w:t>
      </w:r>
      <w:r w:rsidRPr="00095CC6">
        <w:rPr>
          <w:b w:val="0"/>
          <w:bCs/>
        </w:rPr>
        <w:t>, 22–26 February 2021</w:t>
      </w:r>
      <w:r w:rsidR="00F1428C" w:rsidRPr="00095CC6">
        <w:rPr>
          <w:b w:val="0"/>
          <w:bCs/>
        </w:rPr>
        <w:footnoteReference w:customMarkFollows="1" w:id="2"/>
        <w:t>*</w:t>
      </w:r>
    </w:p>
    <w:p w14:paraId="53DAF787" w14:textId="11219D1C" w:rsidR="009A0C7B" w:rsidRPr="00095CC6" w:rsidRDefault="009A0C7B" w:rsidP="00945D6D">
      <w:pPr>
        <w:pStyle w:val="AATitle"/>
        <w:rPr>
          <w:b w:val="0"/>
          <w:bCs/>
        </w:rPr>
      </w:pPr>
      <w:r w:rsidRPr="00095CC6">
        <w:rPr>
          <w:b w:val="0"/>
          <w:bCs/>
        </w:rPr>
        <w:t xml:space="preserve">Item </w:t>
      </w:r>
      <w:r w:rsidR="0093687C" w:rsidRPr="00095CC6">
        <w:rPr>
          <w:b w:val="0"/>
          <w:bCs/>
        </w:rPr>
        <w:t>5</w:t>
      </w:r>
      <w:r w:rsidRPr="00095CC6">
        <w:rPr>
          <w:b w:val="0"/>
          <w:bCs/>
        </w:rPr>
        <w:t xml:space="preserve"> of the provisional agenda</w:t>
      </w:r>
      <w:r w:rsidR="00C242FF" w:rsidRPr="00095CC6">
        <w:rPr>
          <w:b w:val="0"/>
          <w:bCs/>
        </w:rPr>
        <w:t>*</w:t>
      </w:r>
      <w:r w:rsidR="00C242FF" w:rsidRPr="00095CC6">
        <w:rPr>
          <w:b w:val="0"/>
          <w:bCs/>
        </w:rPr>
        <w:footnoteReference w:customMarkFollows="1" w:id="3"/>
        <w:t>*</w:t>
      </w:r>
    </w:p>
    <w:p w14:paraId="375EBB24" w14:textId="146C06BA" w:rsidR="0093687C" w:rsidRPr="00095CC6" w:rsidRDefault="0093687C" w:rsidP="00FA0727">
      <w:pPr>
        <w:pStyle w:val="AATitle2"/>
      </w:pPr>
      <w:r w:rsidRPr="00095CC6">
        <w:t xml:space="preserve">International environmental policy and </w:t>
      </w:r>
      <w:r w:rsidR="00D336AC" w:rsidRPr="00095CC6">
        <w:br/>
      </w:r>
      <w:r w:rsidRPr="00095CC6">
        <w:t>governance issues</w:t>
      </w:r>
      <w:r w:rsidR="008814CA">
        <w:t xml:space="preserve"> </w:t>
      </w:r>
      <w:bookmarkStart w:id="1" w:name="_GoBack"/>
      <w:bookmarkEnd w:id="1"/>
    </w:p>
    <w:p w14:paraId="3D0E2DC8" w14:textId="64265BB5" w:rsidR="00852629" w:rsidRPr="00095CC6" w:rsidRDefault="00852629" w:rsidP="00F73DAA">
      <w:pPr>
        <w:pStyle w:val="BBTitle"/>
      </w:pPr>
      <w:r w:rsidRPr="00095CC6">
        <w:t>Progress in the implementation of resolution</w:t>
      </w:r>
      <w:r w:rsidR="00EF539C" w:rsidRPr="00095CC6">
        <w:t xml:space="preserve"> 4/5</w:t>
      </w:r>
      <w:r w:rsidRPr="00095CC6">
        <w:t xml:space="preserve"> on</w:t>
      </w:r>
      <w:r w:rsidR="00EF539C" w:rsidRPr="00095CC6">
        <w:t xml:space="preserve"> sustainable infrastructure</w:t>
      </w:r>
    </w:p>
    <w:p w14:paraId="7C9DE004" w14:textId="620D08D1" w:rsidR="00C83D89" w:rsidRPr="00095CC6" w:rsidRDefault="00852629" w:rsidP="00FA0727">
      <w:pPr>
        <w:pStyle w:val="CH2"/>
        <w:rPr>
          <w:lang w:val="en-GB"/>
        </w:rPr>
      </w:pPr>
      <w:r w:rsidRPr="00095CC6">
        <w:rPr>
          <w:lang w:val="en-GB"/>
        </w:rPr>
        <w:tab/>
      </w:r>
      <w:r w:rsidR="00FA0727" w:rsidRPr="00095CC6">
        <w:rPr>
          <w:lang w:val="en-GB"/>
        </w:rPr>
        <w:tab/>
      </w:r>
      <w:r w:rsidRPr="00095CC6">
        <w:rPr>
          <w:lang w:val="en-GB"/>
        </w:rPr>
        <w:t>Report of the Executive Director</w:t>
      </w:r>
    </w:p>
    <w:p w14:paraId="0D94FB08" w14:textId="7C3AA1E0" w:rsidR="00BD4A91" w:rsidRPr="00095CC6" w:rsidRDefault="00BD4A91" w:rsidP="00BD4A91">
      <w:pPr>
        <w:pStyle w:val="CH1"/>
      </w:pPr>
      <w:r w:rsidRPr="00095CC6">
        <w:tab/>
      </w:r>
      <w:r w:rsidRPr="00095CC6">
        <w:tab/>
        <w:t>Introduction</w:t>
      </w:r>
    </w:p>
    <w:p w14:paraId="15F5001B" w14:textId="7B9F4506" w:rsidR="0078186C" w:rsidRPr="00095CC6" w:rsidRDefault="004B1F5F" w:rsidP="003E6895">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lang w:val="en-GB"/>
        </w:rPr>
      </w:pPr>
      <w:r w:rsidRPr="00095CC6">
        <w:rPr>
          <w:rFonts w:eastAsia="MS Mincho"/>
          <w:color w:val="000000" w:themeColor="text1"/>
          <w:lang w:val="en-GB"/>
        </w:rPr>
        <w:t>In its resolution 4/5 on sustainable infrastructure, t</w:t>
      </w:r>
      <w:r w:rsidR="00EF539C" w:rsidRPr="00095CC6">
        <w:rPr>
          <w:rFonts w:eastAsia="MS Mincho"/>
          <w:color w:val="000000" w:themeColor="text1"/>
          <w:lang w:val="en-GB"/>
        </w:rPr>
        <w:t>he United Nations Environment Assembly</w:t>
      </w:r>
      <w:r w:rsidR="00444B06" w:rsidRPr="00095CC6">
        <w:rPr>
          <w:rFonts w:eastAsia="MS Mincho"/>
          <w:color w:val="000000" w:themeColor="text1"/>
          <w:lang w:val="en-GB"/>
        </w:rPr>
        <w:t xml:space="preserve"> of the United Nations Environment Programme (UNEP)</w:t>
      </w:r>
      <w:r w:rsidR="0078186C" w:rsidRPr="00095CC6">
        <w:rPr>
          <w:rFonts w:eastAsia="MS Mincho"/>
          <w:color w:val="000000" w:themeColor="text1"/>
          <w:lang w:val="en-GB"/>
        </w:rPr>
        <w:t xml:space="preserve"> requested the Executive Director </w:t>
      </w:r>
      <w:r w:rsidR="00444B06" w:rsidRPr="00095CC6">
        <w:rPr>
          <w:rFonts w:eastAsia="MS Mincho"/>
          <w:color w:val="000000" w:themeColor="text1"/>
          <w:lang w:val="en-GB"/>
        </w:rPr>
        <w:t xml:space="preserve">of UNEP </w:t>
      </w:r>
      <w:r w:rsidR="0078186C" w:rsidRPr="00095CC6">
        <w:rPr>
          <w:rFonts w:eastAsia="MS Mincho"/>
          <w:color w:val="000000" w:themeColor="text1"/>
          <w:lang w:val="en-GB"/>
        </w:rPr>
        <w:t>to ensure that UNEP support</w:t>
      </w:r>
      <w:r w:rsidR="00EF539C" w:rsidRPr="00095CC6">
        <w:rPr>
          <w:rFonts w:eastAsia="MS Mincho"/>
          <w:color w:val="000000" w:themeColor="text1"/>
          <w:lang w:val="en-GB"/>
        </w:rPr>
        <w:t>ed</w:t>
      </w:r>
      <w:r w:rsidR="0078186C" w:rsidRPr="00095CC6">
        <w:rPr>
          <w:rFonts w:eastAsia="MS Mincho"/>
          <w:color w:val="000000" w:themeColor="text1"/>
          <w:lang w:val="en-GB"/>
        </w:rPr>
        <w:t xml:space="preserve"> the development of sustainable infrastructure as a means of implementing the goals and targets of the 2030 Agenda for Sustainable Development. </w:t>
      </w:r>
      <w:r w:rsidR="0036268A" w:rsidRPr="00095CC6">
        <w:rPr>
          <w:rFonts w:eastAsia="MS Mincho"/>
          <w:color w:val="000000" w:themeColor="text1"/>
          <w:lang w:val="en-GB"/>
        </w:rPr>
        <w:t>Such support was to include promoting</w:t>
      </w:r>
      <w:r w:rsidR="0078186C" w:rsidRPr="00095CC6">
        <w:rPr>
          <w:rFonts w:eastAsia="MS Mincho"/>
          <w:color w:val="000000" w:themeColor="text1"/>
          <w:lang w:val="en-GB"/>
        </w:rPr>
        <w:t xml:space="preserve"> existing guidelines and best practices; supporting multi-stakeholder dialogues; creating and strengthening partnerships; developing the capacity of government policymakers and other stakeholders to use data, knowledge, tools, approaches and other mechanisms to incorporate sustainable infrastructure into development and business strategies; and strengthening public</w:t>
      </w:r>
      <w:r w:rsidR="00B3519A" w:rsidRPr="00095CC6">
        <w:rPr>
          <w:rFonts w:eastAsia="MS Mincho"/>
          <w:color w:val="000000" w:themeColor="text1"/>
          <w:lang w:val="en-GB"/>
        </w:rPr>
        <w:t>-</w:t>
      </w:r>
      <w:r w:rsidR="0078186C" w:rsidRPr="00095CC6">
        <w:rPr>
          <w:rFonts w:eastAsia="MS Mincho"/>
          <w:color w:val="000000" w:themeColor="text1"/>
          <w:lang w:val="en-GB"/>
        </w:rPr>
        <w:t>private partnerships to facilitate private investment in sustainable infrastructure.</w:t>
      </w:r>
    </w:p>
    <w:p w14:paraId="2714218A" w14:textId="54236383" w:rsidR="0078186C" w:rsidRPr="00095CC6" w:rsidRDefault="006A4C0A" w:rsidP="008B6BFE">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lang w:val="en-GB"/>
        </w:rPr>
      </w:pPr>
      <w:r w:rsidRPr="00095CC6">
        <w:rPr>
          <w:rFonts w:eastAsia="MS Mincho"/>
          <w:color w:val="000000" w:themeColor="text1"/>
          <w:lang w:val="en-GB"/>
        </w:rPr>
        <w:t>In t</w:t>
      </w:r>
      <w:r w:rsidR="00D55581" w:rsidRPr="00095CC6">
        <w:rPr>
          <w:rFonts w:eastAsia="MS Mincho"/>
          <w:color w:val="000000" w:themeColor="text1"/>
          <w:lang w:val="en-GB"/>
        </w:rPr>
        <w:t>he resolution</w:t>
      </w:r>
      <w:r w:rsidRPr="00095CC6">
        <w:rPr>
          <w:rFonts w:eastAsia="MS Mincho"/>
          <w:color w:val="000000" w:themeColor="text1"/>
          <w:lang w:val="en-GB"/>
        </w:rPr>
        <w:t>,</w:t>
      </w:r>
      <w:r w:rsidR="00D55581" w:rsidRPr="00095CC6">
        <w:rPr>
          <w:rFonts w:eastAsia="MS Mincho"/>
          <w:color w:val="000000" w:themeColor="text1"/>
          <w:lang w:val="en-GB"/>
        </w:rPr>
        <w:t xml:space="preserve"> </w:t>
      </w:r>
      <w:r w:rsidRPr="00095CC6">
        <w:rPr>
          <w:rFonts w:eastAsia="MS Mincho"/>
          <w:color w:val="000000" w:themeColor="text1"/>
          <w:lang w:val="en-GB"/>
        </w:rPr>
        <w:t xml:space="preserve">the Environment Assembly also requested </w:t>
      </w:r>
      <w:r w:rsidR="00D55581" w:rsidRPr="00095CC6">
        <w:rPr>
          <w:rFonts w:eastAsia="MS Mincho"/>
          <w:color w:val="000000" w:themeColor="text1"/>
          <w:lang w:val="en-GB"/>
        </w:rPr>
        <w:t xml:space="preserve">the Executive Director to prepare a compilation of best practices, building on the work of the United Nations regional commissions and other United Nations bodies, drawing on existing initiatives and identifying knowledge gaps, to assist Member States in promoting and strengthening the sustainability of their infrastructure, and to submit that report to </w:t>
      </w:r>
      <w:r w:rsidR="008B51E0" w:rsidRPr="00095CC6">
        <w:rPr>
          <w:rFonts w:eastAsia="MS Mincho"/>
          <w:color w:val="000000" w:themeColor="text1"/>
          <w:lang w:val="en-GB"/>
        </w:rPr>
        <w:t>the Environment Assembly</w:t>
      </w:r>
      <w:r w:rsidR="00D55581" w:rsidRPr="00095CC6">
        <w:rPr>
          <w:rFonts w:eastAsia="MS Mincho"/>
          <w:color w:val="000000" w:themeColor="text1"/>
          <w:lang w:val="en-GB"/>
        </w:rPr>
        <w:t xml:space="preserve"> at its fifth session.</w:t>
      </w:r>
    </w:p>
    <w:p w14:paraId="17EEB4A7" w14:textId="129B6F06" w:rsidR="0078186C" w:rsidRPr="00095CC6" w:rsidRDefault="008B6BFE" w:rsidP="00601AF9">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lang w:val="en-GB"/>
        </w:rPr>
      </w:pPr>
      <w:r w:rsidRPr="00095CC6">
        <w:rPr>
          <w:rFonts w:eastAsia="MS Mincho"/>
          <w:color w:val="000000" w:themeColor="text1"/>
          <w:lang w:val="en-GB"/>
        </w:rPr>
        <w:t>The present report describes the efforts of UNEP to implement th</w:t>
      </w:r>
      <w:r w:rsidR="00B3519A" w:rsidRPr="00095CC6">
        <w:rPr>
          <w:rFonts w:eastAsia="MS Mincho"/>
          <w:color w:val="000000" w:themeColor="text1"/>
          <w:lang w:val="en-GB"/>
        </w:rPr>
        <w:t>e</w:t>
      </w:r>
      <w:r w:rsidRPr="00095CC6">
        <w:rPr>
          <w:rFonts w:eastAsia="MS Mincho"/>
          <w:color w:val="000000" w:themeColor="text1"/>
          <w:lang w:val="en-GB"/>
        </w:rPr>
        <w:t xml:space="preserve"> resolution</w:t>
      </w:r>
      <w:r w:rsidR="00B3519A" w:rsidRPr="00095CC6">
        <w:rPr>
          <w:rFonts w:eastAsia="MS Mincho"/>
          <w:color w:val="000000" w:themeColor="text1"/>
          <w:lang w:val="en-GB"/>
        </w:rPr>
        <w:t>. They</w:t>
      </w:r>
      <w:r w:rsidR="0036268A" w:rsidRPr="00095CC6">
        <w:rPr>
          <w:rFonts w:eastAsia="MS Mincho"/>
          <w:color w:val="000000" w:themeColor="text1"/>
          <w:lang w:val="en-GB"/>
        </w:rPr>
        <w:t xml:space="preserve"> include</w:t>
      </w:r>
      <w:r w:rsidRPr="00095CC6">
        <w:rPr>
          <w:rFonts w:eastAsia="MS Mincho"/>
          <w:color w:val="000000" w:themeColor="text1"/>
          <w:lang w:val="en-GB"/>
        </w:rPr>
        <w:t xml:space="preserve"> </w:t>
      </w:r>
      <w:r w:rsidR="000A13C5" w:rsidRPr="00095CC6">
        <w:rPr>
          <w:rFonts w:eastAsia="MS Mincho"/>
          <w:color w:val="000000" w:themeColor="text1"/>
          <w:lang w:val="en-GB"/>
        </w:rPr>
        <w:t>(a</w:t>
      </w:r>
      <w:r w:rsidRPr="00095CC6">
        <w:rPr>
          <w:rFonts w:eastAsia="MS Mincho"/>
          <w:color w:val="000000" w:themeColor="text1"/>
          <w:lang w:val="en-GB"/>
        </w:rPr>
        <w:t>)</w:t>
      </w:r>
      <w:r w:rsidR="00761E47" w:rsidRPr="00095CC6">
        <w:rPr>
          <w:rFonts w:eastAsia="MS Mincho"/>
          <w:color w:val="000000" w:themeColor="text1"/>
          <w:lang w:val="en-GB"/>
        </w:rPr>
        <w:t> </w:t>
      </w:r>
      <w:r w:rsidRPr="00095CC6">
        <w:rPr>
          <w:rFonts w:eastAsia="MS Mincho"/>
          <w:color w:val="000000" w:themeColor="text1"/>
          <w:lang w:val="en-GB"/>
        </w:rPr>
        <w:t xml:space="preserve">raising awareness about </w:t>
      </w:r>
      <w:r w:rsidR="00531E6F" w:rsidRPr="00095CC6">
        <w:rPr>
          <w:rFonts w:eastAsia="MS Mincho"/>
          <w:color w:val="000000" w:themeColor="text1"/>
          <w:lang w:val="en-GB"/>
        </w:rPr>
        <w:t xml:space="preserve">the </w:t>
      </w:r>
      <w:r w:rsidRPr="00095CC6">
        <w:rPr>
          <w:rFonts w:eastAsia="MS Mincho"/>
          <w:color w:val="000000" w:themeColor="text1"/>
          <w:lang w:val="en-GB"/>
        </w:rPr>
        <w:t xml:space="preserve">importance of infrastructure for sustainable development and establishing it as a distinct issue on the global policy agenda; </w:t>
      </w:r>
      <w:r w:rsidR="000A13C5" w:rsidRPr="00095CC6">
        <w:rPr>
          <w:rFonts w:eastAsia="MS Mincho"/>
          <w:color w:val="000000" w:themeColor="text1"/>
          <w:lang w:val="en-GB"/>
        </w:rPr>
        <w:t>(b</w:t>
      </w:r>
      <w:r w:rsidRPr="00095CC6">
        <w:rPr>
          <w:rFonts w:eastAsia="MS Mincho"/>
          <w:color w:val="000000" w:themeColor="text1"/>
          <w:lang w:val="en-GB"/>
        </w:rPr>
        <w:t>) promoting existing</w:t>
      </w:r>
      <w:r w:rsidR="000A13C5" w:rsidRPr="00095CC6">
        <w:rPr>
          <w:rFonts w:eastAsia="MS Mincho"/>
          <w:color w:val="000000" w:themeColor="text1"/>
          <w:lang w:val="en-GB"/>
        </w:rPr>
        <w:t xml:space="preserve"> – </w:t>
      </w:r>
      <w:r w:rsidRPr="00095CC6">
        <w:rPr>
          <w:rFonts w:eastAsia="MS Mincho"/>
          <w:color w:val="000000" w:themeColor="text1"/>
          <w:lang w:val="en-GB"/>
        </w:rPr>
        <w:t>and developing new</w:t>
      </w:r>
      <w:r w:rsidR="000A13C5" w:rsidRPr="00095CC6">
        <w:rPr>
          <w:rFonts w:eastAsia="MS Mincho"/>
          <w:color w:val="000000" w:themeColor="text1"/>
          <w:lang w:val="en-GB"/>
        </w:rPr>
        <w:t xml:space="preserve"> – </w:t>
      </w:r>
      <w:r w:rsidRPr="00095CC6">
        <w:rPr>
          <w:rFonts w:eastAsia="MS Mincho"/>
          <w:color w:val="000000" w:themeColor="text1"/>
          <w:lang w:val="en-GB"/>
        </w:rPr>
        <w:t xml:space="preserve">normative and technical guidance, knowledge and tools related to integrated approaches to sustainable infrastructure; and </w:t>
      </w:r>
      <w:r w:rsidR="000A13C5" w:rsidRPr="00095CC6">
        <w:rPr>
          <w:rFonts w:eastAsia="MS Mincho"/>
          <w:color w:val="000000" w:themeColor="text1"/>
          <w:lang w:val="en-GB"/>
        </w:rPr>
        <w:t>(c</w:t>
      </w:r>
      <w:r w:rsidRPr="00095CC6">
        <w:rPr>
          <w:rFonts w:eastAsia="MS Mincho"/>
          <w:color w:val="000000" w:themeColor="text1"/>
          <w:lang w:val="en-GB"/>
        </w:rPr>
        <w:t xml:space="preserve">) mobilizing international support for strengthening countries’ technical and institutional capacity to adopt integrated approaches to sustainable infrastructure planning and development that </w:t>
      </w:r>
      <w:r w:rsidR="000A13C5" w:rsidRPr="00095CC6">
        <w:rPr>
          <w:rFonts w:eastAsia="MS Mincho"/>
          <w:color w:val="000000" w:themeColor="text1"/>
          <w:lang w:val="en-GB"/>
        </w:rPr>
        <w:t xml:space="preserve">support </w:t>
      </w:r>
      <w:r w:rsidRPr="00095CC6">
        <w:rPr>
          <w:rFonts w:eastAsia="MS Mincho"/>
          <w:color w:val="000000" w:themeColor="text1"/>
          <w:lang w:val="en-GB"/>
        </w:rPr>
        <w:t>their national development objectives.</w:t>
      </w:r>
    </w:p>
    <w:p w14:paraId="74D1D8EE" w14:textId="40307DC9" w:rsidR="00916E6A" w:rsidRPr="00095CC6" w:rsidRDefault="00D336AC" w:rsidP="00D336AC">
      <w:pPr>
        <w:pStyle w:val="CH1"/>
      </w:pPr>
      <w:r w:rsidRPr="00095CC6">
        <w:lastRenderedPageBreak/>
        <w:tab/>
        <w:t>I.</w:t>
      </w:r>
      <w:r w:rsidRPr="00095CC6">
        <w:tab/>
        <w:t>P</w:t>
      </w:r>
      <w:r w:rsidR="00916E6A" w:rsidRPr="00095CC6">
        <w:t xml:space="preserve">rogress </w:t>
      </w:r>
      <w:r w:rsidR="000A13C5" w:rsidRPr="00095CC6">
        <w:t>in the</w:t>
      </w:r>
      <w:r w:rsidR="00916E6A" w:rsidRPr="00095CC6">
        <w:t xml:space="preserve"> </w:t>
      </w:r>
      <w:r w:rsidR="000A13C5" w:rsidRPr="00095CC6">
        <w:t>i</w:t>
      </w:r>
      <w:r w:rsidR="00916E6A" w:rsidRPr="00095CC6">
        <w:t xml:space="preserve">mplementation of </w:t>
      </w:r>
      <w:r w:rsidR="000A13C5" w:rsidRPr="00095CC6">
        <w:t xml:space="preserve">resolution </w:t>
      </w:r>
      <w:r w:rsidR="00916E6A" w:rsidRPr="00095CC6">
        <w:t xml:space="preserve">4/5 </w:t>
      </w:r>
    </w:p>
    <w:p w14:paraId="4FA7F1F0" w14:textId="0E17353A" w:rsidR="00C83D89" w:rsidRPr="00095CC6" w:rsidRDefault="00C83D89" w:rsidP="00C83D89">
      <w:pPr>
        <w:pStyle w:val="Normalnumber"/>
        <w:numPr>
          <w:ilvl w:val="0"/>
          <w:numId w:val="14"/>
        </w:numPr>
        <w:tabs>
          <w:tab w:val="clear" w:pos="1814"/>
          <w:tab w:val="clear" w:pos="2381"/>
          <w:tab w:val="clear" w:pos="2948"/>
          <w:tab w:val="clear" w:pos="3515"/>
          <w:tab w:val="clear" w:pos="4082"/>
          <w:tab w:val="left" w:pos="624"/>
        </w:tabs>
        <w:ind w:left="1247" w:firstLine="0"/>
        <w:rPr>
          <w:color w:val="000000" w:themeColor="text1"/>
          <w:lang w:val="en-GB"/>
        </w:rPr>
      </w:pPr>
      <w:r w:rsidRPr="00095CC6">
        <w:rPr>
          <w:color w:val="000000" w:themeColor="text1"/>
          <w:lang w:val="en-GB"/>
        </w:rPr>
        <w:t>Sustainable infrastructure sits at the heart of the Sustainable Development Goals, cutting across all 17 Goals and influencing 92</w:t>
      </w:r>
      <w:r w:rsidR="000A13C5" w:rsidRPr="00095CC6">
        <w:rPr>
          <w:color w:val="000000" w:themeColor="text1"/>
          <w:lang w:val="en-GB"/>
        </w:rPr>
        <w:t xml:space="preserve"> per cent</w:t>
      </w:r>
      <w:r w:rsidRPr="00095CC6">
        <w:rPr>
          <w:color w:val="000000" w:themeColor="text1"/>
          <w:lang w:val="en-GB"/>
        </w:rPr>
        <w:t xml:space="preserve"> of the 169 targets. The importance of sustainable and resilient infrastructure systems has been magnified by the </w:t>
      </w:r>
      <w:r w:rsidR="000A13C5" w:rsidRPr="00095CC6">
        <w:rPr>
          <w:color w:val="000000" w:themeColor="text1"/>
          <w:lang w:val="en-GB"/>
        </w:rPr>
        <w:t>coronavirus disease (</w:t>
      </w:r>
      <w:r w:rsidRPr="00095CC6">
        <w:rPr>
          <w:color w:val="000000" w:themeColor="text1"/>
          <w:lang w:val="en-GB"/>
        </w:rPr>
        <w:t>COVID-19</w:t>
      </w:r>
      <w:r w:rsidR="000A13C5" w:rsidRPr="00095CC6">
        <w:rPr>
          <w:color w:val="000000" w:themeColor="text1"/>
          <w:lang w:val="en-GB"/>
        </w:rPr>
        <w:t>)</w:t>
      </w:r>
      <w:r w:rsidRPr="00095CC6">
        <w:rPr>
          <w:color w:val="000000" w:themeColor="text1"/>
          <w:lang w:val="en-GB"/>
        </w:rPr>
        <w:t xml:space="preserve"> crisis</w:t>
      </w:r>
      <w:r w:rsidR="000A13C5" w:rsidRPr="00095CC6">
        <w:rPr>
          <w:color w:val="000000" w:themeColor="text1"/>
          <w:lang w:val="en-GB"/>
        </w:rPr>
        <w:t>,</w:t>
      </w:r>
      <w:r w:rsidRPr="00095CC6">
        <w:rPr>
          <w:color w:val="000000" w:themeColor="text1"/>
          <w:lang w:val="en-GB"/>
        </w:rPr>
        <w:t xml:space="preserve"> and they are central to green recovery plans. </w:t>
      </w:r>
    </w:p>
    <w:p w14:paraId="78F96105" w14:textId="7B077E2B" w:rsidR="00C83D89" w:rsidRPr="00095CC6" w:rsidRDefault="00C83D89" w:rsidP="00C83D89">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lang w:val="en-GB"/>
        </w:rPr>
      </w:pPr>
      <w:r w:rsidRPr="00095CC6">
        <w:rPr>
          <w:rFonts w:eastAsia="MS Mincho"/>
          <w:color w:val="000000" w:themeColor="text1"/>
          <w:lang w:val="en-GB"/>
        </w:rPr>
        <w:t xml:space="preserve">Efforts to implement the resolution contribute to </w:t>
      </w:r>
      <w:bookmarkStart w:id="2" w:name="_Hlk56697532"/>
      <w:r w:rsidR="0044180F" w:rsidRPr="00095CC6">
        <w:rPr>
          <w:rFonts w:eastAsia="MS Mincho"/>
          <w:color w:val="000000" w:themeColor="text1"/>
          <w:lang w:val="en-GB"/>
        </w:rPr>
        <w:t xml:space="preserve">UNEP </w:t>
      </w:r>
      <w:r w:rsidR="00101863" w:rsidRPr="00095CC6">
        <w:rPr>
          <w:rFonts w:eastAsia="MS Mincho"/>
          <w:color w:val="000000" w:themeColor="text1"/>
          <w:lang w:val="en-GB"/>
        </w:rPr>
        <w:t>s</w:t>
      </w:r>
      <w:r w:rsidRPr="00095CC6">
        <w:rPr>
          <w:rFonts w:eastAsia="MS Mincho"/>
          <w:color w:val="000000" w:themeColor="text1"/>
          <w:lang w:val="en-GB"/>
        </w:rPr>
        <w:t xml:space="preserve">ubprogramme 6 on </w:t>
      </w:r>
      <w:r w:rsidR="00101863" w:rsidRPr="00095CC6">
        <w:rPr>
          <w:rFonts w:eastAsia="MS Mincho"/>
          <w:color w:val="000000" w:themeColor="text1"/>
          <w:lang w:val="en-GB"/>
        </w:rPr>
        <w:t>r</w:t>
      </w:r>
      <w:r w:rsidRPr="00095CC6">
        <w:rPr>
          <w:rFonts w:eastAsia="MS Mincho"/>
          <w:color w:val="000000" w:themeColor="text1"/>
          <w:lang w:val="en-GB"/>
        </w:rPr>
        <w:t xml:space="preserve">esource </w:t>
      </w:r>
      <w:r w:rsidR="00101863" w:rsidRPr="00095CC6">
        <w:rPr>
          <w:rFonts w:eastAsia="MS Mincho"/>
          <w:color w:val="000000" w:themeColor="text1"/>
          <w:lang w:val="en-GB"/>
        </w:rPr>
        <w:t>e</w:t>
      </w:r>
      <w:r w:rsidRPr="00095CC6">
        <w:rPr>
          <w:rFonts w:eastAsia="MS Mincho"/>
          <w:color w:val="000000" w:themeColor="text1"/>
          <w:lang w:val="en-GB"/>
        </w:rPr>
        <w:t>fficiency</w:t>
      </w:r>
      <w:bookmarkEnd w:id="2"/>
      <w:r w:rsidRPr="00095CC6">
        <w:rPr>
          <w:rFonts w:eastAsia="MS Mincho"/>
          <w:color w:val="000000" w:themeColor="text1"/>
          <w:lang w:val="en-GB"/>
        </w:rPr>
        <w:t>, expected accomplishment (a), indicator (</w:t>
      </w:r>
      <w:proofErr w:type="spellStart"/>
      <w:r w:rsidRPr="00095CC6">
        <w:rPr>
          <w:rFonts w:eastAsia="MS Mincho"/>
          <w:color w:val="000000" w:themeColor="text1"/>
          <w:lang w:val="en-GB"/>
        </w:rPr>
        <w:t>i</w:t>
      </w:r>
      <w:proofErr w:type="spellEnd"/>
      <w:r w:rsidRPr="00095CC6">
        <w:rPr>
          <w:rFonts w:eastAsia="MS Mincho"/>
          <w:color w:val="000000" w:themeColor="text1"/>
          <w:lang w:val="en-GB"/>
        </w:rPr>
        <w:t>). Approximately $335,000 of Environment Fund resources ha</w:t>
      </w:r>
      <w:r w:rsidR="00B3519A" w:rsidRPr="00095CC6">
        <w:rPr>
          <w:rFonts w:eastAsia="MS Mincho"/>
          <w:color w:val="000000" w:themeColor="text1"/>
          <w:lang w:val="en-GB"/>
        </w:rPr>
        <w:t>s</w:t>
      </w:r>
      <w:r w:rsidRPr="00095CC6">
        <w:rPr>
          <w:rFonts w:eastAsia="MS Mincho"/>
          <w:color w:val="000000" w:themeColor="text1"/>
          <w:lang w:val="en-GB"/>
        </w:rPr>
        <w:t xml:space="preserve"> </w:t>
      </w:r>
      <w:r w:rsidR="00DF1472" w:rsidRPr="00095CC6">
        <w:rPr>
          <w:rFonts w:eastAsia="MS Mincho"/>
          <w:color w:val="000000" w:themeColor="text1"/>
          <w:lang w:val="en-GB"/>
        </w:rPr>
        <w:t>been used for</w:t>
      </w:r>
      <w:r w:rsidRPr="00095CC6">
        <w:rPr>
          <w:rFonts w:eastAsia="MS Mincho"/>
          <w:color w:val="000000" w:themeColor="text1"/>
          <w:lang w:val="en-GB"/>
        </w:rPr>
        <w:t xml:space="preserve"> the activities described in </w:t>
      </w:r>
      <w:r w:rsidR="00DF0A04" w:rsidRPr="00095CC6">
        <w:rPr>
          <w:rFonts w:eastAsia="MS Mincho"/>
          <w:color w:val="000000" w:themeColor="text1"/>
          <w:lang w:val="en-GB"/>
        </w:rPr>
        <w:t xml:space="preserve">the present </w:t>
      </w:r>
      <w:r w:rsidRPr="00095CC6">
        <w:rPr>
          <w:rFonts w:eastAsia="MS Mincho"/>
          <w:color w:val="000000" w:themeColor="text1"/>
          <w:lang w:val="en-GB"/>
        </w:rPr>
        <w:t xml:space="preserve">report. </w:t>
      </w:r>
      <w:r w:rsidR="00C63014" w:rsidRPr="00095CC6">
        <w:rPr>
          <w:rFonts w:eastAsia="MS Mincho"/>
          <w:color w:val="000000" w:themeColor="text1"/>
          <w:lang w:val="en-GB"/>
        </w:rPr>
        <w:t>Some</w:t>
      </w:r>
      <w:r w:rsidRPr="00095CC6">
        <w:rPr>
          <w:rFonts w:eastAsia="MS Mincho"/>
          <w:color w:val="000000" w:themeColor="text1"/>
          <w:lang w:val="en-GB"/>
        </w:rPr>
        <w:t xml:space="preserve"> $3.1 million in additional extrabudgetary resources ha</w:t>
      </w:r>
      <w:r w:rsidR="00B3519A" w:rsidRPr="00095CC6">
        <w:rPr>
          <w:rFonts w:eastAsia="MS Mincho"/>
          <w:color w:val="000000" w:themeColor="text1"/>
          <w:lang w:val="en-GB"/>
        </w:rPr>
        <w:t>s</w:t>
      </w:r>
      <w:r w:rsidRPr="00095CC6">
        <w:rPr>
          <w:rFonts w:eastAsia="MS Mincho"/>
          <w:color w:val="000000" w:themeColor="text1"/>
          <w:lang w:val="en-GB"/>
        </w:rPr>
        <w:t xml:space="preserve"> been mobilized to support the resolution’s implementation, covering the activities described above as well as ongoing related work through to the end of 2021.</w:t>
      </w:r>
    </w:p>
    <w:p w14:paraId="120BFF0B" w14:textId="013AA3C1" w:rsidR="00C83D89" w:rsidRPr="00095CC6" w:rsidRDefault="00916E6A" w:rsidP="00916E6A">
      <w:pPr>
        <w:pStyle w:val="CH2"/>
        <w:rPr>
          <w:lang w:val="en-GB"/>
        </w:rPr>
      </w:pPr>
      <w:r w:rsidRPr="00095CC6">
        <w:rPr>
          <w:lang w:val="en-GB"/>
        </w:rPr>
        <w:tab/>
        <w:t>A.</w:t>
      </w:r>
      <w:r w:rsidRPr="00095CC6">
        <w:rPr>
          <w:lang w:val="en-GB"/>
        </w:rPr>
        <w:tab/>
      </w:r>
      <w:r w:rsidR="00C83D89" w:rsidRPr="00095CC6">
        <w:rPr>
          <w:lang w:val="en-GB"/>
        </w:rPr>
        <w:t>Stocktaking and gap analysis</w:t>
      </w:r>
    </w:p>
    <w:p w14:paraId="71441725" w14:textId="3D9228A9" w:rsidR="00C83D89" w:rsidRPr="00095CC6" w:rsidRDefault="00DF0A04" w:rsidP="00C83D89">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i/>
          <w:iCs/>
          <w:color w:val="000000" w:themeColor="text1"/>
          <w:lang w:val="en-GB"/>
        </w:rPr>
      </w:pPr>
      <w:r w:rsidRPr="00095CC6">
        <w:rPr>
          <w:rFonts w:eastAsia="MS Mincho"/>
          <w:color w:val="000000" w:themeColor="text1"/>
          <w:lang w:val="en-GB"/>
        </w:rPr>
        <w:t>I</w:t>
      </w:r>
      <w:r w:rsidR="00C83D89" w:rsidRPr="00095CC6">
        <w:rPr>
          <w:rFonts w:eastAsia="MS Mincho"/>
          <w:color w:val="000000" w:themeColor="text1"/>
          <w:lang w:val="en-GB"/>
        </w:rPr>
        <w:t xml:space="preserve">mplementation </w:t>
      </w:r>
      <w:r w:rsidRPr="00095CC6">
        <w:rPr>
          <w:rFonts w:eastAsia="MS Mincho"/>
          <w:color w:val="000000" w:themeColor="text1"/>
          <w:lang w:val="en-GB"/>
        </w:rPr>
        <w:t xml:space="preserve">by UNEP </w:t>
      </w:r>
      <w:r w:rsidR="00C83D89" w:rsidRPr="00095CC6">
        <w:rPr>
          <w:rFonts w:eastAsia="MS Mincho"/>
          <w:color w:val="000000" w:themeColor="text1"/>
          <w:lang w:val="en-GB"/>
        </w:rPr>
        <w:t xml:space="preserve">of the resolution began with </w:t>
      </w:r>
      <w:r w:rsidR="00FD3F9A" w:rsidRPr="00095CC6">
        <w:rPr>
          <w:rFonts w:eastAsia="MS Mincho"/>
          <w:color w:val="000000" w:themeColor="text1"/>
          <w:lang w:val="en-GB"/>
        </w:rPr>
        <w:t>taking</w:t>
      </w:r>
      <w:r w:rsidRPr="00095CC6">
        <w:rPr>
          <w:rFonts w:eastAsia="MS Mincho"/>
          <w:color w:val="000000" w:themeColor="text1"/>
          <w:lang w:val="en-GB"/>
        </w:rPr>
        <w:t xml:space="preserve"> </w:t>
      </w:r>
      <w:r w:rsidR="00C83D89" w:rsidRPr="00095CC6">
        <w:rPr>
          <w:rFonts w:eastAsia="MS Mincho"/>
          <w:color w:val="000000" w:themeColor="text1"/>
          <w:lang w:val="en-GB"/>
        </w:rPr>
        <w:t xml:space="preserve">stock </w:t>
      </w:r>
      <w:r w:rsidRPr="00095CC6">
        <w:rPr>
          <w:rFonts w:eastAsia="MS Mincho"/>
          <w:color w:val="000000" w:themeColor="text1"/>
          <w:lang w:val="en-GB"/>
        </w:rPr>
        <w:t xml:space="preserve">of </w:t>
      </w:r>
      <w:r w:rsidR="00C83D89" w:rsidRPr="00095CC6">
        <w:rPr>
          <w:rFonts w:eastAsia="MS Mincho"/>
          <w:color w:val="000000" w:themeColor="text1"/>
          <w:lang w:val="en-GB"/>
        </w:rPr>
        <w:t xml:space="preserve">existing approaches, knowledge and tools for increasing </w:t>
      </w:r>
      <w:r w:rsidRPr="00095CC6">
        <w:rPr>
          <w:rFonts w:eastAsia="MS Mincho"/>
          <w:color w:val="000000" w:themeColor="text1"/>
          <w:lang w:val="en-GB"/>
        </w:rPr>
        <w:t>the sustainability of infrastructure</w:t>
      </w:r>
      <w:r w:rsidR="00C83D89" w:rsidRPr="00095CC6">
        <w:rPr>
          <w:rFonts w:eastAsia="MS Mincho"/>
          <w:color w:val="000000" w:themeColor="text1"/>
          <w:lang w:val="en-GB"/>
        </w:rPr>
        <w:t xml:space="preserve">. The results of the stocktaking </w:t>
      </w:r>
      <w:r w:rsidR="00FD3F9A" w:rsidRPr="00095CC6">
        <w:rPr>
          <w:rFonts w:eastAsia="MS Mincho"/>
          <w:color w:val="000000" w:themeColor="text1"/>
          <w:lang w:val="en-GB"/>
        </w:rPr>
        <w:t xml:space="preserve">exercise </w:t>
      </w:r>
      <w:r w:rsidR="00C83D89" w:rsidRPr="00095CC6">
        <w:rPr>
          <w:rFonts w:eastAsia="MS Mincho"/>
          <w:color w:val="000000" w:themeColor="text1"/>
          <w:lang w:val="en-GB"/>
        </w:rPr>
        <w:t>were published in April 2019 in the UNEP report entitled</w:t>
      </w:r>
      <w:r w:rsidR="00C83D89" w:rsidRPr="00095CC6">
        <w:rPr>
          <w:lang w:val="en-GB"/>
        </w:rPr>
        <w:t xml:space="preserve"> </w:t>
      </w:r>
      <w:hyperlink r:id="rId15" w:history="1">
        <w:r w:rsidR="00C83D89" w:rsidRPr="00095CC6">
          <w:rPr>
            <w:rFonts w:eastAsia="MS Mincho"/>
            <w:i/>
            <w:iCs/>
            <w:color w:val="000000" w:themeColor="text1"/>
            <w:lang w:val="en-GB"/>
          </w:rPr>
          <w:t>Integrated Approaches to Sustainable Infrastructure</w:t>
        </w:r>
      </w:hyperlink>
      <w:r w:rsidR="00C83D89" w:rsidRPr="00095CC6">
        <w:rPr>
          <w:rFonts w:eastAsia="MS Mincho"/>
          <w:i/>
          <w:iCs/>
          <w:color w:val="000000" w:themeColor="text1"/>
          <w:lang w:val="en-GB"/>
        </w:rPr>
        <w:t>.</w:t>
      </w:r>
    </w:p>
    <w:p w14:paraId="5C38D196" w14:textId="24F305BF" w:rsidR="00C83D89" w:rsidRPr="00095CC6" w:rsidRDefault="005C72D8" w:rsidP="00C83D89">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lang w:val="en-GB"/>
        </w:rPr>
      </w:pPr>
      <w:r w:rsidRPr="00095CC6">
        <w:rPr>
          <w:rFonts w:eastAsia="MS Mincho"/>
          <w:color w:val="000000" w:themeColor="text1"/>
          <w:lang w:val="en-GB"/>
        </w:rPr>
        <w:t>In t</w:t>
      </w:r>
      <w:r w:rsidR="00C83D89" w:rsidRPr="00095CC6">
        <w:rPr>
          <w:rFonts w:eastAsia="MS Mincho"/>
          <w:color w:val="000000" w:themeColor="text1"/>
          <w:lang w:val="en-GB"/>
        </w:rPr>
        <w:t>he report</w:t>
      </w:r>
      <w:r w:rsidRPr="00095CC6">
        <w:rPr>
          <w:rFonts w:eastAsia="MS Mincho"/>
          <w:color w:val="000000" w:themeColor="text1"/>
          <w:lang w:val="en-GB"/>
        </w:rPr>
        <w:t>, UNEP</w:t>
      </w:r>
      <w:r w:rsidR="00C83D89" w:rsidRPr="00095CC6">
        <w:rPr>
          <w:rFonts w:eastAsia="MS Mincho"/>
          <w:color w:val="000000" w:themeColor="text1"/>
          <w:lang w:val="en-GB"/>
        </w:rPr>
        <w:t xml:space="preserve"> found that</w:t>
      </w:r>
      <w:r w:rsidR="00B3519A" w:rsidRPr="00095CC6">
        <w:rPr>
          <w:rFonts w:eastAsia="MS Mincho"/>
          <w:color w:val="000000" w:themeColor="text1"/>
          <w:lang w:val="en-GB"/>
        </w:rPr>
        <w:t>,</w:t>
      </w:r>
      <w:r w:rsidR="00C83D89" w:rsidRPr="00095CC6">
        <w:rPr>
          <w:rFonts w:eastAsia="MS Mincho"/>
          <w:color w:val="000000" w:themeColor="text1"/>
          <w:lang w:val="en-GB"/>
        </w:rPr>
        <w:t xml:space="preserve"> although guidance and tools </w:t>
      </w:r>
      <w:r w:rsidR="00FD3F9A" w:rsidRPr="00095CC6">
        <w:rPr>
          <w:rFonts w:eastAsia="MS Mincho"/>
          <w:color w:val="000000" w:themeColor="text1"/>
          <w:lang w:val="en-GB"/>
        </w:rPr>
        <w:t xml:space="preserve">existed </w:t>
      </w:r>
      <w:r w:rsidR="00C83D89" w:rsidRPr="00095CC6">
        <w:rPr>
          <w:rFonts w:eastAsia="MS Mincho"/>
          <w:color w:val="000000" w:themeColor="text1"/>
          <w:lang w:val="en-GB"/>
        </w:rPr>
        <w:t xml:space="preserve">for incorporating sustainability into infrastructure development, major gaps </w:t>
      </w:r>
      <w:r w:rsidR="008A6314" w:rsidRPr="00095CC6">
        <w:rPr>
          <w:rFonts w:eastAsia="MS Mincho"/>
          <w:color w:val="000000" w:themeColor="text1"/>
          <w:lang w:val="en-GB"/>
        </w:rPr>
        <w:t>we</w:t>
      </w:r>
      <w:r w:rsidR="00C83D89" w:rsidRPr="00095CC6">
        <w:rPr>
          <w:rFonts w:eastAsia="MS Mincho"/>
          <w:color w:val="000000" w:themeColor="text1"/>
          <w:lang w:val="en-GB"/>
        </w:rPr>
        <w:t xml:space="preserve">re contributing to unsustainable infrastructure development. </w:t>
      </w:r>
      <w:r w:rsidR="00B3519A" w:rsidRPr="00095CC6">
        <w:rPr>
          <w:rFonts w:eastAsia="MS Mincho"/>
          <w:color w:val="000000" w:themeColor="text1"/>
          <w:lang w:val="en-GB"/>
        </w:rPr>
        <w:t>First, t</w:t>
      </w:r>
      <w:r w:rsidR="00C83D89" w:rsidRPr="00095CC6">
        <w:rPr>
          <w:rFonts w:eastAsia="MS Mincho"/>
          <w:color w:val="000000" w:themeColor="text1"/>
          <w:lang w:val="en-GB"/>
        </w:rPr>
        <w:t xml:space="preserve">he majority of </w:t>
      </w:r>
      <w:r w:rsidR="008A6314" w:rsidRPr="00095CC6">
        <w:rPr>
          <w:rFonts w:eastAsia="MS Mincho"/>
          <w:color w:val="000000" w:themeColor="text1"/>
          <w:lang w:val="en-GB"/>
        </w:rPr>
        <w:t>the guidance and tools</w:t>
      </w:r>
      <w:r w:rsidR="00C83D89" w:rsidRPr="00095CC6">
        <w:rPr>
          <w:rFonts w:eastAsia="MS Mincho"/>
          <w:color w:val="000000" w:themeColor="text1"/>
          <w:lang w:val="en-GB"/>
        </w:rPr>
        <w:t xml:space="preserve"> address sustainability at the project level, with limited potential for positive impact because important decisions have </w:t>
      </w:r>
      <w:r w:rsidR="005E5E0C" w:rsidRPr="00095CC6">
        <w:rPr>
          <w:rFonts w:eastAsia="MS Mincho"/>
          <w:color w:val="000000" w:themeColor="text1"/>
          <w:lang w:val="en-GB"/>
        </w:rPr>
        <w:t xml:space="preserve">already </w:t>
      </w:r>
      <w:r w:rsidR="00C83D89" w:rsidRPr="00095CC6">
        <w:rPr>
          <w:rFonts w:eastAsia="MS Mincho"/>
          <w:color w:val="000000" w:themeColor="text1"/>
          <w:lang w:val="en-GB"/>
        </w:rPr>
        <w:t>been made about what to build and where to build it</w:t>
      </w:r>
      <w:r w:rsidR="00FD3F9A" w:rsidRPr="00095CC6">
        <w:rPr>
          <w:rFonts w:eastAsia="MS Mincho"/>
          <w:color w:val="000000" w:themeColor="text1"/>
          <w:lang w:val="en-GB"/>
        </w:rPr>
        <w:t>.</w:t>
      </w:r>
      <w:r w:rsidR="00C83D89" w:rsidRPr="00095CC6">
        <w:rPr>
          <w:rFonts w:eastAsia="MS Mincho"/>
          <w:color w:val="000000" w:themeColor="text1"/>
          <w:lang w:val="en-GB"/>
        </w:rPr>
        <w:t xml:space="preserve"> </w:t>
      </w:r>
      <w:r w:rsidR="00B3519A" w:rsidRPr="00095CC6">
        <w:rPr>
          <w:rFonts w:eastAsia="MS Mincho"/>
          <w:color w:val="000000" w:themeColor="text1"/>
          <w:lang w:val="en-GB"/>
        </w:rPr>
        <w:t>Second, s</w:t>
      </w:r>
      <w:r w:rsidR="00C83D89" w:rsidRPr="00095CC6">
        <w:rPr>
          <w:rFonts w:eastAsia="MS Mincho"/>
          <w:color w:val="000000" w:themeColor="text1"/>
          <w:lang w:val="en-GB"/>
        </w:rPr>
        <w:t>ustainability is often viewed narrowly, with a strong focus on climate and not enough attention paid to other aspects, such as biodiversity or inclusiveness</w:t>
      </w:r>
      <w:r w:rsidR="00FD3F9A" w:rsidRPr="00095CC6">
        <w:rPr>
          <w:rFonts w:eastAsia="MS Mincho"/>
          <w:color w:val="000000" w:themeColor="text1"/>
          <w:lang w:val="en-GB"/>
        </w:rPr>
        <w:t>.</w:t>
      </w:r>
      <w:r w:rsidR="008A6314" w:rsidRPr="00095CC6">
        <w:rPr>
          <w:rFonts w:eastAsia="MS Mincho"/>
          <w:color w:val="000000" w:themeColor="text1"/>
          <w:lang w:val="en-GB"/>
        </w:rPr>
        <w:t xml:space="preserve"> </w:t>
      </w:r>
      <w:r w:rsidR="00B3519A" w:rsidRPr="00095CC6">
        <w:rPr>
          <w:rFonts w:eastAsia="MS Mincho"/>
          <w:color w:val="000000" w:themeColor="text1"/>
          <w:lang w:val="en-GB"/>
        </w:rPr>
        <w:t>Third, with</w:t>
      </w:r>
      <w:r w:rsidR="00C83D89" w:rsidRPr="00095CC6">
        <w:rPr>
          <w:rFonts w:eastAsia="MS Mincho"/>
          <w:color w:val="000000" w:themeColor="text1"/>
          <w:lang w:val="en-GB"/>
        </w:rPr>
        <w:t xml:space="preserve"> respect to financing for sustainable infrastructure, there is a tendency to focus on the quantity of infrastructure investments needed (e.g.</w:t>
      </w:r>
      <w:r w:rsidR="00FD3F9A" w:rsidRPr="00095CC6">
        <w:rPr>
          <w:rFonts w:eastAsia="MS Mincho"/>
          <w:color w:val="000000" w:themeColor="text1"/>
          <w:lang w:val="en-GB"/>
        </w:rPr>
        <w:t>,</w:t>
      </w:r>
      <w:r w:rsidR="00C83D89" w:rsidRPr="00095CC6">
        <w:rPr>
          <w:rFonts w:eastAsia="MS Mincho"/>
          <w:color w:val="000000" w:themeColor="text1"/>
          <w:lang w:val="en-GB"/>
        </w:rPr>
        <w:t xml:space="preserve"> “closing the infrastructure investment gap”) rather than </w:t>
      </w:r>
      <w:r w:rsidR="007F093C" w:rsidRPr="00095CC6">
        <w:rPr>
          <w:rFonts w:eastAsia="MS Mincho"/>
          <w:color w:val="000000" w:themeColor="text1"/>
          <w:lang w:val="en-GB"/>
        </w:rPr>
        <w:t xml:space="preserve">on </w:t>
      </w:r>
      <w:r w:rsidR="00C83D89" w:rsidRPr="00095CC6">
        <w:rPr>
          <w:rFonts w:eastAsia="MS Mincho"/>
          <w:color w:val="000000" w:themeColor="text1"/>
          <w:lang w:val="en-GB"/>
        </w:rPr>
        <w:t>the quality of those investments (e.g.</w:t>
      </w:r>
      <w:r w:rsidR="00FD3F9A" w:rsidRPr="00095CC6">
        <w:rPr>
          <w:rFonts w:eastAsia="MS Mincho"/>
          <w:color w:val="000000" w:themeColor="text1"/>
          <w:lang w:val="en-GB"/>
        </w:rPr>
        <w:t>,</w:t>
      </w:r>
      <w:r w:rsidR="00C83D89" w:rsidRPr="00095CC6">
        <w:rPr>
          <w:rFonts w:eastAsia="MS Mincho"/>
          <w:color w:val="000000" w:themeColor="text1"/>
          <w:lang w:val="en-GB"/>
        </w:rPr>
        <w:t xml:space="preserve"> sustainability </w:t>
      </w:r>
      <w:r w:rsidR="0044180F" w:rsidRPr="00095CC6">
        <w:rPr>
          <w:rFonts w:eastAsia="MS Mincho"/>
          <w:color w:val="000000" w:themeColor="text1"/>
          <w:lang w:val="en-GB"/>
        </w:rPr>
        <w:t xml:space="preserve">and </w:t>
      </w:r>
      <w:r w:rsidR="00C83D89" w:rsidRPr="00095CC6">
        <w:rPr>
          <w:rFonts w:eastAsia="MS Mincho"/>
          <w:color w:val="000000" w:themeColor="text1"/>
          <w:lang w:val="en-GB"/>
        </w:rPr>
        <w:t xml:space="preserve">alignment with service needs). </w:t>
      </w:r>
    </w:p>
    <w:p w14:paraId="0ACD5E1B" w14:textId="31E06977" w:rsidR="00C83D89" w:rsidRPr="00095CC6" w:rsidRDefault="00532011" w:rsidP="00C83D89">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lang w:val="en-GB"/>
        </w:rPr>
      </w:pPr>
      <w:r w:rsidRPr="00095CC6">
        <w:rPr>
          <w:rFonts w:eastAsia="MS Mincho"/>
          <w:color w:val="000000" w:themeColor="text1"/>
          <w:lang w:val="en-GB"/>
        </w:rPr>
        <w:t>It is proposed in t</w:t>
      </w:r>
      <w:r w:rsidR="00C83D89" w:rsidRPr="00095CC6">
        <w:rPr>
          <w:rFonts w:eastAsia="MS Mincho"/>
          <w:color w:val="000000" w:themeColor="text1"/>
          <w:lang w:val="en-GB"/>
        </w:rPr>
        <w:t xml:space="preserve">he report that these gaps be addressed by “integrated approaches” that </w:t>
      </w:r>
      <w:r w:rsidRPr="00095CC6">
        <w:rPr>
          <w:rFonts w:eastAsia="MS Mincho"/>
          <w:color w:val="000000" w:themeColor="text1"/>
          <w:lang w:val="en-GB"/>
        </w:rPr>
        <w:t>(a</w:t>
      </w:r>
      <w:r w:rsidR="00C83D89" w:rsidRPr="00095CC6">
        <w:rPr>
          <w:rFonts w:eastAsia="MS Mincho"/>
          <w:color w:val="000000" w:themeColor="text1"/>
          <w:lang w:val="en-GB"/>
        </w:rPr>
        <w:t>)</w:t>
      </w:r>
      <w:r w:rsidR="00095CC6">
        <w:rPr>
          <w:rFonts w:eastAsia="MS Mincho"/>
          <w:color w:val="000000" w:themeColor="text1"/>
          <w:lang w:val="en-GB"/>
        </w:rPr>
        <w:t> </w:t>
      </w:r>
      <w:r w:rsidR="00C83D89" w:rsidRPr="00095CC6">
        <w:rPr>
          <w:rFonts w:eastAsia="MS Mincho"/>
          <w:color w:val="000000" w:themeColor="text1"/>
          <w:lang w:val="en-GB"/>
        </w:rPr>
        <w:t xml:space="preserve">consider sustainability as far </w:t>
      </w:r>
      <w:r w:rsidRPr="00095CC6">
        <w:rPr>
          <w:rFonts w:eastAsia="MS Mincho"/>
          <w:color w:val="000000" w:themeColor="text1"/>
          <w:lang w:val="en-GB"/>
        </w:rPr>
        <w:t>upstream</w:t>
      </w:r>
      <w:r w:rsidR="00C83D89" w:rsidRPr="00095CC6">
        <w:rPr>
          <w:rFonts w:eastAsia="MS Mincho"/>
          <w:color w:val="000000" w:themeColor="text1"/>
          <w:lang w:val="en-GB"/>
        </w:rPr>
        <w:t xml:space="preserve"> in the infrastructure life</w:t>
      </w:r>
      <w:r w:rsidRPr="00095CC6">
        <w:rPr>
          <w:rFonts w:eastAsia="MS Mincho"/>
          <w:color w:val="000000" w:themeColor="text1"/>
          <w:lang w:val="en-GB"/>
        </w:rPr>
        <w:t xml:space="preserve"> </w:t>
      </w:r>
      <w:r w:rsidR="00C83D89" w:rsidRPr="00095CC6">
        <w:rPr>
          <w:rFonts w:eastAsia="MS Mincho"/>
          <w:color w:val="000000" w:themeColor="text1"/>
          <w:lang w:val="en-GB"/>
        </w:rPr>
        <w:t>cycle as possible</w:t>
      </w:r>
      <w:r w:rsidR="0006047E" w:rsidRPr="00095CC6">
        <w:rPr>
          <w:rFonts w:eastAsia="MS Mincho"/>
          <w:color w:val="000000" w:themeColor="text1"/>
          <w:lang w:val="en-GB"/>
        </w:rPr>
        <w:t>,</w:t>
      </w:r>
      <w:r w:rsidR="00C83D89" w:rsidRPr="00095CC6">
        <w:rPr>
          <w:rFonts w:eastAsia="MS Mincho"/>
          <w:color w:val="000000" w:themeColor="text1"/>
          <w:lang w:val="en-GB"/>
        </w:rPr>
        <w:t xml:space="preserve"> when more options for increasing infrastructure’s sustainability are still politically, technically and economically feasible; </w:t>
      </w:r>
      <w:r w:rsidRPr="00095CC6">
        <w:rPr>
          <w:rFonts w:eastAsia="MS Mincho"/>
          <w:color w:val="000000" w:themeColor="text1"/>
          <w:lang w:val="en-GB"/>
        </w:rPr>
        <w:t>(b</w:t>
      </w:r>
      <w:r w:rsidR="00C83D89" w:rsidRPr="00095CC6">
        <w:rPr>
          <w:rFonts w:eastAsia="MS Mincho"/>
          <w:color w:val="000000" w:themeColor="text1"/>
          <w:lang w:val="en-GB"/>
        </w:rPr>
        <w:t>) consider the interlinkages between different infrastructure systems in different sectors and locations, and the aggregate impacts in terms of environmental, social and economic sustainability across the entire infrastructure life</w:t>
      </w:r>
      <w:r w:rsidRPr="00095CC6">
        <w:rPr>
          <w:rFonts w:eastAsia="MS Mincho"/>
          <w:color w:val="000000" w:themeColor="text1"/>
          <w:lang w:val="en-GB"/>
        </w:rPr>
        <w:t xml:space="preserve"> </w:t>
      </w:r>
      <w:r w:rsidR="00C83D89" w:rsidRPr="00095CC6">
        <w:rPr>
          <w:rFonts w:eastAsia="MS Mincho"/>
          <w:color w:val="000000" w:themeColor="text1"/>
          <w:lang w:val="en-GB"/>
        </w:rPr>
        <w:t xml:space="preserve">cycle; and </w:t>
      </w:r>
      <w:r w:rsidRPr="00095CC6">
        <w:rPr>
          <w:rFonts w:eastAsia="MS Mincho"/>
          <w:color w:val="000000" w:themeColor="text1"/>
          <w:lang w:val="en-GB"/>
        </w:rPr>
        <w:t>(c</w:t>
      </w:r>
      <w:r w:rsidR="00C83D89" w:rsidRPr="00095CC6">
        <w:rPr>
          <w:rFonts w:eastAsia="MS Mincho"/>
          <w:color w:val="000000" w:themeColor="text1"/>
          <w:lang w:val="en-GB"/>
        </w:rPr>
        <w:t>) create institutions, policies and processes that enable</w:t>
      </w:r>
      <w:r w:rsidR="00FD3F9A" w:rsidRPr="00095CC6">
        <w:rPr>
          <w:rFonts w:eastAsia="MS Mincho"/>
          <w:color w:val="000000" w:themeColor="text1"/>
          <w:lang w:val="en-GB"/>
        </w:rPr>
        <w:t xml:space="preserve"> these measures and provide incentives for implementing</w:t>
      </w:r>
      <w:r w:rsidR="00C83D89" w:rsidRPr="00095CC6">
        <w:rPr>
          <w:rFonts w:eastAsia="MS Mincho"/>
          <w:color w:val="000000" w:themeColor="text1"/>
          <w:lang w:val="en-GB"/>
        </w:rPr>
        <w:t xml:space="preserve"> the</w:t>
      </w:r>
      <w:r w:rsidR="00FD3F9A" w:rsidRPr="00095CC6">
        <w:rPr>
          <w:rFonts w:eastAsia="MS Mincho"/>
          <w:color w:val="000000" w:themeColor="text1"/>
          <w:lang w:val="en-GB"/>
        </w:rPr>
        <w:t>m</w:t>
      </w:r>
      <w:r w:rsidR="00C83D89" w:rsidRPr="00095CC6">
        <w:rPr>
          <w:rFonts w:eastAsia="MS Mincho"/>
          <w:color w:val="000000" w:themeColor="text1"/>
          <w:lang w:val="en-GB"/>
        </w:rPr>
        <w:t xml:space="preserve">. </w:t>
      </w:r>
    </w:p>
    <w:p w14:paraId="039FF9E5" w14:textId="31E39611" w:rsidR="00C83D89" w:rsidRPr="00095CC6" w:rsidRDefault="00916E6A" w:rsidP="00916E6A">
      <w:pPr>
        <w:pStyle w:val="CH2"/>
        <w:rPr>
          <w:lang w:val="en-GB"/>
        </w:rPr>
      </w:pPr>
      <w:r w:rsidRPr="00095CC6">
        <w:rPr>
          <w:lang w:val="en-GB"/>
        </w:rPr>
        <w:tab/>
        <w:t>B.</w:t>
      </w:r>
      <w:r w:rsidRPr="00095CC6">
        <w:rPr>
          <w:lang w:val="en-GB"/>
        </w:rPr>
        <w:tab/>
      </w:r>
      <w:r w:rsidR="00C83D89" w:rsidRPr="00095CC6">
        <w:rPr>
          <w:lang w:val="en-GB"/>
        </w:rPr>
        <w:t>Sustainable Infrastructure Partnership</w:t>
      </w:r>
    </w:p>
    <w:p w14:paraId="2B426FA1" w14:textId="7DC4C535" w:rsidR="00C83D89" w:rsidRPr="00095CC6" w:rsidRDefault="00C83D89" w:rsidP="00C83D89">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lang w:val="en-GB"/>
        </w:rPr>
      </w:pPr>
      <w:r w:rsidRPr="00095CC6">
        <w:rPr>
          <w:rFonts w:eastAsia="MS Mincho"/>
          <w:color w:val="000000" w:themeColor="text1"/>
          <w:lang w:val="en-GB"/>
        </w:rPr>
        <w:t xml:space="preserve">UNEP is working to address these gaps through the </w:t>
      </w:r>
      <w:hyperlink r:id="rId16" w:history="1">
        <w:r w:rsidRPr="00095CC6">
          <w:rPr>
            <w:rFonts w:eastAsia="MS Mincho"/>
            <w:color w:val="000000" w:themeColor="text1"/>
            <w:lang w:val="en-GB"/>
          </w:rPr>
          <w:t>Sustainable Infrastructure Partnership</w:t>
        </w:r>
      </w:hyperlink>
      <w:r w:rsidRPr="00095CC6">
        <w:rPr>
          <w:rFonts w:eastAsia="MS Mincho"/>
          <w:color w:val="000000" w:themeColor="text1"/>
          <w:lang w:val="en-GB"/>
        </w:rPr>
        <w:t xml:space="preserve">, a network of </w:t>
      </w:r>
      <w:r w:rsidR="00DA52A9" w:rsidRPr="00095CC6">
        <w:rPr>
          <w:rFonts w:eastAsia="MS Mincho"/>
          <w:color w:val="000000" w:themeColor="text1"/>
          <w:lang w:val="en-GB"/>
        </w:rPr>
        <w:t>more than</w:t>
      </w:r>
      <w:r w:rsidRPr="00095CC6">
        <w:rPr>
          <w:rFonts w:eastAsia="MS Mincho"/>
          <w:color w:val="000000" w:themeColor="text1"/>
          <w:lang w:val="en-GB"/>
        </w:rPr>
        <w:t xml:space="preserve"> 30 institutions </w:t>
      </w:r>
      <w:r w:rsidR="00DF1472" w:rsidRPr="00095CC6">
        <w:rPr>
          <w:rFonts w:eastAsia="MS Mincho"/>
          <w:color w:val="000000" w:themeColor="text1"/>
          <w:lang w:val="en-GB"/>
        </w:rPr>
        <w:t xml:space="preserve">including </w:t>
      </w:r>
      <w:r w:rsidR="00390B8B" w:rsidRPr="00095CC6">
        <w:rPr>
          <w:rFonts w:eastAsia="MS Mincho"/>
          <w:color w:val="000000" w:themeColor="text1"/>
          <w:lang w:val="en-GB"/>
        </w:rPr>
        <w:t>i</w:t>
      </w:r>
      <w:r w:rsidRPr="00095CC6">
        <w:rPr>
          <w:rFonts w:eastAsia="MS Mincho"/>
          <w:color w:val="000000" w:themeColor="text1"/>
          <w:lang w:val="en-GB"/>
        </w:rPr>
        <w:t xml:space="preserve">nternational </w:t>
      </w:r>
      <w:r w:rsidR="00390B8B" w:rsidRPr="00095CC6">
        <w:rPr>
          <w:rFonts w:eastAsia="MS Mincho"/>
          <w:color w:val="000000" w:themeColor="text1"/>
          <w:lang w:val="en-GB"/>
        </w:rPr>
        <w:t>o</w:t>
      </w:r>
      <w:r w:rsidRPr="00095CC6">
        <w:rPr>
          <w:rFonts w:eastAsia="MS Mincho"/>
          <w:color w:val="000000" w:themeColor="text1"/>
          <w:lang w:val="en-GB"/>
        </w:rPr>
        <w:t xml:space="preserve">rganizations, </w:t>
      </w:r>
      <w:r w:rsidR="00390B8B" w:rsidRPr="00095CC6">
        <w:rPr>
          <w:rFonts w:eastAsia="MS Mincho"/>
          <w:color w:val="000000" w:themeColor="text1"/>
          <w:lang w:val="en-GB"/>
        </w:rPr>
        <w:t>m</w:t>
      </w:r>
      <w:r w:rsidRPr="00095CC6">
        <w:rPr>
          <w:rFonts w:eastAsia="MS Mincho"/>
          <w:color w:val="000000" w:themeColor="text1"/>
          <w:lang w:val="en-GB"/>
        </w:rPr>
        <w:t xml:space="preserve">ultilateral </w:t>
      </w:r>
      <w:r w:rsidR="00390B8B" w:rsidRPr="00095CC6">
        <w:rPr>
          <w:rFonts w:eastAsia="MS Mincho"/>
          <w:color w:val="000000" w:themeColor="text1"/>
          <w:lang w:val="en-GB"/>
        </w:rPr>
        <w:t>d</w:t>
      </w:r>
      <w:r w:rsidRPr="00095CC6">
        <w:rPr>
          <w:rFonts w:eastAsia="MS Mincho"/>
          <w:color w:val="000000" w:themeColor="text1"/>
          <w:lang w:val="en-GB"/>
        </w:rPr>
        <w:t xml:space="preserve">evelopment </w:t>
      </w:r>
      <w:r w:rsidR="00390B8B" w:rsidRPr="00095CC6">
        <w:rPr>
          <w:rFonts w:eastAsia="MS Mincho"/>
          <w:color w:val="000000" w:themeColor="text1"/>
          <w:lang w:val="en-GB"/>
        </w:rPr>
        <w:t>b</w:t>
      </w:r>
      <w:r w:rsidRPr="00095CC6">
        <w:rPr>
          <w:rFonts w:eastAsia="MS Mincho"/>
          <w:color w:val="000000" w:themeColor="text1"/>
          <w:lang w:val="en-GB"/>
        </w:rPr>
        <w:t xml:space="preserve">anks, </w:t>
      </w:r>
      <w:r w:rsidR="00390B8B" w:rsidRPr="00095CC6">
        <w:rPr>
          <w:rFonts w:eastAsia="MS Mincho"/>
          <w:color w:val="000000" w:themeColor="text1"/>
          <w:lang w:val="en-GB"/>
        </w:rPr>
        <w:t>n</w:t>
      </w:r>
      <w:r w:rsidRPr="00095CC6">
        <w:rPr>
          <w:rFonts w:eastAsia="MS Mincho"/>
          <w:color w:val="000000" w:themeColor="text1"/>
          <w:lang w:val="en-GB"/>
        </w:rPr>
        <w:t>on-</w:t>
      </w:r>
      <w:r w:rsidR="00390B8B" w:rsidRPr="00095CC6">
        <w:rPr>
          <w:rFonts w:eastAsia="MS Mincho"/>
          <w:color w:val="000000" w:themeColor="text1"/>
          <w:lang w:val="en-GB"/>
        </w:rPr>
        <w:t>g</w:t>
      </w:r>
      <w:r w:rsidRPr="00095CC6">
        <w:rPr>
          <w:rFonts w:eastAsia="MS Mincho"/>
          <w:color w:val="000000" w:themeColor="text1"/>
          <w:lang w:val="en-GB"/>
        </w:rPr>
        <w:t xml:space="preserve">overnmental </w:t>
      </w:r>
      <w:r w:rsidR="00390B8B" w:rsidRPr="00095CC6">
        <w:rPr>
          <w:rFonts w:eastAsia="MS Mincho"/>
          <w:color w:val="000000" w:themeColor="text1"/>
          <w:lang w:val="en-GB"/>
        </w:rPr>
        <w:t>o</w:t>
      </w:r>
      <w:r w:rsidRPr="00095CC6">
        <w:rPr>
          <w:rFonts w:eastAsia="MS Mincho"/>
          <w:color w:val="000000" w:themeColor="text1"/>
          <w:lang w:val="en-GB"/>
        </w:rPr>
        <w:t>rganizations, think tanks, academi</w:t>
      </w:r>
      <w:r w:rsidR="0006047E" w:rsidRPr="00095CC6">
        <w:rPr>
          <w:rFonts w:eastAsia="MS Mincho"/>
          <w:color w:val="000000" w:themeColor="text1"/>
          <w:lang w:val="en-GB"/>
        </w:rPr>
        <w:t>cs</w:t>
      </w:r>
      <w:r w:rsidRPr="00095CC6">
        <w:rPr>
          <w:rFonts w:eastAsia="MS Mincho"/>
          <w:color w:val="000000" w:themeColor="text1"/>
          <w:lang w:val="en-GB"/>
        </w:rPr>
        <w:t xml:space="preserve">, professional associations and government. The </w:t>
      </w:r>
      <w:r w:rsidR="00474064" w:rsidRPr="00095CC6">
        <w:rPr>
          <w:rFonts w:eastAsia="MS Mincho"/>
          <w:color w:val="000000" w:themeColor="text1"/>
          <w:lang w:val="en-GB"/>
        </w:rPr>
        <w:t>Partnership</w:t>
      </w:r>
      <w:r w:rsidRPr="00095CC6">
        <w:rPr>
          <w:rFonts w:eastAsia="MS Mincho"/>
          <w:color w:val="000000" w:themeColor="text1"/>
          <w:lang w:val="en-GB"/>
        </w:rPr>
        <w:t xml:space="preserve"> works to </w:t>
      </w:r>
      <w:r w:rsidR="00532011" w:rsidRPr="00095CC6">
        <w:rPr>
          <w:rFonts w:eastAsia="MS Mincho"/>
          <w:color w:val="000000" w:themeColor="text1"/>
          <w:lang w:val="en-GB"/>
        </w:rPr>
        <w:t>(a</w:t>
      </w:r>
      <w:r w:rsidRPr="00095CC6">
        <w:rPr>
          <w:rFonts w:eastAsia="MS Mincho"/>
          <w:color w:val="000000" w:themeColor="text1"/>
          <w:lang w:val="en-GB"/>
        </w:rPr>
        <w:t xml:space="preserve">) raise awareness </w:t>
      </w:r>
      <w:r w:rsidR="00DA52A9" w:rsidRPr="00095CC6">
        <w:rPr>
          <w:rFonts w:eastAsia="MS Mincho"/>
          <w:color w:val="000000" w:themeColor="text1"/>
          <w:lang w:val="en-GB"/>
        </w:rPr>
        <w:t>of</w:t>
      </w:r>
      <w:r w:rsidRPr="00095CC6">
        <w:rPr>
          <w:rFonts w:eastAsia="MS Mincho"/>
          <w:color w:val="000000" w:themeColor="text1"/>
          <w:lang w:val="en-GB"/>
        </w:rPr>
        <w:t xml:space="preserve"> the importance of infrastructure for sustainable development</w:t>
      </w:r>
      <w:r w:rsidR="00B3519A" w:rsidRPr="00095CC6">
        <w:rPr>
          <w:rFonts w:eastAsia="MS Mincho"/>
          <w:color w:val="000000" w:themeColor="text1"/>
          <w:lang w:val="en-GB"/>
        </w:rPr>
        <w:t>;</w:t>
      </w:r>
      <w:r w:rsidRPr="00095CC6">
        <w:rPr>
          <w:rFonts w:eastAsia="MS Mincho"/>
          <w:color w:val="000000" w:themeColor="text1"/>
          <w:lang w:val="en-GB"/>
        </w:rPr>
        <w:t xml:space="preserve"> </w:t>
      </w:r>
      <w:r w:rsidR="00532011" w:rsidRPr="00095CC6">
        <w:rPr>
          <w:rFonts w:eastAsia="MS Mincho"/>
          <w:color w:val="000000" w:themeColor="text1"/>
          <w:lang w:val="en-GB"/>
        </w:rPr>
        <w:t>(b</w:t>
      </w:r>
      <w:r w:rsidRPr="00095CC6">
        <w:rPr>
          <w:rFonts w:eastAsia="MS Mincho"/>
          <w:color w:val="000000" w:themeColor="text1"/>
          <w:lang w:val="en-GB"/>
        </w:rPr>
        <w:t>) promote existing</w:t>
      </w:r>
      <w:r w:rsidR="002146C0" w:rsidRPr="00095CC6">
        <w:rPr>
          <w:rFonts w:eastAsia="MS Mincho"/>
          <w:color w:val="000000" w:themeColor="text1"/>
          <w:lang w:val="en-GB"/>
        </w:rPr>
        <w:t xml:space="preserve"> </w:t>
      </w:r>
      <w:r w:rsidRPr="00095CC6">
        <w:rPr>
          <w:rFonts w:eastAsia="MS Mincho"/>
          <w:color w:val="000000" w:themeColor="text1"/>
          <w:lang w:val="en-GB"/>
        </w:rPr>
        <w:t>and develop new</w:t>
      </w:r>
      <w:r w:rsidR="002146C0" w:rsidRPr="00095CC6">
        <w:rPr>
          <w:rFonts w:eastAsia="MS Mincho"/>
          <w:color w:val="000000" w:themeColor="text1"/>
          <w:lang w:val="en-GB"/>
        </w:rPr>
        <w:t xml:space="preserve"> </w:t>
      </w:r>
      <w:r w:rsidRPr="00095CC6">
        <w:rPr>
          <w:rFonts w:eastAsia="MS Mincho"/>
          <w:color w:val="000000" w:themeColor="text1"/>
          <w:lang w:val="en-GB"/>
        </w:rPr>
        <w:t>guidance, knowledge and tools related to integrated approaches to sustainable infrastructure</w:t>
      </w:r>
      <w:r w:rsidR="00B3519A" w:rsidRPr="00095CC6">
        <w:rPr>
          <w:rFonts w:eastAsia="MS Mincho"/>
          <w:color w:val="000000" w:themeColor="text1"/>
          <w:lang w:val="en-GB"/>
        </w:rPr>
        <w:t>;</w:t>
      </w:r>
      <w:r w:rsidRPr="00095CC6">
        <w:rPr>
          <w:rFonts w:eastAsia="MS Mincho"/>
          <w:color w:val="000000" w:themeColor="text1"/>
          <w:lang w:val="en-GB"/>
        </w:rPr>
        <w:t xml:space="preserve"> and </w:t>
      </w:r>
      <w:r w:rsidR="0006047E" w:rsidRPr="00095CC6">
        <w:rPr>
          <w:rFonts w:eastAsia="MS Mincho"/>
          <w:color w:val="000000" w:themeColor="text1"/>
          <w:lang w:val="en-GB"/>
        </w:rPr>
        <w:t>(c</w:t>
      </w:r>
      <w:r w:rsidRPr="00095CC6">
        <w:rPr>
          <w:rFonts w:eastAsia="MS Mincho"/>
          <w:color w:val="000000" w:themeColor="text1"/>
          <w:lang w:val="en-GB"/>
        </w:rPr>
        <w:t>) mobilize international support for strengthening countries’ technical and institutional capacity to adopt integrated approaches to sustainable infrastructure.</w:t>
      </w:r>
    </w:p>
    <w:p w14:paraId="2EC13820" w14:textId="3E0963D7" w:rsidR="00C83D89" w:rsidRPr="00095CC6" w:rsidRDefault="002A50DE" w:rsidP="00916E6A">
      <w:pPr>
        <w:pStyle w:val="CH2"/>
        <w:rPr>
          <w:lang w:val="en-GB"/>
        </w:rPr>
      </w:pPr>
      <w:r w:rsidRPr="00095CC6">
        <w:rPr>
          <w:lang w:val="en-GB"/>
        </w:rPr>
        <w:tab/>
        <w:t>C.</w:t>
      </w:r>
      <w:r w:rsidRPr="00095CC6">
        <w:rPr>
          <w:lang w:val="en-GB"/>
        </w:rPr>
        <w:tab/>
      </w:r>
      <w:r w:rsidR="00C83D89" w:rsidRPr="00095CC6">
        <w:rPr>
          <w:lang w:val="en-GB"/>
        </w:rPr>
        <w:t>Good Practice Guidance Framework for Sustainable Infrastructure</w:t>
      </w:r>
    </w:p>
    <w:p w14:paraId="4592E5C9" w14:textId="3F1421B6" w:rsidR="00C83D89" w:rsidRPr="00095CC6" w:rsidRDefault="00C83D89" w:rsidP="00C83D89">
      <w:pPr>
        <w:pStyle w:val="Normalnumber"/>
        <w:numPr>
          <w:ilvl w:val="0"/>
          <w:numId w:val="14"/>
        </w:numPr>
        <w:tabs>
          <w:tab w:val="clear" w:pos="1814"/>
          <w:tab w:val="clear" w:pos="2381"/>
          <w:tab w:val="clear" w:pos="2948"/>
          <w:tab w:val="clear" w:pos="3515"/>
          <w:tab w:val="clear" w:pos="4082"/>
          <w:tab w:val="left" w:pos="624"/>
        </w:tabs>
        <w:ind w:left="1247" w:firstLine="0"/>
        <w:rPr>
          <w:color w:val="000000" w:themeColor="text1"/>
          <w:lang w:val="en-GB"/>
        </w:rPr>
      </w:pPr>
      <w:r w:rsidRPr="00095CC6">
        <w:rPr>
          <w:lang w:val="en-GB"/>
        </w:rPr>
        <w:t xml:space="preserve">With </w:t>
      </w:r>
      <w:r w:rsidRPr="00095CC6">
        <w:rPr>
          <w:color w:val="000000" w:themeColor="text1"/>
          <w:lang w:val="en-GB"/>
        </w:rPr>
        <w:t>financial</w:t>
      </w:r>
      <w:r w:rsidRPr="00095CC6">
        <w:rPr>
          <w:lang w:val="en-GB"/>
        </w:rPr>
        <w:t xml:space="preserve"> support from the Global Environment Facility, UNEP is leading an </w:t>
      </w:r>
      <w:r w:rsidR="00474064" w:rsidRPr="00095CC6">
        <w:rPr>
          <w:lang w:val="en-GB"/>
        </w:rPr>
        <w:t>e</w:t>
      </w:r>
      <w:r w:rsidRPr="00095CC6">
        <w:rPr>
          <w:lang w:val="en-GB"/>
        </w:rPr>
        <w:t xml:space="preserve">xpert </w:t>
      </w:r>
      <w:r w:rsidR="00474064" w:rsidRPr="00095CC6">
        <w:rPr>
          <w:lang w:val="en-GB"/>
        </w:rPr>
        <w:t>w</w:t>
      </w:r>
      <w:r w:rsidRPr="00095CC6">
        <w:rPr>
          <w:lang w:val="en-GB"/>
        </w:rPr>
        <w:t xml:space="preserve">orking </w:t>
      </w:r>
      <w:r w:rsidR="00474064" w:rsidRPr="00095CC6">
        <w:rPr>
          <w:lang w:val="en-GB"/>
        </w:rPr>
        <w:t>g</w:t>
      </w:r>
      <w:r w:rsidRPr="00095CC6">
        <w:rPr>
          <w:lang w:val="en-GB"/>
        </w:rPr>
        <w:t xml:space="preserve">roup of </w:t>
      </w:r>
      <w:r w:rsidR="00474064" w:rsidRPr="00095CC6">
        <w:rPr>
          <w:rFonts w:eastAsia="MS Mincho"/>
          <w:color w:val="000000" w:themeColor="text1"/>
          <w:lang w:val="en-GB"/>
        </w:rPr>
        <w:t>Sustainable Infrastructure Partnership</w:t>
      </w:r>
      <w:r w:rsidRPr="00095CC6">
        <w:rPr>
          <w:lang w:val="en-GB"/>
        </w:rPr>
        <w:t xml:space="preserve"> members to address the gaps identified in the </w:t>
      </w:r>
      <w:r w:rsidRPr="00095CC6">
        <w:rPr>
          <w:i/>
          <w:iCs/>
          <w:lang w:val="en-GB"/>
        </w:rPr>
        <w:t xml:space="preserve">Integrated Approaches to Sustainable Infrastructure </w:t>
      </w:r>
      <w:r w:rsidRPr="00095CC6">
        <w:rPr>
          <w:lang w:val="en-GB"/>
        </w:rPr>
        <w:t xml:space="preserve">report by developing a </w:t>
      </w:r>
      <w:r w:rsidRPr="00095CC6">
        <w:rPr>
          <w:rFonts w:eastAsia="Arial"/>
          <w:lang w:val="en-GB"/>
        </w:rPr>
        <w:t>consolidated, streamlined and internationally applicable Good Practice Guidance Framework for Sustainable Infrastructure</w:t>
      </w:r>
      <w:r w:rsidRPr="00095CC6">
        <w:rPr>
          <w:rFonts w:eastAsia="Arial"/>
          <w:i/>
          <w:iCs/>
          <w:lang w:val="en-GB"/>
        </w:rPr>
        <w:t xml:space="preserve"> </w:t>
      </w:r>
      <w:r w:rsidRPr="00095CC6">
        <w:rPr>
          <w:rFonts w:eastAsia="Arial"/>
          <w:lang w:val="en-GB"/>
        </w:rPr>
        <w:t>for high-level decision</w:t>
      </w:r>
      <w:r w:rsidR="00474064" w:rsidRPr="00095CC6">
        <w:rPr>
          <w:rFonts w:eastAsia="Arial"/>
          <w:lang w:val="en-GB"/>
        </w:rPr>
        <w:t xml:space="preserve"> </w:t>
      </w:r>
      <w:r w:rsidRPr="00095CC6">
        <w:rPr>
          <w:rFonts w:eastAsia="Arial"/>
          <w:lang w:val="en-GB"/>
        </w:rPr>
        <w:t xml:space="preserve">makers in government. The </w:t>
      </w:r>
      <w:r w:rsidR="00474064" w:rsidRPr="00095CC6">
        <w:rPr>
          <w:rFonts w:eastAsia="Arial"/>
          <w:lang w:val="en-GB"/>
        </w:rPr>
        <w:t xml:space="preserve">Framework </w:t>
      </w:r>
      <w:r w:rsidRPr="00095CC6">
        <w:rPr>
          <w:rFonts w:eastAsia="Arial"/>
          <w:lang w:val="en-GB"/>
        </w:rPr>
        <w:t>consists of 10 principles that underpin needs-based, systems-level integrated approaches to sustainable infrastructure planning and development</w:t>
      </w:r>
      <w:r w:rsidR="00474064" w:rsidRPr="00095CC6">
        <w:rPr>
          <w:rFonts w:eastAsia="Arial"/>
          <w:lang w:val="en-GB"/>
        </w:rPr>
        <w:t>,</w:t>
      </w:r>
      <w:r w:rsidRPr="00095CC6">
        <w:rPr>
          <w:rFonts w:eastAsia="Arial"/>
          <w:lang w:val="en-GB"/>
        </w:rPr>
        <w:t xml:space="preserve"> and it will be </w:t>
      </w:r>
      <w:r w:rsidRPr="00095CC6">
        <w:rPr>
          <w:color w:val="000000" w:themeColor="text1"/>
          <w:lang w:val="en-GB"/>
        </w:rPr>
        <w:t>launched</w:t>
      </w:r>
      <w:r w:rsidRPr="00095CC6">
        <w:rPr>
          <w:rFonts w:eastAsia="Arial"/>
          <w:lang w:val="en-GB"/>
        </w:rPr>
        <w:t xml:space="preserve"> at </w:t>
      </w:r>
      <w:r w:rsidR="008B51E0" w:rsidRPr="00095CC6">
        <w:rPr>
          <w:rFonts w:eastAsia="Arial"/>
          <w:lang w:val="en-GB"/>
        </w:rPr>
        <w:t xml:space="preserve">the </w:t>
      </w:r>
      <w:r w:rsidRPr="00095CC6">
        <w:rPr>
          <w:rFonts w:eastAsia="Arial"/>
          <w:lang w:val="en-GB"/>
        </w:rPr>
        <w:t xml:space="preserve">fifth </w:t>
      </w:r>
      <w:r w:rsidR="008B51E0" w:rsidRPr="00095CC6">
        <w:rPr>
          <w:rFonts w:eastAsia="Arial"/>
          <w:lang w:val="en-GB"/>
        </w:rPr>
        <w:t>session of the</w:t>
      </w:r>
      <w:r w:rsidR="0044180F" w:rsidRPr="00095CC6">
        <w:rPr>
          <w:rFonts w:eastAsia="Arial"/>
          <w:lang w:val="en-GB"/>
        </w:rPr>
        <w:t xml:space="preserve"> </w:t>
      </w:r>
      <w:r w:rsidR="008B51E0" w:rsidRPr="00095CC6">
        <w:rPr>
          <w:rFonts w:eastAsia="Arial"/>
          <w:lang w:val="en-GB"/>
        </w:rPr>
        <w:t>Environment Assembly</w:t>
      </w:r>
      <w:r w:rsidRPr="00095CC6">
        <w:rPr>
          <w:rFonts w:eastAsia="Arial"/>
          <w:lang w:val="en-GB"/>
        </w:rPr>
        <w:t>.</w:t>
      </w:r>
      <w:r w:rsidRPr="00095CC6">
        <w:rPr>
          <w:color w:val="000000" w:themeColor="text1"/>
          <w:lang w:val="en-GB"/>
        </w:rPr>
        <w:t xml:space="preserve"> </w:t>
      </w:r>
    </w:p>
    <w:p w14:paraId="2F8638C5" w14:textId="544608F9" w:rsidR="00C83D89" w:rsidRPr="00095CC6" w:rsidRDefault="00C83D89" w:rsidP="00C83D89">
      <w:pPr>
        <w:pStyle w:val="Normalnumber"/>
        <w:numPr>
          <w:ilvl w:val="0"/>
          <w:numId w:val="14"/>
        </w:numPr>
        <w:tabs>
          <w:tab w:val="clear" w:pos="1814"/>
          <w:tab w:val="clear" w:pos="2381"/>
          <w:tab w:val="clear" w:pos="2948"/>
          <w:tab w:val="clear" w:pos="3515"/>
          <w:tab w:val="clear" w:pos="4082"/>
          <w:tab w:val="left" w:pos="624"/>
        </w:tabs>
        <w:ind w:left="1247" w:firstLine="0"/>
        <w:rPr>
          <w:rFonts w:eastAsia="Arial"/>
          <w:lang w:val="en-GB"/>
        </w:rPr>
      </w:pPr>
      <w:r w:rsidRPr="00095CC6">
        <w:rPr>
          <w:rFonts w:eastAsia="Arial"/>
          <w:lang w:val="en-GB"/>
        </w:rPr>
        <w:t>A draft of the Guidance</w:t>
      </w:r>
      <w:r w:rsidR="00474064" w:rsidRPr="00095CC6">
        <w:rPr>
          <w:rFonts w:eastAsia="Arial"/>
          <w:lang w:val="en-GB"/>
        </w:rPr>
        <w:t xml:space="preserve"> Framework </w:t>
      </w:r>
      <w:r w:rsidRPr="00095CC6">
        <w:rPr>
          <w:rFonts w:eastAsia="Arial"/>
          <w:lang w:val="en-GB"/>
        </w:rPr>
        <w:t>was shared with international experts and Member States</w:t>
      </w:r>
      <w:r w:rsidR="00EB57B2" w:rsidRPr="00095CC6">
        <w:rPr>
          <w:rFonts w:eastAsia="Arial"/>
          <w:lang w:val="en-GB"/>
        </w:rPr>
        <w:t>,</w:t>
      </w:r>
      <w:r w:rsidRPr="00095CC6">
        <w:rPr>
          <w:rFonts w:eastAsia="Arial"/>
          <w:lang w:val="en-GB"/>
        </w:rPr>
        <w:t xml:space="preserve"> for review</w:t>
      </w:r>
      <w:r w:rsidR="00EB57B2" w:rsidRPr="00095CC6">
        <w:rPr>
          <w:rFonts w:eastAsia="Arial"/>
          <w:lang w:val="en-GB"/>
        </w:rPr>
        <w:t>,</w:t>
      </w:r>
      <w:r w:rsidRPr="00095CC6">
        <w:rPr>
          <w:rFonts w:eastAsia="Arial"/>
          <w:lang w:val="en-GB"/>
        </w:rPr>
        <w:t xml:space="preserve"> in May 2020. </w:t>
      </w:r>
      <w:r w:rsidRPr="00095CC6">
        <w:rPr>
          <w:rStyle w:val="FollowedHyperlink"/>
          <w:lang w:val="en-GB"/>
        </w:rPr>
        <w:t xml:space="preserve">The </w:t>
      </w:r>
      <w:hyperlink r:id="rId17" w:history="1">
        <w:r w:rsidRPr="00095CC6">
          <w:rPr>
            <w:rStyle w:val="FollowedHyperlink"/>
            <w:lang w:val="en-GB"/>
          </w:rPr>
          <w:t>peer review and stakeholder consultation process</w:t>
        </w:r>
      </w:hyperlink>
      <w:r w:rsidRPr="00095CC6">
        <w:rPr>
          <w:rStyle w:val="FollowedHyperlink"/>
          <w:lang w:val="en-GB"/>
        </w:rPr>
        <w:t>, supported</w:t>
      </w:r>
      <w:r w:rsidRPr="00095CC6">
        <w:rPr>
          <w:rFonts w:eastAsia="Arial"/>
          <w:lang w:val="en-GB"/>
        </w:rPr>
        <w:t xml:space="preserve"> financially by the Government of </w:t>
      </w:r>
      <w:r w:rsidRPr="00095CC6">
        <w:rPr>
          <w:color w:val="000000" w:themeColor="text1"/>
          <w:lang w:val="en-GB"/>
        </w:rPr>
        <w:t>Switzerland</w:t>
      </w:r>
      <w:r w:rsidRPr="00095CC6">
        <w:rPr>
          <w:rFonts w:eastAsia="Arial"/>
          <w:lang w:val="en-GB"/>
        </w:rPr>
        <w:t>, included seven online regional consultation meetings involving 72</w:t>
      </w:r>
      <w:r w:rsidR="004E4919" w:rsidRPr="00095CC6">
        <w:rPr>
          <w:rFonts w:eastAsia="Arial"/>
          <w:lang w:val="en-GB"/>
        </w:rPr>
        <w:t> </w:t>
      </w:r>
      <w:r w:rsidRPr="00095CC6">
        <w:rPr>
          <w:rFonts w:eastAsia="Arial"/>
          <w:lang w:val="en-GB"/>
        </w:rPr>
        <w:t>countries</w:t>
      </w:r>
      <w:r w:rsidR="00D7205F" w:rsidRPr="00095CC6">
        <w:rPr>
          <w:rFonts w:eastAsia="Arial"/>
          <w:lang w:val="en-GB"/>
        </w:rPr>
        <w:t>,</w:t>
      </w:r>
      <w:r w:rsidRPr="00095CC6">
        <w:rPr>
          <w:rFonts w:eastAsia="Arial"/>
          <w:lang w:val="en-GB"/>
        </w:rPr>
        <w:t xml:space="preserve"> as well as representatives from a wide array of multilateral organizations. The </w:t>
      </w:r>
      <w:r w:rsidR="00EB57B2" w:rsidRPr="00095CC6">
        <w:rPr>
          <w:rFonts w:eastAsia="Arial"/>
          <w:lang w:val="en-GB"/>
        </w:rPr>
        <w:t xml:space="preserve">aims of the </w:t>
      </w:r>
      <w:r w:rsidRPr="00095CC6">
        <w:rPr>
          <w:rFonts w:eastAsia="Arial"/>
          <w:lang w:val="en-GB"/>
        </w:rPr>
        <w:t xml:space="preserve">consultations </w:t>
      </w:r>
      <w:r w:rsidR="00EB57B2" w:rsidRPr="00095CC6">
        <w:rPr>
          <w:rFonts w:eastAsia="Arial"/>
          <w:lang w:val="en-GB"/>
        </w:rPr>
        <w:t>were</w:t>
      </w:r>
      <w:r w:rsidRPr="00095CC6">
        <w:rPr>
          <w:rFonts w:eastAsia="Arial"/>
          <w:lang w:val="en-GB"/>
        </w:rPr>
        <w:t xml:space="preserve"> to inform and </w:t>
      </w:r>
      <w:r w:rsidR="00D7205F" w:rsidRPr="00095CC6">
        <w:rPr>
          <w:rFonts w:eastAsia="Arial"/>
          <w:lang w:val="en-GB"/>
        </w:rPr>
        <w:t xml:space="preserve">to </w:t>
      </w:r>
      <w:r w:rsidRPr="00095CC6">
        <w:rPr>
          <w:rFonts w:eastAsia="Arial"/>
          <w:lang w:val="en-GB"/>
        </w:rPr>
        <w:t>collect feedback on the draft guidance</w:t>
      </w:r>
      <w:r w:rsidR="00EB57B2" w:rsidRPr="00095CC6">
        <w:rPr>
          <w:rFonts w:eastAsia="Arial"/>
          <w:lang w:val="en-GB"/>
        </w:rPr>
        <w:t>,</w:t>
      </w:r>
      <w:r w:rsidRPr="00095CC6">
        <w:rPr>
          <w:rFonts w:eastAsia="Arial"/>
          <w:lang w:val="en-GB"/>
        </w:rPr>
        <w:t xml:space="preserve"> </w:t>
      </w:r>
      <w:r w:rsidR="00EB57B2" w:rsidRPr="00095CC6">
        <w:rPr>
          <w:rFonts w:eastAsia="Arial"/>
          <w:lang w:val="en-GB"/>
        </w:rPr>
        <w:t xml:space="preserve">to </w:t>
      </w:r>
      <w:r w:rsidRPr="00095CC6">
        <w:rPr>
          <w:rFonts w:eastAsia="Arial"/>
          <w:lang w:val="en-GB"/>
        </w:rPr>
        <w:t xml:space="preserve">provide an </w:t>
      </w:r>
      <w:r w:rsidRPr="00095CC6">
        <w:rPr>
          <w:rFonts w:eastAsia="Arial"/>
          <w:lang w:val="en-GB"/>
        </w:rPr>
        <w:lastRenderedPageBreak/>
        <w:t>opportunity for countries to share their experiences with implementing resolution</w:t>
      </w:r>
      <w:r w:rsidR="002146C0" w:rsidRPr="00095CC6">
        <w:rPr>
          <w:rFonts w:eastAsia="Arial"/>
          <w:lang w:val="en-GB"/>
        </w:rPr>
        <w:t xml:space="preserve"> </w:t>
      </w:r>
      <w:r w:rsidR="0044180F" w:rsidRPr="00095CC6">
        <w:rPr>
          <w:rFonts w:eastAsia="Arial"/>
          <w:lang w:val="en-GB"/>
        </w:rPr>
        <w:t xml:space="preserve">4/5 </w:t>
      </w:r>
      <w:r w:rsidRPr="00095CC6">
        <w:rPr>
          <w:rFonts w:eastAsia="Arial"/>
          <w:lang w:val="en-GB"/>
        </w:rPr>
        <w:t xml:space="preserve">and </w:t>
      </w:r>
      <w:r w:rsidR="0044180F" w:rsidRPr="00095CC6">
        <w:rPr>
          <w:rFonts w:eastAsia="Arial"/>
          <w:lang w:val="en-GB"/>
        </w:rPr>
        <w:t>with</w:t>
      </w:r>
      <w:r w:rsidR="00EB57B2" w:rsidRPr="00095CC6">
        <w:rPr>
          <w:rFonts w:eastAsia="Arial"/>
          <w:lang w:val="en-GB"/>
        </w:rPr>
        <w:t xml:space="preserve"> </w:t>
      </w:r>
      <w:r w:rsidRPr="00095CC6">
        <w:rPr>
          <w:rFonts w:eastAsia="Arial"/>
          <w:lang w:val="en-GB"/>
        </w:rPr>
        <w:t>sustainable infrastructure in general</w:t>
      </w:r>
      <w:r w:rsidR="00EB57B2" w:rsidRPr="00095CC6">
        <w:rPr>
          <w:rFonts w:eastAsia="Arial"/>
          <w:lang w:val="en-GB"/>
        </w:rPr>
        <w:t>,</w:t>
      </w:r>
      <w:r w:rsidRPr="00095CC6">
        <w:rPr>
          <w:rFonts w:eastAsia="Arial"/>
          <w:lang w:val="en-GB"/>
        </w:rPr>
        <w:t xml:space="preserve"> and </w:t>
      </w:r>
      <w:r w:rsidR="00EB57B2" w:rsidRPr="00095CC6">
        <w:rPr>
          <w:rFonts w:eastAsia="Arial"/>
          <w:lang w:val="en-GB"/>
        </w:rPr>
        <w:t xml:space="preserve">to </w:t>
      </w:r>
      <w:r w:rsidRPr="00095CC6">
        <w:rPr>
          <w:rFonts w:eastAsia="Arial"/>
          <w:lang w:val="en-GB"/>
        </w:rPr>
        <w:t xml:space="preserve">discuss activities for ongoing implementation of the resolution and </w:t>
      </w:r>
      <w:r w:rsidR="00EB57B2" w:rsidRPr="00095CC6">
        <w:rPr>
          <w:rFonts w:eastAsia="Arial"/>
          <w:lang w:val="en-GB"/>
        </w:rPr>
        <w:t xml:space="preserve">for </w:t>
      </w:r>
      <w:r w:rsidRPr="00095CC6">
        <w:rPr>
          <w:rFonts w:eastAsia="Arial"/>
          <w:lang w:val="en-GB"/>
        </w:rPr>
        <w:t xml:space="preserve">potential follow-up at </w:t>
      </w:r>
      <w:r w:rsidR="008B51E0" w:rsidRPr="00095CC6">
        <w:rPr>
          <w:rFonts w:eastAsia="Arial"/>
          <w:lang w:val="en-GB"/>
        </w:rPr>
        <w:t>the fifth session of the</w:t>
      </w:r>
      <w:r w:rsidR="009777AA" w:rsidRPr="00095CC6">
        <w:rPr>
          <w:rFonts w:eastAsia="Arial"/>
          <w:lang w:val="en-GB"/>
        </w:rPr>
        <w:t xml:space="preserve"> </w:t>
      </w:r>
      <w:r w:rsidR="008B51E0" w:rsidRPr="00095CC6">
        <w:rPr>
          <w:rFonts w:eastAsia="Arial"/>
          <w:lang w:val="en-GB"/>
        </w:rPr>
        <w:t>Environment Assembly</w:t>
      </w:r>
      <w:r w:rsidRPr="00095CC6">
        <w:rPr>
          <w:rFonts w:eastAsia="Arial"/>
          <w:lang w:val="en-GB"/>
        </w:rPr>
        <w:t xml:space="preserve">. The consultations were supplemented by a questionnaire, which </w:t>
      </w:r>
      <w:r w:rsidR="0044180F" w:rsidRPr="00095CC6">
        <w:rPr>
          <w:rFonts w:eastAsia="Arial"/>
          <w:lang w:val="en-GB"/>
        </w:rPr>
        <w:t xml:space="preserve">generated </w:t>
      </w:r>
      <w:r w:rsidRPr="00095CC6">
        <w:rPr>
          <w:rFonts w:eastAsia="Arial"/>
          <w:lang w:val="en-GB"/>
        </w:rPr>
        <w:t xml:space="preserve">62 responses from 39 countries, and peer review of the draft </w:t>
      </w:r>
      <w:r w:rsidR="00EB57B2" w:rsidRPr="00095CC6">
        <w:rPr>
          <w:rFonts w:eastAsia="Arial"/>
          <w:lang w:val="en-GB"/>
        </w:rPr>
        <w:t>g</w:t>
      </w:r>
      <w:r w:rsidRPr="00095CC6">
        <w:rPr>
          <w:rFonts w:eastAsia="Arial"/>
          <w:lang w:val="en-GB"/>
        </w:rPr>
        <w:t>uidance by 32 international experts.</w:t>
      </w:r>
    </w:p>
    <w:p w14:paraId="4B3CB4DC" w14:textId="7A22878A" w:rsidR="00C83D89" w:rsidRPr="00095CC6" w:rsidRDefault="00C83D89" w:rsidP="00C83D89">
      <w:pPr>
        <w:pStyle w:val="Normalnumber"/>
        <w:numPr>
          <w:ilvl w:val="0"/>
          <w:numId w:val="14"/>
        </w:numPr>
        <w:tabs>
          <w:tab w:val="clear" w:pos="1814"/>
          <w:tab w:val="clear" w:pos="2381"/>
          <w:tab w:val="clear" w:pos="2948"/>
          <w:tab w:val="clear" w:pos="3515"/>
          <w:tab w:val="clear" w:pos="4082"/>
          <w:tab w:val="left" w:pos="624"/>
        </w:tabs>
        <w:ind w:left="1247" w:firstLine="0"/>
        <w:rPr>
          <w:color w:val="000000" w:themeColor="text1"/>
          <w:lang w:val="en-GB"/>
        </w:rPr>
      </w:pPr>
      <w:r w:rsidRPr="00095CC6">
        <w:rPr>
          <w:rFonts w:eastAsia="Arial"/>
          <w:lang w:val="en-GB"/>
        </w:rPr>
        <w:t>The Good Practice Guidance</w:t>
      </w:r>
      <w:r w:rsidR="00EB57B2" w:rsidRPr="00095CC6">
        <w:rPr>
          <w:rFonts w:eastAsia="Arial"/>
          <w:lang w:val="en-GB"/>
        </w:rPr>
        <w:t xml:space="preserve"> Framework for Sustainable Infrastructure</w:t>
      </w:r>
      <w:r w:rsidRPr="00095CC6">
        <w:rPr>
          <w:rFonts w:eastAsia="Arial"/>
          <w:i/>
          <w:iCs/>
          <w:lang w:val="en-GB"/>
        </w:rPr>
        <w:t xml:space="preserve"> </w:t>
      </w:r>
      <w:r w:rsidRPr="00095CC6">
        <w:rPr>
          <w:rFonts w:eastAsia="Arial"/>
          <w:lang w:val="en-GB"/>
        </w:rPr>
        <w:t xml:space="preserve">is complemented by two additional outputs. The first is a collection of case studies based on Member States’ experiences in implementing sustainable infrastructure. With financial support from the Government </w:t>
      </w:r>
      <w:r w:rsidR="006F6EDC" w:rsidRPr="00095CC6">
        <w:rPr>
          <w:rFonts w:eastAsia="Arial"/>
          <w:lang w:val="en-GB"/>
        </w:rPr>
        <w:t xml:space="preserve">of Switzerland </w:t>
      </w:r>
      <w:r w:rsidRPr="00095CC6">
        <w:rPr>
          <w:rFonts w:eastAsia="Arial"/>
          <w:lang w:val="en-GB"/>
        </w:rPr>
        <w:t xml:space="preserve">and the Partnership for Action on Green </w:t>
      </w:r>
      <w:r w:rsidR="006F6EDC" w:rsidRPr="00095CC6">
        <w:rPr>
          <w:rFonts w:eastAsia="Arial"/>
          <w:lang w:val="en-GB"/>
        </w:rPr>
        <w:t>E</w:t>
      </w:r>
      <w:r w:rsidRPr="00095CC6">
        <w:rPr>
          <w:rFonts w:eastAsia="Arial"/>
          <w:lang w:val="en-GB"/>
        </w:rPr>
        <w:t xml:space="preserve">conomy, and developed in cooperation with partners from the </w:t>
      </w:r>
      <w:r w:rsidR="006F6EDC" w:rsidRPr="00095CC6">
        <w:rPr>
          <w:rFonts w:eastAsia="Arial"/>
          <w:lang w:val="en-GB"/>
        </w:rPr>
        <w:t>Sustainable Infrastructure Partnership</w:t>
      </w:r>
      <w:r w:rsidRPr="00095CC6">
        <w:rPr>
          <w:rFonts w:eastAsia="Arial"/>
          <w:lang w:val="en-GB"/>
        </w:rPr>
        <w:t xml:space="preserve">, the publication will feature case studies from </w:t>
      </w:r>
      <w:r w:rsidR="006F6EDC" w:rsidRPr="00095CC6">
        <w:rPr>
          <w:rFonts w:eastAsia="Arial"/>
          <w:lang w:val="en-GB"/>
        </w:rPr>
        <w:t xml:space="preserve">10 </w:t>
      </w:r>
      <w:r w:rsidRPr="00095CC6">
        <w:rPr>
          <w:rFonts w:eastAsia="Arial"/>
          <w:lang w:val="en-GB"/>
        </w:rPr>
        <w:t>different countries (</w:t>
      </w:r>
      <w:r w:rsidRPr="00095CC6">
        <w:rPr>
          <w:color w:val="000000" w:themeColor="text1"/>
          <w:lang w:val="en-GB"/>
        </w:rPr>
        <w:t>Afghanistan</w:t>
      </w:r>
      <w:r w:rsidRPr="00095CC6">
        <w:rPr>
          <w:rFonts w:eastAsia="Arial"/>
          <w:lang w:val="en-GB"/>
        </w:rPr>
        <w:t>, Austria, Chile, Ecuador, Iran</w:t>
      </w:r>
      <w:r w:rsidR="00291D38" w:rsidRPr="00095CC6">
        <w:rPr>
          <w:rFonts w:eastAsia="Arial"/>
          <w:lang w:val="en-GB"/>
        </w:rPr>
        <w:t xml:space="preserve"> (Islamic Republic of)</w:t>
      </w:r>
      <w:r w:rsidRPr="00095CC6">
        <w:rPr>
          <w:rFonts w:eastAsia="Arial"/>
          <w:lang w:val="en-GB"/>
        </w:rPr>
        <w:t>, Malawi, Mongolia, Saint Lucia, Singapore and Zimbabwe</w:t>
      </w:r>
      <w:r w:rsidR="00291D38" w:rsidRPr="00095CC6">
        <w:rPr>
          <w:rFonts w:eastAsia="Arial"/>
          <w:lang w:val="en-GB"/>
        </w:rPr>
        <w:t>)</w:t>
      </w:r>
      <w:r w:rsidRPr="00095CC6">
        <w:rPr>
          <w:rFonts w:eastAsia="Arial"/>
          <w:lang w:val="en-GB"/>
        </w:rPr>
        <w:t xml:space="preserve"> for each of the </w:t>
      </w:r>
      <w:r w:rsidR="006F6EDC" w:rsidRPr="00095CC6">
        <w:rPr>
          <w:rFonts w:eastAsia="Arial"/>
          <w:lang w:val="en-GB"/>
        </w:rPr>
        <w:t xml:space="preserve">10 </w:t>
      </w:r>
      <w:r w:rsidRPr="00095CC6">
        <w:rPr>
          <w:rFonts w:eastAsia="Arial"/>
          <w:lang w:val="en-GB"/>
        </w:rPr>
        <w:t>principles in the</w:t>
      </w:r>
      <w:r w:rsidR="006F6EDC" w:rsidRPr="00095CC6">
        <w:rPr>
          <w:rFonts w:eastAsia="Arial"/>
          <w:lang w:val="en-GB"/>
        </w:rPr>
        <w:t xml:space="preserve"> Frame</w:t>
      </w:r>
      <w:r w:rsidR="00291D38" w:rsidRPr="00095CC6">
        <w:rPr>
          <w:rFonts w:eastAsia="Arial"/>
          <w:lang w:val="en-GB"/>
        </w:rPr>
        <w:t>work</w:t>
      </w:r>
      <w:r w:rsidRPr="00095CC6">
        <w:rPr>
          <w:rFonts w:eastAsia="Arial"/>
          <w:lang w:val="en-GB"/>
        </w:rPr>
        <w:t xml:space="preserve">. The second complement is a knowledge hub based on the </w:t>
      </w:r>
      <w:r w:rsidR="009F5C56" w:rsidRPr="00095CC6">
        <w:rPr>
          <w:rFonts w:eastAsia="Arial"/>
          <w:lang w:val="en-GB"/>
        </w:rPr>
        <w:t>online</w:t>
      </w:r>
      <w:r w:rsidRPr="00095CC6">
        <w:rPr>
          <w:rFonts w:eastAsia="Arial"/>
          <w:lang w:val="en-GB"/>
        </w:rPr>
        <w:t xml:space="preserve"> </w:t>
      </w:r>
      <w:hyperlink r:id="rId18" w:history="1">
        <w:r w:rsidRPr="00095CC6">
          <w:rPr>
            <w:rFonts w:eastAsia="Arial"/>
            <w:lang w:val="en-GB"/>
          </w:rPr>
          <w:t>Sustainable Infrastructure Tool Navigator</w:t>
        </w:r>
      </w:hyperlink>
      <w:r w:rsidRPr="00095CC6">
        <w:rPr>
          <w:rFonts w:eastAsia="Arial"/>
          <w:lang w:val="en-GB"/>
        </w:rPr>
        <w:t xml:space="preserve"> created by the German </w:t>
      </w:r>
      <w:r w:rsidR="00291D38" w:rsidRPr="00095CC6">
        <w:rPr>
          <w:rFonts w:eastAsia="Arial"/>
          <w:lang w:val="en-GB"/>
        </w:rPr>
        <w:t xml:space="preserve">Agency </w:t>
      </w:r>
      <w:r w:rsidRPr="00095CC6">
        <w:rPr>
          <w:rFonts w:eastAsia="Arial"/>
          <w:lang w:val="en-GB"/>
        </w:rPr>
        <w:t xml:space="preserve">for International Cooperation (GIZ), </w:t>
      </w:r>
      <w:r w:rsidR="009777AA" w:rsidRPr="00095CC6">
        <w:rPr>
          <w:rFonts w:eastAsia="Arial"/>
          <w:lang w:val="en-GB"/>
        </w:rPr>
        <w:t xml:space="preserve">with </w:t>
      </w:r>
      <w:r w:rsidR="007341BD" w:rsidRPr="00095CC6">
        <w:rPr>
          <w:rFonts w:eastAsia="Arial"/>
          <w:lang w:val="en-GB"/>
        </w:rPr>
        <w:t>which</w:t>
      </w:r>
      <w:r w:rsidRPr="00095CC6">
        <w:rPr>
          <w:rFonts w:eastAsia="Arial"/>
          <w:lang w:val="en-GB"/>
        </w:rPr>
        <w:t xml:space="preserve"> UNEP has partnered to expand the </w:t>
      </w:r>
      <w:r w:rsidR="00291D38" w:rsidRPr="00095CC6">
        <w:rPr>
          <w:rFonts w:eastAsia="Arial"/>
          <w:lang w:val="en-GB"/>
        </w:rPr>
        <w:t>Navigator</w:t>
      </w:r>
      <w:r w:rsidR="007341BD" w:rsidRPr="00095CC6">
        <w:rPr>
          <w:rFonts w:eastAsia="Arial"/>
          <w:lang w:val="en-GB"/>
        </w:rPr>
        <w:t>’s scope</w:t>
      </w:r>
      <w:r w:rsidRPr="00095CC6">
        <w:rPr>
          <w:rFonts w:eastAsia="Arial"/>
          <w:lang w:val="en-GB"/>
        </w:rPr>
        <w:t xml:space="preserve">. </w:t>
      </w:r>
    </w:p>
    <w:p w14:paraId="72F326D9" w14:textId="11ABED19" w:rsidR="00C83D89" w:rsidRPr="00095CC6" w:rsidRDefault="002A50DE" w:rsidP="002A50DE">
      <w:pPr>
        <w:pStyle w:val="CH2"/>
        <w:rPr>
          <w:lang w:val="en-GB"/>
        </w:rPr>
      </w:pPr>
      <w:r w:rsidRPr="00095CC6">
        <w:rPr>
          <w:lang w:val="en-GB"/>
        </w:rPr>
        <w:tab/>
        <w:t>D.</w:t>
      </w:r>
      <w:r w:rsidRPr="00095CC6">
        <w:rPr>
          <w:lang w:val="en-GB"/>
        </w:rPr>
        <w:tab/>
      </w:r>
      <w:r w:rsidR="00C83D89" w:rsidRPr="00095CC6">
        <w:rPr>
          <w:lang w:val="en-GB"/>
        </w:rPr>
        <w:t xml:space="preserve">Knowledge </w:t>
      </w:r>
      <w:r w:rsidR="008E2841" w:rsidRPr="00095CC6">
        <w:rPr>
          <w:lang w:val="en-GB"/>
        </w:rPr>
        <w:t>g</w:t>
      </w:r>
      <w:r w:rsidR="00C83D89" w:rsidRPr="00095CC6">
        <w:rPr>
          <w:lang w:val="en-GB"/>
        </w:rPr>
        <w:t xml:space="preserve">eneration and </w:t>
      </w:r>
      <w:r w:rsidR="008E2841" w:rsidRPr="00095CC6">
        <w:rPr>
          <w:lang w:val="en-GB"/>
        </w:rPr>
        <w:t>e</w:t>
      </w:r>
      <w:r w:rsidR="00C83D89" w:rsidRPr="00095CC6">
        <w:rPr>
          <w:lang w:val="en-GB"/>
        </w:rPr>
        <w:t>xchange</w:t>
      </w:r>
    </w:p>
    <w:p w14:paraId="7526453F" w14:textId="19F40086" w:rsidR="00C83D89" w:rsidRPr="00095CC6" w:rsidRDefault="00C83D89" w:rsidP="00C83D89">
      <w:pPr>
        <w:pStyle w:val="Normalnumber"/>
        <w:numPr>
          <w:ilvl w:val="0"/>
          <w:numId w:val="14"/>
        </w:numPr>
        <w:tabs>
          <w:tab w:val="clear" w:pos="1814"/>
          <w:tab w:val="clear" w:pos="2381"/>
          <w:tab w:val="clear" w:pos="2948"/>
          <w:tab w:val="clear" w:pos="3515"/>
          <w:tab w:val="clear" w:pos="4082"/>
          <w:tab w:val="left" w:pos="624"/>
        </w:tabs>
        <w:ind w:left="1247" w:firstLine="0"/>
        <w:rPr>
          <w:lang w:val="en-GB"/>
        </w:rPr>
      </w:pPr>
      <w:r w:rsidRPr="00095CC6">
        <w:rPr>
          <w:lang w:val="en-GB"/>
        </w:rPr>
        <w:t xml:space="preserve">UNEP has collaborated with partners to host events and publish knowledge products </w:t>
      </w:r>
      <w:r w:rsidR="00683BB2" w:rsidRPr="00095CC6">
        <w:rPr>
          <w:lang w:val="en-GB"/>
        </w:rPr>
        <w:t>relating to</w:t>
      </w:r>
      <w:r w:rsidRPr="00095CC6">
        <w:rPr>
          <w:lang w:val="en-GB"/>
        </w:rPr>
        <w:t xml:space="preserve"> various aspects of </w:t>
      </w:r>
      <w:r w:rsidRPr="00095CC6">
        <w:rPr>
          <w:rFonts w:eastAsia="MS Mincho"/>
          <w:color w:val="000000" w:themeColor="text1"/>
          <w:lang w:val="en-GB"/>
        </w:rPr>
        <w:t>sustainable</w:t>
      </w:r>
      <w:r w:rsidRPr="00095CC6">
        <w:rPr>
          <w:lang w:val="en-GB"/>
        </w:rPr>
        <w:t xml:space="preserve"> infrastructure, including </w:t>
      </w:r>
      <w:hyperlink r:id="rId19">
        <w:r w:rsidRPr="00095CC6">
          <w:rPr>
            <w:rStyle w:val="Hyperlink"/>
            <w:lang w:val="en-GB"/>
          </w:rPr>
          <w:t>social inclusiveness</w:t>
        </w:r>
      </w:hyperlink>
      <w:r w:rsidRPr="00095CC6">
        <w:rPr>
          <w:rStyle w:val="Hyperlink"/>
          <w:lang w:val="en-GB"/>
        </w:rPr>
        <w:t>,</w:t>
      </w:r>
      <w:hyperlink r:id="rId20">
        <w:r w:rsidRPr="00095CC6">
          <w:rPr>
            <w:rStyle w:val="Hyperlink"/>
            <w:lang w:val="en-GB"/>
          </w:rPr>
          <w:t xml:space="preserve"> climate</w:t>
        </w:r>
      </w:hyperlink>
      <w:r w:rsidRPr="00095CC6">
        <w:rPr>
          <w:lang w:val="en-GB"/>
        </w:rPr>
        <w:t>,</w:t>
      </w:r>
      <w:hyperlink r:id="rId21">
        <w:r w:rsidRPr="00095CC6">
          <w:rPr>
            <w:rStyle w:val="Hyperlink"/>
            <w:lang w:val="en-GB"/>
          </w:rPr>
          <w:t xml:space="preserve"> biodiversity</w:t>
        </w:r>
      </w:hyperlink>
      <w:r w:rsidRPr="00095CC6">
        <w:rPr>
          <w:lang w:val="en-GB"/>
        </w:rPr>
        <w:t xml:space="preserve">, </w:t>
      </w:r>
      <w:hyperlink r:id="rId22">
        <w:r w:rsidRPr="00095CC6">
          <w:rPr>
            <w:rStyle w:val="Hyperlink"/>
            <w:lang w:val="en-GB"/>
          </w:rPr>
          <w:t>resource efficiency infrastructure</w:t>
        </w:r>
      </w:hyperlink>
      <w:r w:rsidRPr="00095CC6">
        <w:rPr>
          <w:lang w:val="en-GB"/>
        </w:rPr>
        <w:t xml:space="preserve">, sustainable public procurement, the role of the private sector, </w:t>
      </w:r>
      <w:r w:rsidR="009F5C56" w:rsidRPr="00095CC6">
        <w:rPr>
          <w:lang w:val="en-GB"/>
        </w:rPr>
        <w:t xml:space="preserve">the </w:t>
      </w:r>
      <w:r w:rsidRPr="00095CC6">
        <w:rPr>
          <w:lang w:val="en-GB"/>
        </w:rPr>
        <w:t>integrati</w:t>
      </w:r>
      <w:r w:rsidR="009F5C56" w:rsidRPr="00095CC6">
        <w:rPr>
          <w:lang w:val="en-GB"/>
        </w:rPr>
        <w:t>on of</w:t>
      </w:r>
      <w:r w:rsidRPr="00095CC6">
        <w:rPr>
          <w:lang w:val="en-GB"/>
        </w:rPr>
        <w:t xml:space="preserve"> green, blue and grey infrastructure, and</w:t>
      </w:r>
      <w:r w:rsidR="0044180F" w:rsidRPr="00095CC6">
        <w:rPr>
          <w:lang w:val="en-GB"/>
        </w:rPr>
        <w:t xml:space="preserve"> sustainable infrastructure’s role in a green </w:t>
      </w:r>
      <w:r w:rsidR="00095CC6">
        <w:rPr>
          <w:lang w:val="en-GB"/>
        </w:rPr>
        <w:t>post</w:t>
      </w:r>
      <w:r w:rsidR="00095CC6">
        <w:rPr>
          <w:lang w:val="en-GB"/>
        </w:rPr>
        <w:noBreakHyphen/>
        <w:t>COVID-19</w:t>
      </w:r>
      <w:r w:rsidR="0044180F" w:rsidRPr="00095CC6">
        <w:rPr>
          <w:lang w:val="en-GB"/>
        </w:rPr>
        <w:t xml:space="preserve"> recovery</w:t>
      </w:r>
      <w:r w:rsidRPr="00095CC6">
        <w:rPr>
          <w:lang w:val="en-GB"/>
        </w:rPr>
        <w:t xml:space="preserve">. At the cities level, UNEP has developed </w:t>
      </w:r>
      <w:r w:rsidR="00683BB2" w:rsidRPr="00095CC6">
        <w:rPr>
          <w:lang w:val="en-GB"/>
        </w:rPr>
        <w:t xml:space="preserve">Integrated </w:t>
      </w:r>
      <w:r w:rsidR="0044180F" w:rsidRPr="00095CC6">
        <w:rPr>
          <w:lang w:val="en-GB"/>
        </w:rPr>
        <w:t>Guidelines for Sustainable Neighbourhood</w:t>
      </w:r>
      <w:r w:rsidR="00683BB2" w:rsidRPr="00095CC6">
        <w:rPr>
          <w:lang w:val="en-GB"/>
        </w:rPr>
        <w:t xml:space="preserve"> Design</w:t>
      </w:r>
      <w:r w:rsidRPr="00095CC6">
        <w:rPr>
          <w:lang w:val="en-GB"/>
        </w:rPr>
        <w:t xml:space="preserve">, which turn the findings of the </w:t>
      </w:r>
      <w:r w:rsidRPr="00095CC6">
        <w:rPr>
          <w:color w:val="000000" w:themeColor="text1"/>
          <w:lang w:val="en-GB"/>
        </w:rPr>
        <w:t>International</w:t>
      </w:r>
      <w:r w:rsidRPr="00095CC6">
        <w:rPr>
          <w:lang w:val="en-GB"/>
        </w:rPr>
        <w:t xml:space="preserve"> Resource Panel</w:t>
      </w:r>
      <w:r w:rsidR="00750DF7" w:rsidRPr="00095CC6">
        <w:rPr>
          <w:lang w:val="en-GB"/>
        </w:rPr>
        <w:t>’s</w:t>
      </w:r>
      <w:r w:rsidRPr="00095CC6">
        <w:rPr>
          <w:lang w:val="en-GB"/>
        </w:rPr>
        <w:t xml:space="preserve"> </w:t>
      </w:r>
      <w:proofErr w:type="gramStart"/>
      <w:r w:rsidR="00750DF7" w:rsidRPr="00095CC6">
        <w:rPr>
          <w:i/>
          <w:iCs/>
          <w:lang w:val="en-GB"/>
        </w:rPr>
        <w:t>The</w:t>
      </w:r>
      <w:proofErr w:type="gramEnd"/>
      <w:r w:rsidR="0010497A" w:rsidRPr="00095CC6">
        <w:rPr>
          <w:i/>
          <w:iCs/>
          <w:lang w:val="en-GB"/>
        </w:rPr>
        <w:t> </w:t>
      </w:r>
      <w:r w:rsidRPr="00095CC6">
        <w:rPr>
          <w:i/>
          <w:iCs/>
          <w:lang w:val="en-GB"/>
        </w:rPr>
        <w:t>Weight of Cities</w:t>
      </w:r>
      <w:r w:rsidRPr="00095CC6">
        <w:rPr>
          <w:lang w:val="en-GB"/>
        </w:rPr>
        <w:t xml:space="preserve"> </w:t>
      </w:r>
      <w:r w:rsidR="00750DF7" w:rsidRPr="00095CC6">
        <w:rPr>
          <w:lang w:val="en-GB"/>
        </w:rPr>
        <w:t xml:space="preserve">report </w:t>
      </w:r>
      <w:r w:rsidRPr="00095CC6">
        <w:rPr>
          <w:lang w:val="en-GB"/>
        </w:rPr>
        <w:t>into guidance to harness the climate and resource</w:t>
      </w:r>
      <w:r w:rsidR="009F5C56" w:rsidRPr="00095CC6">
        <w:rPr>
          <w:lang w:val="en-GB"/>
        </w:rPr>
        <w:t xml:space="preserve"> </w:t>
      </w:r>
      <w:r w:rsidRPr="00095CC6">
        <w:rPr>
          <w:lang w:val="en-GB"/>
        </w:rPr>
        <w:t xml:space="preserve">reduction potentials. </w:t>
      </w:r>
    </w:p>
    <w:p w14:paraId="583B69D0" w14:textId="7158C3A3" w:rsidR="00C83D89" w:rsidRPr="00095CC6" w:rsidRDefault="002A50DE" w:rsidP="002A50DE">
      <w:pPr>
        <w:pStyle w:val="CH2"/>
        <w:rPr>
          <w:lang w:val="en-GB"/>
        </w:rPr>
      </w:pPr>
      <w:r w:rsidRPr="00095CC6">
        <w:rPr>
          <w:lang w:val="en-GB"/>
        </w:rPr>
        <w:tab/>
        <w:t>E.</w:t>
      </w:r>
      <w:r w:rsidRPr="00095CC6">
        <w:rPr>
          <w:lang w:val="en-GB"/>
        </w:rPr>
        <w:tab/>
      </w:r>
      <w:r w:rsidR="00C83D89" w:rsidRPr="00095CC6">
        <w:rPr>
          <w:lang w:val="en-GB"/>
        </w:rPr>
        <w:t>Capacity</w:t>
      </w:r>
      <w:r w:rsidR="008E2841" w:rsidRPr="00095CC6">
        <w:rPr>
          <w:lang w:val="en-GB"/>
        </w:rPr>
        <w:t>-</w:t>
      </w:r>
      <w:r w:rsidR="00C83D89" w:rsidRPr="00095CC6">
        <w:rPr>
          <w:lang w:val="en-GB"/>
        </w:rPr>
        <w:t>building and country support</w:t>
      </w:r>
    </w:p>
    <w:p w14:paraId="7A572800" w14:textId="4A55B1D1" w:rsidR="00C83D89" w:rsidRPr="00095CC6" w:rsidRDefault="00C83D89" w:rsidP="00C83D89">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lang w:val="en-GB"/>
        </w:rPr>
      </w:pPr>
      <w:r w:rsidRPr="00095CC6">
        <w:rPr>
          <w:rFonts w:eastAsia="MS Mincho"/>
          <w:color w:val="000000" w:themeColor="text1"/>
          <w:lang w:val="en-GB"/>
        </w:rPr>
        <w:t xml:space="preserve">Since September 2019, with </w:t>
      </w:r>
      <w:r w:rsidR="00474064" w:rsidRPr="00095CC6">
        <w:rPr>
          <w:rFonts w:eastAsia="MS Mincho"/>
          <w:color w:val="000000" w:themeColor="text1"/>
          <w:lang w:val="en-GB"/>
        </w:rPr>
        <w:t>Global Environment Facility</w:t>
      </w:r>
      <w:r w:rsidRPr="00095CC6">
        <w:rPr>
          <w:rFonts w:eastAsia="MS Mincho"/>
          <w:color w:val="000000" w:themeColor="text1"/>
          <w:lang w:val="en-GB"/>
        </w:rPr>
        <w:t xml:space="preserve"> financial support, UNEP has been working with the World Conservation Monitoring Centre to assess the environmental, social and economic impact </w:t>
      </w:r>
      <w:r w:rsidR="009777AA" w:rsidRPr="00095CC6">
        <w:rPr>
          <w:rFonts w:eastAsia="MS Mincho"/>
          <w:color w:val="000000" w:themeColor="text1"/>
          <w:lang w:val="en-GB"/>
        </w:rPr>
        <w:t>of</w:t>
      </w:r>
      <w:r w:rsidRPr="00095CC6">
        <w:rPr>
          <w:rFonts w:eastAsia="MS Mincho"/>
          <w:color w:val="000000" w:themeColor="text1"/>
          <w:lang w:val="en-GB"/>
        </w:rPr>
        <w:t xml:space="preserve"> infrastructure development </w:t>
      </w:r>
      <w:r w:rsidR="004B0FC2" w:rsidRPr="00095CC6">
        <w:rPr>
          <w:rFonts w:eastAsia="MS Mincho"/>
          <w:color w:val="000000" w:themeColor="text1"/>
          <w:lang w:val="en-GB"/>
        </w:rPr>
        <w:t>on a</w:t>
      </w:r>
      <w:r w:rsidRPr="00095CC6">
        <w:rPr>
          <w:rFonts w:eastAsia="MS Mincho"/>
          <w:color w:val="000000" w:themeColor="text1"/>
          <w:lang w:val="en-GB"/>
        </w:rPr>
        <w:t xml:space="preserve"> global scale. The assessment will be completed by August 2021. At the same time, the assessment methodology is being adapted for application at the country level and </w:t>
      </w:r>
      <w:r w:rsidR="009F5C56" w:rsidRPr="00095CC6">
        <w:rPr>
          <w:rFonts w:eastAsia="MS Mincho"/>
          <w:color w:val="000000" w:themeColor="text1"/>
          <w:lang w:val="en-GB"/>
        </w:rPr>
        <w:t>will</w:t>
      </w:r>
      <w:r w:rsidRPr="00095CC6">
        <w:rPr>
          <w:rFonts w:eastAsia="MS Mincho"/>
          <w:color w:val="000000" w:themeColor="text1"/>
          <w:lang w:val="en-GB"/>
        </w:rPr>
        <w:t xml:space="preserve"> be piloted in Mongolia in the first half of 2021 to assess the sustainability of the transportation sector in </w:t>
      </w:r>
      <w:r w:rsidR="009777AA" w:rsidRPr="00095CC6">
        <w:rPr>
          <w:rFonts w:eastAsia="MS Mincho"/>
          <w:color w:val="000000" w:themeColor="text1"/>
          <w:lang w:val="en-GB"/>
        </w:rPr>
        <w:t>that country</w:t>
      </w:r>
      <w:r w:rsidRPr="00095CC6">
        <w:rPr>
          <w:rFonts w:eastAsia="MS Mincho"/>
          <w:color w:val="000000" w:themeColor="text1"/>
          <w:lang w:val="en-GB"/>
        </w:rPr>
        <w:t xml:space="preserve">. </w:t>
      </w:r>
    </w:p>
    <w:p w14:paraId="7CA6873A" w14:textId="082D5917" w:rsidR="00C83D89" w:rsidRPr="00095CC6" w:rsidRDefault="00C83D89" w:rsidP="00C83D89">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lang w:val="en-GB"/>
        </w:rPr>
      </w:pPr>
      <w:r w:rsidRPr="00095CC6">
        <w:rPr>
          <w:rFonts w:eastAsia="MS Mincho"/>
          <w:color w:val="000000" w:themeColor="text1"/>
          <w:lang w:val="en-GB"/>
        </w:rPr>
        <w:t xml:space="preserve">In Ghana, UNEP is working with the Global Centre </w:t>
      </w:r>
      <w:r w:rsidR="00892469" w:rsidRPr="00095CC6">
        <w:rPr>
          <w:rFonts w:eastAsia="MS Mincho"/>
          <w:color w:val="000000" w:themeColor="text1"/>
          <w:lang w:val="en-GB"/>
        </w:rPr>
        <w:t xml:space="preserve">on </w:t>
      </w:r>
      <w:r w:rsidRPr="00095CC6">
        <w:rPr>
          <w:rFonts w:eastAsia="MS Mincho"/>
          <w:color w:val="000000" w:themeColor="text1"/>
          <w:lang w:val="en-GB"/>
        </w:rPr>
        <w:t xml:space="preserve">Adaptation, </w:t>
      </w:r>
      <w:r w:rsidR="00892469" w:rsidRPr="00095CC6">
        <w:rPr>
          <w:rFonts w:eastAsia="MS Mincho"/>
          <w:color w:val="000000" w:themeColor="text1"/>
          <w:lang w:val="en-GB"/>
        </w:rPr>
        <w:t xml:space="preserve">the University of </w:t>
      </w:r>
      <w:r w:rsidRPr="00095CC6">
        <w:rPr>
          <w:rFonts w:eastAsia="MS Mincho"/>
          <w:color w:val="000000" w:themeColor="text1"/>
          <w:lang w:val="en-GB"/>
        </w:rPr>
        <w:t xml:space="preserve">Oxford, </w:t>
      </w:r>
      <w:r w:rsidR="00892469" w:rsidRPr="00095CC6">
        <w:rPr>
          <w:rFonts w:eastAsia="MS Mincho"/>
          <w:color w:val="000000" w:themeColor="text1"/>
          <w:lang w:val="en-GB"/>
        </w:rPr>
        <w:t>the United Nations Office for Project Services</w:t>
      </w:r>
      <w:r w:rsidRPr="00095CC6">
        <w:rPr>
          <w:rFonts w:eastAsia="MS Mincho"/>
          <w:color w:val="000000" w:themeColor="text1"/>
          <w:lang w:val="en-GB"/>
        </w:rPr>
        <w:t xml:space="preserve"> and the </w:t>
      </w:r>
      <w:r w:rsidR="00892469" w:rsidRPr="00095CC6">
        <w:rPr>
          <w:rFonts w:eastAsia="MS Mincho"/>
          <w:color w:val="000000" w:themeColor="text1"/>
          <w:lang w:val="en-GB"/>
        </w:rPr>
        <w:t>G</w:t>
      </w:r>
      <w:r w:rsidRPr="00095CC6">
        <w:rPr>
          <w:rFonts w:eastAsia="MS Mincho"/>
          <w:color w:val="000000" w:themeColor="text1"/>
          <w:lang w:val="en-GB"/>
        </w:rPr>
        <w:t xml:space="preserve">overnment of Ghana under a Global Commission on Adaptation project to conduct an integrated assessment of the enabling, built and natural environments. The assessment will inform the development of a national plan for increasing the resilience and sustainability of infrastructure in the water, transport and energy sectors. This plan will feed into the revision of </w:t>
      </w:r>
      <w:r w:rsidR="00892469" w:rsidRPr="00095CC6">
        <w:rPr>
          <w:rFonts w:eastAsia="MS Mincho"/>
          <w:color w:val="000000" w:themeColor="text1"/>
          <w:lang w:val="en-GB"/>
        </w:rPr>
        <w:t>the n</w:t>
      </w:r>
      <w:r w:rsidRPr="00095CC6">
        <w:rPr>
          <w:rFonts w:eastAsia="MS Mincho"/>
          <w:color w:val="000000" w:themeColor="text1"/>
          <w:lang w:val="en-GB"/>
        </w:rPr>
        <w:t xml:space="preserve">ationally </w:t>
      </w:r>
      <w:r w:rsidR="00892469" w:rsidRPr="00095CC6">
        <w:rPr>
          <w:rFonts w:eastAsia="MS Mincho"/>
          <w:color w:val="000000" w:themeColor="text1"/>
          <w:lang w:val="en-GB"/>
        </w:rPr>
        <w:t>d</w:t>
      </w:r>
      <w:r w:rsidRPr="00095CC6">
        <w:rPr>
          <w:rFonts w:eastAsia="MS Mincho"/>
          <w:color w:val="000000" w:themeColor="text1"/>
          <w:lang w:val="en-GB"/>
        </w:rPr>
        <w:t xml:space="preserve">etermined </w:t>
      </w:r>
      <w:r w:rsidR="00892469" w:rsidRPr="00095CC6">
        <w:rPr>
          <w:rFonts w:eastAsia="MS Mincho"/>
          <w:color w:val="000000" w:themeColor="text1"/>
          <w:lang w:val="en-GB"/>
        </w:rPr>
        <w:t>c</w:t>
      </w:r>
      <w:r w:rsidRPr="00095CC6">
        <w:rPr>
          <w:rFonts w:eastAsia="MS Mincho"/>
          <w:color w:val="000000" w:themeColor="text1"/>
          <w:lang w:val="en-GB"/>
        </w:rPr>
        <w:t xml:space="preserve">ontributions </w:t>
      </w:r>
      <w:r w:rsidR="00892469" w:rsidRPr="00095CC6">
        <w:rPr>
          <w:rFonts w:eastAsia="MS Mincho"/>
          <w:color w:val="000000" w:themeColor="text1"/>
          <w:lang w:val="en-GB"/>
        </w:rPr>
        <w:t xml:space="preserve">of Ghana </w:t>
      </w:r>
      <w:r w:rsidRPr="00095CC6">
        <w:rPr>
          <w:rFonts w:eastAsia="MS Mincho"/>
          <w:color w:val="000000" w:themeColor="text1"/>
          <w:lang w:val="en-GB"/>
        </w:rPr>
        <w:t>under the Paris Agreement, as well as the development of a Ghana</w:t>
      </w:r>
      <w:r w:rsidR="00892469" w:rsidRPr="00095CC6">
        <w:rPr>
          <w:rFonts w:eastAsia="MS Mincho"/>
          <w:color w:val="000000" w:themeColor="text1"/>
          <w:lang w:val="en-GB"/>
        </w:rPr>
        <w:t>ian</w:t>
      </w:r>
      <w:r w:rsidRPr="00095CC6">
        <w:rPr>
          <w:rFonts w:eastAsia="MS Mincho"/>
          <w:color w:val="000000" w:themeColor="text1"/>
          <w:lang w:val="en-GB"/>
        </w:rPr>
        <w:t xml:space="preserve"> </w:t>
      </w:r>
      <w:r w:rsidR="00892469" w:rsidRPr="00095CC6">
        <w:rPr>
          <w:rFonts w:eastAsia="MS Mincho"/>
          <w:color w:val="000000" w:themeColor="text1"/>
          <w:lang w:val="en-GB"/>
        </w:rPr>
        <w:t>n</w:t>
      </w:r>
      <w:r w:rsidRPr="00095CC6">
        <w:rPr>
          <w:rFonts w:eastAsia="MS Mincho"/>
          <w:color w:val="000000" w:themeColor="text1"/>
          <w:lang w:val="en-GB"/>
        </w:rPr>
        <w:t xml:space="preserve">ational </w:t>
      </w:r>
      <w:r w:rsidR="00892469" w:rsidRPr="00095CC6">
        <w:rPr>
          <w:rFonts w:eastAsia="MS Mincho"/>
          <w:color w:val="000000" w:themeColor="text1"/>
          <w:lang w:val="en-GB"/>
        </w:rPr>
        <w:t>a</w:t>
      </w:r>
      <w:r w:rsidRPr="00095CC6">
        <w:rPr>
          <w:rFonts w:eastAsia="MS Mincho"/>
          <w:color w:val="000000" w:themeColor="text1"/>
          <w:lang w:val="en-GB"/>
        </w:rPr>
        <w:t xml:space="preserve">ction </w:t>
      </w:r>
      <w:r w:rsidR="00892469" w:rsidRPr="00095CC6">
        <w:rPr>
          <w:rFonts w:eastAsia="MS Mincho"/>
          <w:color w:val="000000" w:themeColor="text1"/>
          <w:lang w:val="en-GB"/>
        </w:rPr>
        <w:t>p</w:t>
      </w:r>
      <w:r w:rsidRPr="00095CC6">
        <w:rPr>
          <w:rFonts w:eastAsia="MS Mincho"/>
          <w:color w:val="000000" w:themeColor="text1"/>
          <w:lang w:val="en-GB"/>
        </w:rPr>
        <w:t xml:space="preserve">lan for climate adaptation. </w:t>
      </w:r>
    </w:p>
    <w:p w14:paraId="1B9EA665" w14:textId="6668AF91" w:rsidR="00C83D89" w:rsidRPr="00095CC6" w:rsidRDefault="00C83D89" w:rsidP="00C83D89">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lang w:val="en-GB"/>
        </w:rPr>
      </w:pPr>
      <w:r w:rsidRPr="00095CC6">
        <w:rPr>
          <w:rFonts w:eastAsia="MS Mincho"/>
          <w:color w:val="000000" w:themeColor="text1"/>
          <w:lang w:val="en-GB"/>
        </w:rPr>
        <w:t>Working with regional partners and with financial support from the Government of China, UNEP has developed three week-long regional capacity</w:t>
      </w:r>
      <w:r w:rsidR="00892469" w:rsidRPr="00095CC6">
        <w:rPr>
          <w:rFonts w:eastAsia="MS Mincho"/>
          <w:color w:val="000000" w:themeColor="text1"/>
          <w:lang w:val="en-GB"/>
        </w:rPr>
        <w:t>-</w:t>
      </w:r>
      <w:r w:rsidRPr="00095CC6">
        <w:rPr>
          <w:rFonts w:eastAsia="MS Mincho"/>
          <w:color w:val="000000" w:themeColor="text1"/>
          <w:lang w:val="en-GB"/>
        </w:rPr>
        <w:t>building workshops for policymakers on sustainable infrastructure. One of the three workshops was delivered for policymakers from Central Asian countries, whereas the remaining two</w:t>
      </w:r>
      <w:r w:rsidR="009F5C56" w:rsidRPr="00095CC6">
        <w:rPr>
          <w:rFonts w:eastAsia="MS Mincho"/>
          <w:color w:val="000000" w:themeColor="text1"/>
          <w:lang w:val="en-GB"/>
        </w:rPr>
        <w:t xml:space="preserve"> (for South-East Asia and Africa, respectively)</w:t>
      </w:r>
      <w:r w:rsidR="00892469" w:rsidRPr="00095CC6">
        <w:rPr>
          <w:rFonts w:eastAsia="MS Mincho"/>
          <w:color w:val="000000" w:themeColor="text1"/>
          <w:lang w:val="en-GB"/>
        </w:rPr>
        <w:t>, which</w:t>
      </w:r>
      <w:r w:rsidRPr="00095CC6">
        <w:rPr>
          <w:rFonts w:eastAsia="MS Mincho"/>
          <w:color w:val="000000" w:themeColor="text1"/>
          <w:lang w:val="en-GB"/>
        </w:rPr>
        <w:t xml:space="preserve"> were scheduled to take place in February and October </w:t>
      </w:r>
      <w:r w:rsidR="0026012F" w:rsidRPr="00095CC6">
        <w:rPr>
          <w:rFonts w:eastAsia="MS Mincho"/>
          <w:color w:val="000000" w:themeColor="text1"/>
          <w:lang w:val="en-GB"/>
        </w:rPr>
        <w:t>2020</w:t>
      </w:r>
      <w:r w:rsidR="00892469" w:rsidRPr="00095CC6">
        <w:rPr>
          <w:rFonts w:eastAsia="MS Mincho"/>
          <w:color w:val="000000" w:themeColor="text1"/>
          <w:lang w:val="en-GB"/>
        </w:rPr>
        <w:t>,</w:t>
      </w:r>
      <w:r w:rsidRPr="00095CC6">
        <w:rPr>
          <w:rFonts w:eastAsia="MS Mincho"/>
          <w:color w:val="000000" w:themeColor="text1"/>
          <w:lang w:val="en-GB"/>
        </w:rPr>
        <w:t xml:space="preserve"> have been placed on hold until 2021 because of COVID-19</w:t>
      </w:r>
      <w:r w:rsidR="0026012F" w:rsidRPr="00095CC6">
        <w:rPr>
          <w:rFonts w:eastAsia="MS Mincho"/>
          <w:color w:val="000000" w:themeColor="text1"/>
          <w:lang w:val="en-GB"/>
        </w:rPr>
        <w:t>-</w:t>
      </w:r>
      <w:r w:rsidRPr="00095CC6">
        <w:rPr>
          <w:rFonts w:eastAsia="MS Mincho"/>
          <w:color w:val="000000" w:themeColor="text1"/>
          <w:lang w:val="en-GB"/>
        </w:rPr>
        <w:t xml:space="preserve">related restrictions. Working with Duke University, UNEP is leading the development of a Sustainable Infrastructure Community of Learners, which so far includes </w:t>
      </w:r>
      <w:r w:rsidR="00343AA8" w:rsidRPr="00095CC6">
        <w:rPr>
          <w:rFonts w:eastAsia="MS Mincho"/>
          <w:color w:val="000000" w:themeColor="text1"/>
          <w:lang w:val="en-GB"/>
        </w:rPr>
        <w:t xml:space="preserve">20 </w:t>
      </w:r>
      <w:r w:rsidRPr="00095CC6">
        <w:rPr>
          <w:rFonts w:eastAsia="MS Mincho"/>
          <w:color w:val="000000" w:themeColor="text1"/>
          <w:lang w:val="en-GB"/>
        </w:rPr>
        <w:t>other organizations, in order to institutionalize and better coordinate capacity development efforts.</w:t>
      </w:r>
    </w:p>
    <w:p w14:paraId="306240F1" w14:textId="6098C4BC" w:rsidR="00C83D89" w:rsidRPr="00095CC6" w:rsidRDefault="002A50DE" w:rsidP="00945D6D">
      <w:pPr>
        <w:pStyle w:val="CH1"/>
      </w:pPr>
      <w:r w:rsidRPr="00095CC6">
        <w:tab/>
      </w:r>
      <w:r w:rsidR="00327491" w:rsidRPr="00095CC6">
        <w:t>II</w:t>
      </w:r>
      <w:r w:rsidRPr="00095CC6">
        <w:t>.</w:t>
      </w:r>
      <w:r w:rsidRPr="00095CC6">
        <w:tab/>
      </w:r>
      <w:r w:rsidR="00C83D89" w:rsidRPr="00095CC6">
        <w:t xml:space="preserve">Lessons </w:t>
      </w:r>
      <w:r w:rsidR="008E2841" w:rsidRPr="00095CC6">
        <w:t>l</w:t>
      </w:r>
      <w:r w:rsidR="00C83D89" w:rsidRPr="00095CC6">
        <w:t>earned</w:t>
      </w:r>
    </w:p>
    <w:p w14:paraId="446225A2" w14:textId="7E9F4122" w:rsidR="00C83D89" w:rsidRPr="00095CC6" w:rsidRDefault="00C83D89" w:rsidP="00C83D89">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lang w:val="en-GB"/>
        </w:rPr>
      </w:pPr>
      <w:r w:rsidRPr="00095CC6">
        <w:rPr>
          <w:rFonts w:eastAsia="MS Mincho"/>
          <w:color w:val="000000" w:themeColor="text1"/>
          <w:lang w:val="en-GB"/>
        </w:rPr>
        <w:t>The broad consultations on the Good Practice Guidance Framework for Sustainable Infrastructure described in para</w:t>
      </w:r>
      <w:r w:rsidR="0026012F" w:rsidRPr="00095CC6">
        <w:rPr>
          <w:rFonts w:eastAsia="MS Mincho"/>
          <w:color w:val="000000" w:themeColor="text1"/>
          <w:lang w:val="en-GB"/>
        </w:rPr>
        <w:t>graph</w:t>
      </w:r>
      <w:r w:rsidRPr="00095CC6">
        <w:rPr>
          <w:rFonts w:eastAsia="MS Mincho"/>
          <w:color w:val="000000" w:themeColor="text1"/>
          <w:lang w:val="en-GB"/>
        </w:rPr>
        <w:t xml:space="preserve"> </w:t>
      </w:r>
      <w:r w:rsidR="009F5C56" w:rsidRPr="00095CC6">
        <w:rPr>
          <w:rFonts w:eastAsia="MS Mincho"/>
          <w:color w:val="000000" w:themeColor="text1"/>
          <w:lang w:val="en-GB"/>
        </w:rPr>
        <w:t>10</w:t>
      </w:r>
      <w:r w:rsidRPr="00095CC6">
        <w:rPr>
          <w:rFonts w:eastAsia="MS Mincho"/>
          <w:color w:val="000000" w:themeColor="text1"/>
          <w:lang w:val="en-GB"/>
        </w:rPr>
        <w:t xml:space="preserve"> above identified a variety of lessons on sustainable infrastructure, includ</w:t>
      </w:r>
      <w:r w:rsidR="009777AA" w:rsidRPr="00095CC6">
        <w:rPr>
          <w:rFonts w:eastAsia="MS Mincho"/>
          <w:color w:val="000000" w:themeColor="text1"/>
          <w:lang w:val="en-GB"/>
        </w:rPr>
        <w:t>ing</w:t>
      </w:r>
      <w:r w:rsidRPr="00095CC6">
        <w:rPr>
          <w:rFonts w:eastAsia="MS Mincho"/>
          <w:color w:val="000000" w:themeColor="text1"/>
          <w:lang w:val="en-GB"/>
        </w:rPr>
        <w:t xml:space="preserve"> the following: </w:t>
      </w:r>
    </w:p>
    <w:p w14:paraId="044A87A7" w14:textId="3F1B4BA9" w:rsidR="00C83D89" w:rsidRPr="00095CC6" w:rsidRDefault="00C83D89" w:rsidP="003E6895">
      <w:pPr>
        <w:pStyle w:val="Normalnumber"/>
        <w:numPr>
          <w:ilvl w:val="1"/>
          <w:numId w:val="14"/>
        </w:numPr>
        <w:tabs>
          <w:tab w:val="clear" w:pos="1814"/>
          <w:tab w:val="clear" w:pos="2381"/>
          <w:tab w:val="clear" w:pos="2948"/>
          <w:tab w:val="clear" w:pos="3515"/>
          <w:tab w:val="clear" w:pos="4082"/>
          <w:tab w:val="left" w:pos="624"/>
        </w:tabs>
        <w:ind w:left="1247" w:firstLine="624"/>
        <w:rPr>
          <w:lang w:val="en-GB"/>
        </w:rPr>
      </w:pPr>
      <w:r w:rsidRPr="00095CC6">
        <w:rPr>
          <w:color w:val="000000" w:themeColor="text1"/>
          <w:lang w:val="en-GB"/>
        </w:rPr>
        <w:t xml:space="preserve">“Business as usual” infrastructure development has failed to deliver sustainable infrastructure </w:t>
      </w:r>
      <w:r w:rsidR="007941C3" w:rsidRPr="00095CC6">
        <w:rPr>
          <w:color w:val="000000" w:themeColor="text1"/>
          <w:lang w:val="en-GB"/>
        </w:rPr>
        <w:t>on</w:t>
      </w:r>
      <w:r w:rsidRPr="00095CC6">
        <w:rPr>
          <w:color w:val="000000" w:themeColor="text1"/>
          <w:lang w:val="en-GB"/>
        </w:rPr>
        <w:t xml:space="preserve"> the scale required to meet the S</w:t>
      </w:r>
      <w:r w:rsidR="0026012F" w:rsidRPr="00095CC6">
        <w:rPr>
          <w:color w:val="000000" w:themeColor="text1"/>
          <w:lang w:val="en-GB"/>
        </w:rPr>
        <w:t xml:space="preserve">ustainable </w:t>
      </w:r>
      <w:r w:rsidRPr="00095CC6">
        <w:rPr>
          <w:color w:val="000000" w:themeColor="text1"/>
          <w:lang w:val="en-GB"/>
        </w:rPr>
        <w:t>D</w:t>
      </w:r>
      <w:r w:rsidR="0026012F" w:rsidRPr="00095CC6">
        <w:rPr>
          <w:color w:val="000000" w:themeColor="text1"/>
          <w:lang w:val="en-GB"/>
        </w:rPr>
        <w:t xml:space="preserve">evelopment </w:t>
      </w:r>
      <w:r w:rsidRPr="00095CC6">
        <w:rPr>
          <w:color w:val="000000" w:themeColor="text1"/>
          <w:lang w:val="en-GB"/>
        </w:rPr>
        <w:t>G</w:t>
      </w:r>
      <w:r w:rsidR="0026012F" w:rsidRPr="00095CC6">
        <w:rPr>
          <w:color w:val="000000" w:themeColor="text1"/>
          <w:lang w:val="en-GB"/>
        </w:rPr>
        <w:t>oal</w:t>
      </w:r>
      <w:r w:rsidRPr="00095CC6">
        <w:rPr>
          <w:color w:val="000000" w:themeColor="text1"/>
          <w:lang w:val="en-GB"/>
        </w:rPr>
        <w:t xml:space="preserve">s. Sustainability is often considered too late, superficially, and on a project-by-project basis. </w:t>
      </w:r>
      <w:r w:rsidR="0026012F" w:rsidRPr="00095CC6">
        <w:rPr>
          <w:color w:val="000000" w:themeColor="text1"/>
          <w:lang w:val="en-GB"/>
        </w:rPr>
        <w:t>As an al</w:t>
      </w:r>
      <w:r w:rsidRPr="00095CC6">
        <w:rPr>
          <w:color w:val="000000" w:themeColor="text1"/>
          <w:lang w:val="en-GB"/>
        </w:rPr>
        <w:t>ternative</w:t>
      </w:r>
      <w:r w:rsidR="0026012F" w:rsidRPr="00095CC6">
        <w:rPr>
          <w:color w:val="000000" w:themeColor="text1"/>
          <w:lang w:val="en-GB"/>
        </w:rPr>
        <w:t xml:space="preserve"> to this</w:t>
      </w:r>
      <w:r w:rsidRPr="00095CC6">
        <w:rPr>
          <w:color w:val="000000" w:themeColor="text1"/>
          <w:lang w:val="en-GB"/>
        </w:rPr>
        <w:t>, more integrated</w:t>
      </w:r>
      <w:r w:rsidRPr="00095CC6">
        <w:rPr>
          <w:lang w:val="en-GB"/>
        </w:rPr>
        <w:t xml:space="preserve"> approaches that consider all aspects of sustainability, as early in the infrastructure life</w:t>
      </w:r>
      <w:r w:rsidR="0026012F" w:rsidRPr="00095CC6">
        <w:rPr>
          <w:lang w:val="en-GB"/>
        </w:rPr>
        <w:t xml:space="preserve"> </w:t>
      </w:r>
      <w:r w:rsidRPr="00095CC6">
        <w:rPr>
          <w:lang w:val="en-GB"/>
        </w:rPr>
        <w:t xml:space="preserve">cycle as possible, and in a way </w:t>
      </w:r>
      <w:r w:rsidR="0026012F" w:rsidRPr="00095CC6">
        <w:rPr>
          <w:lang w:val="en-GB"/>
        </w:rPr>
        <w:t xml:space="preserve">that </w:t>
      </w:r>
      <w:r w:rsidRPr="00095CC6">
        <w:rPr>
          <w:lang w:val="en-GB"/>
        </w:rPr>
        <w:t>accounts for interlinkages between different infrastructure systems</w:t>
      </w:r>
      <w:r w:rsidR="0026012F" w:rsidRPr="00095CC6">
        <w:rPr>
          <w:lang w:val="en-GB"/>
        </w:rPr>
        <w:t>,</w:t>
      </w:r>
      <w:r w:rsidR="001C31AF" w:rsidRPr="00095CC6">
        <w:rPr>
          <w:lang w:val="en-GB"/>
        </w:rPr>
        <w:t xml:space="preserve"> </w:t>
      </w:r>
      <w:r w:rsidRPr="00095CC6">
        <w:rPr>
          <w:lang w:val="en-GB"/>
        </w:rPr>
        <w:t>including the natural environment</w:t>
      </w:r>
      <w:r w:rsidR="0026012F" w:rsidRPr="00095CC6">
        <w:rPr>
          <w:lang w:val="en-GB"/>
        </w:rPr>
        <w:t>,</w:t>
      </w:r>
      <w:r w:rsidR="001C31AF" w:rsidRPr="00095CC6">
        <w:rPr>
          <w:lang w:val="en-GB"/>
        </w:rPr>
        <w:t xml:space="preserve"> </w:t>
      </w:r>
      <w:r w:rsidRPr="00095CC6">
        <w:rPr>
          <w:lang w:val="en-GB"/>
        </w:rPr>
        <w:t xml:space="preserve">can contribute to more sustainable and effective outcomes. When </w:t>
      </w:r>
      <w:r w:rsidRPr="00095CC6">
        <w:rPr>
          <w:lang w:val="en-GB"/>
        </w:rPr>
        <w:lastRenderedPageBreak/>
        <w:t>infrastructure is viewed as a “system of systems”, trade-offs and synergies from different projects and sectors can be balanced to achieve more efficient allocation of infrastructure investments for delivering services and meeting national sustainable development objectives. Potential risks can be identified and addressed earlier in the planning process, resulting in more sustainable projects that are better aligned with users’ needs and expectations</w:t>
      </w:r>
      <w:r w:rsidR="003C1EEE" w:rsidRPr="00095CC6">
        <w:rPr>
          <w:lang w:val="en-GB"/>
        </w:rPr>
        <w:t>.</w:t>
      </w:r>
    </w:p>
    <w:p w14:paraId="3A42D64E" w14:textId="5CD142FD" w:rsidR="00C83D89" w:rsidRPr="00095CC6" w:rsidRDefault="00C83D89" w:rsidP="00C83D89">
      <w:pPr>
        <w:pStyle w:val="Normalnumber"/>
        <w:numPr>
          <w:ilvl w:val="1"/>
          <w:numId w:val="14"/>
        </w:numPr>
        <w:tabs>
          <w:tab w:val="clear" w:pos="1814"/>
          <w:tab w:val="clear" w:pos="2381"/>
          <w:tab w:val="clear" w:pos="2948"/>
          <w:tab w:val="clear" w:pos="3515"/>
          <w:tab w:val="clear" w:pos="4082"/>
          <w:tab w:val="left" w:pos="624"/>
        </w:tabs>
        <w:ind w:left="1247" w:firstLine="624"/>
        <w:rPr>
          <w:lang w:val="en-GB"/>
        </w:rPr>
      </w:pPr>
      <w:r w:rsidRPr="00095CC6">
        <w:rPr>
          <w:lang w:val="en-GB"/>
        </w:rPr>
        <w:t xml:space="preserve">There is a lack of coordination among the major actors at the international </w:t>
      </w:r>
      <w:r w:rsidR="0026012F" w:rsidRPr="00095CC6">
        <w:rPr>
          <w:lang w:val="en-GB"/>
        </w:rPr>
        <w:t>and</w:t>
      </w:r>
      <w:r w:rsidRPr="00095CC6">
        <w:rPr>
          <w:lang w:val="en-GB"/>
        </w:rPr>
        <w:t xml:space="preserve"> national level</w:t>
      </w:r>
      <w:r w:rsidR="007941C3" w:rsidRPr="00095CC6">
        <w:rPr>
          <w:lang w:val="en-GB"/>
        </w:rPr>
        <w:t>s</w:t>
      </w:r>
      <w:r w:rsidRPr="00095CC6">
        <w:rPr>
          <w:lang w:val="en-GB"/>
        </w:rPr>
        <w:t>. Internationally, this relates to development partners working on sustainable infrastructure</w:t>
      </w:r>
      <w:r w:rsidR="007941C3" w:rsidRPr="00095CC6">
        <w:rPr>
          <w:lang w:val="en-GB"/>
        </w:rPr>
        <w:t xml:space="preserve"> –</w:t>
      </w:r>
      <w:r w:rsidR="001C31AF" w:rsidRPr="00095CC6">
        <w:rPr>
          <w:lang w:val="en-GB"/>
        </w:rPr>
        <w:t xml:space="preserve"> </w:t>
      </w:r>
      <w:r w:rsidRPr="00095CC6">
        <w:rPr>
          <w:lang w:val="en-GB"/>
        </w:rPr>
        <w:t>for example</w:t>
      </w:r>
      <w:r w:rsidR="007941C3" w:rsidRPr="00095CC6">
        <w:rPr>
          <w:lang w:val="en-GB"/>
        </w:rPr>
        <w:t>,</w:t>
      </w:r>
      <w:r w:rsidRPr="00095CC6">
        <w:rPr>
          <w:lang w:val="en-GB"/>
        </w:rPr>
        <w:t xml:space="preserve"> U</w:t>
      </w:r>
      <w:r w:rsidR="0026012F" w:rsidRPr="00095CC6">
        <w:rPr>
          <w:lang w:val="en-GB"/>
        </w:rPr>
        <w:t xml:space="preserve">nited </w:t>
      </w:r>
      <w:r w:rsidRPr="00095CC6">
        <w:rPr>
          <w:lang w:val="en-GB"/>
        </w:rPr>
        <w:t>N</w:t>
      </w:r>
      <w:r w:rsidR="0026012F" w:rsidRPr="00095CC6">
        <w:rPr>
          <w:lang w:val="en-GB"/>
        </w:rPr>
        <w:t>ations</w:t>
      </w:r>
      <w:r w:rsidRPr="00095CC6">
        <w:rPr>
          <w:lang w:val="en-GB"/>
        </w:rPr>
        <w:t xml:space="preserve"> </w:t>
      </w:r>
      <w:r w:rsidR="0044180F" w:rsidRPr="00095CC6">
        <w:rPr>
          <w:lang w:val="en-GB"/>
        </w:rPr>
        <w:t>entities</w:t>
      </w:r>
      <w:r w:rsidRPr="00095CC6">
        <w:rPr>
          <w:lang w:val="en-GB"/>
        </w:rPr>
        <w:t>, the G</w:t>
      </w:r>
      <w:r w:rsidR="0044180F" w:rsidRPr="00095CC6">
        <w:rPr>
          <w:lang w:val="en-GB"/>
        </w:rPr>
        <w:t xml:space="preserve">roup of </w:t>
      </w:r>
      <w:r w:rsidRPr="00095CC6">
        <w:rPr>
          <w:lang w:val="en-GB"/>
        </w:rPr>
        <w:t xml:space="preserve">20 and </w:t>
      </w:r>
      <w:r w:rsidR="0026012F" w:rsidRPr="00095CC6">
        <w:rPr>
          <w:lang w:val="en-GB"/>
        </w:rPr>
        <w:t>m</w:t>
      </w:r>
      <w:r w:rsidRPr="00095CC6">
        <w:rPr>
          <w:lang w:val="en-GB"/>
        </w:rPr>
        <w:t xml:space="preserve">ultilateral </w:t>
      </w:r>
      <w:r w:rsidR="0026012F" w:rsidRPr="00095CC6">
        <w:rPr>
          <w:lang w:val="en-GB"/>
        </w:rPr>
        <w:t>d</w:t>
      </w:r>
      <w:r w:rsidRPr="00095CC6">
        <w:rPr>
          <w:lang w:val="en-GB"/>
        </w:rPr>
        <w:t xml:space="preserve">evelopment </w:t>
      </w:r>
      <w:r w:rsidR="0026012F" w:rsidRPr="00095CC6">
        <w:rPr>
          <w:lang w:val="en-GB"/>
        </w:rPr>
        <w:t>b</w:t>
      </w:r>
      <w:r w:rsidRPr="00095CC6">
        <w:rPr>
          <w:lang w:val="en-GB"/>
        </w:rPr>
        <w:t>ank</w:t>
      </w:r>
      <w:r w:rsidR="007941C3" w:rsidRPr="00095CC6">
        <w:rPr>
          <w:lang w:val="en-GB"/>
        </w:rPr>
        <w:t>s. N</w:t>
      </w:r>
      <w:r w:rsidRPr="00095CC6">
        <w:rPr>
          <w:lang w:val="en-GB"/>
        </w:rPr>
        <w:t xml:space="preserve">ationally, </w:t>
      </w:r>
      <w:r w:rsidR="0026012F" w:rsidRPr="00095CC6">
        <w:rPr>
          <w:lang w:val="en-GB"/>
        </w:rPr>
        <w:t xml:space="preserve">it relates to </w:t>
      </w:r>
      <w:r w:rsidRPr="00095CC6">
        <w:rPr>
          <w:lang w:val="en-GB"/>
        </w:rPr>
        <w:t>cross-ministerial cooperation and multilevel governance. At both levels, co-creation with private</w:t>
      </w:r>
      <w:r w:rsidR="009777AA" w:rsidRPr="00095CC6">
        <w:rPr>
          <w:lang w:val="en-GB"/>
        </w:rPr>
        <w:t>-</w:t>
      </w:r>
      <w:r w:rsidRPr="00095CC6">
        <w:rPr>
          <w:lang w:val="en-GB"/>
        </w:rPr>
        <w:t>sector actors is also critical. International actors and national and local governments need to build institutional, policy and regulatory environments that enable coordinated, integrated planning and delivery of sustainable infrastructure</w:t>
      </w:r>
      <w:r w:rsidR="003C1EEE" w:rsidRPr="00095CC6">
        <w:rPr>
          <w:lang w:val="en-GB"/>
        </w:rPr>
        <w:t>.</w:t>
      </w:r>
    </w:p>
    <w:p w14:paraId="31243080" w14:textId="529830D9" w:rsidR="00C83D89" w:rsidRPr="00095CC6" w:rsidRDefault="00C83D89" w:rsidP="00C83D89">
      <w:pPr>
        <w:pStyle w:val="Normalnumber"/>
        <w:numPr>
          <w:ilvl w:val="1"/>
          <w:numId w:val="14"/>
        </w:numPr>
        <w:tabs>
          <w:tab w:val="clear" w:pos="1814"/>
          <w:tab w:val="clear" w:pos="2381"/>
          <w:tab w:val="clear" w:pos="2948"/>
          <w:tab w:val="clear" w:pos="3515"/>
          <w:tab w:val="clear" w:pos="4082"/>
          <w:tab w:val="left" w:pos="624"/>
        </w:tabs>
        <w:ind w:left="1247" w:firstLine="624"/>
        <w:rPr>
          <w:lang w:val="en-GB"/>
        </w:rPr>
      </w:pPr>
      <w:r w:rsidRPr="00095CC6">
        <w:rPr>
          <w:lang w:val="en-GB"/>
        </w:rPr>
        <w:t>Infrastructure investments need to respond to multiple cris</w:t>
      </w:r>
      <w:r w:rsidR="0026012F" w:rsidRPr="00095CC6">
        <w:rPr>
          <w:lang w:val="en-GB"/>
        </w:rPr>
        <w:t>e</w:t>
      </w:r>
      <w:r w:rsidRPr="00095CC6">
        <w:rPr>
          <w:lang w:val="en-GB"/>
        </w:rPr>
        <w:t xml:space="preserve">s, </w:t>
      </w:r>
      <w:r w:rsidR="00D7205F" w:rsidRPr="00095CC6">
        <w:rPr>
          <w:lang w:val="en-GB"/>
        </w:rPr>
        <w:t xml:space="preserve">including </w:t>
      </w:r>
      <w:r w:rsidRPr="00095CC6">
        <w:rPr>
          <w:lang w:val="en-GB"/>
        </w:rPr>
        <w:t xml:space="preserve">climate </w:t>
      </w:r>
      <w:r w:rsidR="00D7205F" w:rsidRPr="00095CC6">
        <w:rPr>
          <w:lang w:val="en-GB"/>
        </w:rPr>
        <w:t xml:space="preserve">change (in terms of both </w:t>
      </w:r>
      <w:r w:rsidRPr="00095CC6">
        <w:rPr>
          <w:lang w:val="en-GB"/>
        </w:rPr>
        <w:t xml:space="preserve">mitigation </w:t>
      </w:r>
      <w:r w:rsidR="00D7205F" w:rsidRPr="00095CC6">
        <w:rPr>
          <w:lang w:val="en-GB"/>
        </w:rPr>
        <w:t xml:space="preserve">and </w:t>
      </w:r>
      <w:r w:rsidRPr="00095CC6">
        <w:rPr>
          <w:lang w:val="en-GB"/>
        </w:rPr>
        <w:t>adaptation</w:t>
      </w:r>
      <w:r w:rsidR="00D7205F" w:rsidRPr="00095CC6">
        <w:rPr>
          <w:lang w:val="en-GB"/>
        </w:rPr>
        <w:t>)</w:t>
      </w:r>
      <w:r w:rsidRPr="00095CC6">
        <w:rPr>
          <w:lang w:val="en-GB"/>
        </w:rPr>
        <w:t xml:space="preserve">, </w:t>
      </w:r>
      <w:r w:rsidRPr="00095CC6">
        <w:rPr>
          <w:color w:val="000000" w:themeColor="text1"/>
          <w:lang w:val="en-GB"/>
        </w:rPr>
        <w:t>resource</w:t>
      </w:r>
      <w:r w:rsidRPr="00095CC6">
        <w:rPr>
          <w:lang w:val="en-GB"/>
        </w:rPr>
        <w:t xml:space="preserve"> overuse</w:t>
      </w:r>
      <w:r w:rsidR="00D7205F" w:rsidRPr="00095CC6">
        <w:rPr>
          <w:lang w:val="en-GB"/>
        </w:rPr>
        <w:t>,</w:t>
      </w:r>
      <w:r w:rsidRPr="00095CC6">
        <w:rPr>
          <w:lang w:val="en-GB"/>
        </w:rPr>
        <w:t xml:space="preserve"> biodiversity loss </w:t>
      </w:r>
      <w:r w:rsidR="00D7205F" w:rsidRPr="00095CC6">
        <w:rPr>
          <w:lang w:val="en-GB"/>
        </w:rPr>
        <w:t>and</w:t>
      </w:r>
      <w:r w:rsidRPr="00095CC6">
        <w:rPr>
          <w:lang w:val="en-GB"/>
        </w:rPr>
        <w:t xml:space="preserve"> pollution. </w:t>
      </w:r>
      <w:r w:rsidR="003E6895">
        <w:rPr>
          <w:lang w:val="en-GB"/>
        </w:rPr>
        <w:t>Nature</w:t>
      </w:r>
      <w:r w:rsidR="003E6895">
        <w:rPr>
          <w:lang w:val="en-GB"/>
        </w:rPr>
        <w:noBreakHyphen/>
        <w:t>based</w:t>
      </w:r>
      <w:r w:rsidRPr="00095CC6">
        <w:rPr>
          <w:lang w:val="en-GB"/>
        </w:rPr>
        <w:t xml:space="preserve"> solutions and investments in natural infrastructure </w:t>
      </w:r>
      <w:r w:rsidR="007941C3" w:rsidRPr="00095CC6">
        <w:rPr>
          <w:lang w:val="en-GB"/>
        </w:rPr>
        <w:t>play</w:t>
      </w:r>
      <w:r w:rsidRPr="00095CC6">
        <w:rPr>
          <w:lang w:val="en-GB"/>
        </w:rPr>
        <w:t xml:space="preserve"> a critical role in connecting these agendas</w:t>
      </w:r>
      <w:r w:rsidR="003C1EEE" w:rsidRPr="00095CC6">
        <w:rPr>
          <w:lang w:val="en-GB"/>
        </w:rPr>
        <w:t>.</w:t>
      </w:r>
    </w:p>
    <w:p w14:paraId="546560E3" w14:textId="6CFCDF0E" w:rsidR="00C83D89" w:rsidRPr="00095CC6" w:rsidRDefault="00C83D89" w:rsidP="00C83D89">
      <w:pPr>
        <w:pStyle w:val="Normalnumber"/>
        <w:numPr>
          <w:ilvl w:val="1"/>
          <w:numId w:val="14"/>
        </w:numPr>
        <w:tabs>
          <w:tab w:val="clear" w:pos="1814"/>
          <w:tab w:val="clear" w:pos="2381"/>
          <w:tab w:val="clear" w:pos="2948"/>
          <w:tab w:val="clear" w:pos="3515"/>
          <w:tab w:val="clear" w:pos="4082"/>
          <w:tab w:val="left" w:pos="624"/>
        </w:tabs>
        <w:ind w:left="1247" w:firstLine="624"/>
        <w:rPr>
          <w:lang w:val="en-GB"/>
        </w:rPr>
      </w:pPr>
      <w:r w:rsidRPr="00095CC6">
        <w:rPr>
          <w:lang w:val="en-GB"/>
        </w:rPr>
        <w:t xml:space="preserve">A lack of </w:t>
      </w:r>
      <w:r w:rsidR="0054498C" w:rsidRPr="00095CC6">
        <w:rPr>
          <w:lang w:val="en-GB"/>
        </w:rPr>
        <w:t>guidance and tools</w:t>
      </w:r>
      <w:r w:rsidRPr="00095CC6">
        <w:rPr>
          <w:lang w:val="en-GB"/>
        </w:rPr>
        <w:t xml:space="preserve"> is not</w:t>
      </w:r>
      <w:r w:rsidR="001C31AF" w:rsidRPr="00095CC6">
        <w:rPr>
          <w:lang w:val="en-GB"/>
        </w:rPr>
        <w:t xml:space="preserve"> </w:t>
      </w:r>
      <w:r w:rsidRPr="00095CC6">
        <w:rPr>
          <w:lang w:val="en-GB"/>
        </w:rPr>
        <w:t>in most cases</w:t>
      </w:r>
      <w:r w:rsidR="001C31AF" w:rsidRPr="00095CC6">
        <w:rPr>
          <w:lang w:val="en-GB"/>
        </w:rPr>
        <w:t xml:space="preserve"> </w:t>
      </w:r>
      <w:r w:rsidRPr="00095CC6">
        <w:rPr>
          <w:lang w:val="en-GB"/>
        </w:rPr>
        <w:t xml:space="preserve">currently the main barrier to sustainable infrastructure; </w:t>
      </w:r>
      <w:r w:rsidR="007941C3" w:rsidRPr="00095CC6">
        <w:rPr>
          <w:lang w:val="en-GB"/>
        </w:rPr>
        <w:t>the barrier</w:t>
      </w:r>
      <w:r w:rsidRPr="00095CC6">
        <w:rPr>
          <w:lang w:val="en-GB"/>
        </w:rPr>
        <w:t xml:space="preserve"> is a lack of capacity to navigate the wealth of information and tools available, </w:t>
      </w:r>
      <w:r w:rsidR="0054498C" w:rsidRPr="00095CC6">
        <w:rPr>
          <w:lang w:val="en-GB"/>
        </w:rPr>
        <w:t xml:space="preserve">to </w:t>
      </w:r>
      <w:r w:rsidRPr="00095CC6">
        <w:rPr>
          <w:color w:val="000000" w:themeColor="text1"/>
          <w:lang w:val="en-GB"/>
        </w:rPr>
        <w:t>understand</w:t>
      </w:r>
      <w:r w:rsidRPr="00095CC6">
        <w:rPr>
          <w:lang w:val="en-GB"/>
        </w:rPr>
        <w:t xml:space="preserve"> when, why and how to use them, and then </w:t>
      </w:r>
      <w:r w:rsidR="0054498C" w:rsidRPr="00095CC6">
        <w:rPr>
          <w:lang w:val="en-GB"/>
        </w:rPr>
        <w:t xml:space="preserve">to </w:t>
      </w:r>
      <w:r w:rsidRPr="00095CC6">
        <w:rPr>
          <w:lang w:val="en-GB"/>
        </w:rPr>
        <w:t>create the institutions, policies and governing frameworks (i.e.</w:t>
      </w:r>
      <w:r w:rsidR="007941C3" w:rsidRPr="00095CC6">
        <w:rPr>
          <w:lang w:val="en-GB"/>
        </w:rPr>
        <w:t>,</w:t>
      </w:r>
      <w:r w:rsidRPr="00095CC6">
        <w:rPr>
          <w:lang w:val="en-GB"/>
        </w:rPr>
        <w:t xml:space="preserve"> the enabling environment) </w:t>
      </w:r>
      <w:r w:rsidR="007941C3" w:rsidRPr="00095CC6">
        <w:rPr>
          <w:lang w:val="en-GB"/>
        </w:rPr>
        <w:t xml:space="preserve">needed </w:t>
      </w:r>
      <w:r w:rsidRPr="00095CC6">
        <w:rPr>
          <w:lang w:val="en-GB"/>
        </w:rPr>
        <w:t>to apply them effectively</w:t>
      </w:r>
      <w:r w:rsidR="003C1EEE" w:rsidRPr="00095CC6">
        <w:rPr>
          <w:lang w:val="en-GB"/>
        </w:rPr>
        <w:t>.</w:t>
      </w:r>
      <w:r w:rsidRPr="00095CC6">
        <w:rPr>
          <w:lang w:val="en-GB"/>
        </w:rPr>
        <w:t xml:space="preserve"> </w:t>
      </w:r>
    </w:p>
    <w:p w14:paraId="5042BBC1" w14:textId="1C6E54DD" w:rsidR="00C83D89" w:rsidRPr="00095CC6" w:rsidRDefault="00C83D89" w:rsidP="00C83D89">
      <w:pPr>
        <w:pStyle w:val="Normalnumber"/>
        <w:numPr>
          <w:ilvl w:val="1"/>
          <w:numId w:val="14"/>
        </w:numPr>
        <w:tabs>
          <w:tab w:val="clear" w:pos="1814"/>
          <w:tab w:val="clear" w:pos="2381"/>
          <w:tab w:val="clear" w:pos="2948"/>
          <w:tab w:val="clear" w:pos="3515"/>
          <w:tab w:val="clear" w:pos="4082"/>
          <w:tab w:val="left" w:pos="624"/>
        </w:tabs>
        <w:ind w:left="1247" w:firstLine="624"/>
        <w:rPr>
          <w:lang w:val="en-GB"/>
        </w:rPr>
      </w:pPr>
      <w:r w:rsidRPr="00095CC6">
        <w:rPr>
          <w:lang w:val="en-GB"/>
        </w:rPr>
        <w:t>There is a strong need to compl</w:t>
      </w:r>
      <w:r w:rsidR="0054498C" w:rsidRPr="00095CC6">
        <w:rPr>
          <w:lang w:val="en-GB"/>
        </w:rPr>
        <w:t>e</w:t>
      </w:r>
      <w:r w:rsidRPr="00095CC6">
        <w:rPr>
          <w:lang w:val="en-GB"/>
        </w:rPr>
        <w:t>ment global</w:t>
      </w:r>
      <w:r w:rsidR="00A83F7A" w:rsidRPr="00095CC6">
        <w:rPr>
          <w:lang w:val="en-GB"/>
        </w:rPr>
        <w:t>-</w:t>
      </w:r>
      <w:r w:rsidRPr="00095CC6">
        <w:rPr>
          <w:lang w:val="en-GB"/>
        </w:rPr>
        <w:t>level awareness</w:t>
      </w:r>
      <w:r w:rsidR="00A83F7A" w:rsidRPr="00095CC6">
        <w:rPr>
          <w:lang w:val="en-GB"/>
        </w:rPr>
        <w:t>-</w:t>
      </w:r>
      <w:r w:rsidRPr="00095CC6">
        <w:rPr>
          <w:lang w:val="en-GB"/>
        </w:rPr>
        <w:t xml:space="preserve">raising and normative work with increased direct support </w:t>
      </w:r>
      <w:r w:rsidR="00A83F7A" w:rsidRPr="00095CC6">
        <w:rPr>
          <w:lang w:val="en-GB"/>
        </w:rPr>
        <w:t>for</w:t>
      </w:r>
      <w:r w:rsidRPr="00095CC6">
        <w:rPr>
          <w:lang w:val="en-GB"/>
        </w:rPr>
        <w:t xml:space="preserve"> national and subnational governments in the form of knowledge</w:t>
      </w:r>
      <w:r w:rsidR="00A83F7A" w:rsidRPr="00095CC6">
        <w:rPr>
          <w:lang w:val="en-GB"/>
        </w:rPr>
        <w:t>-</w:t>
      </w:r>
      <w:r w:rsidRPr="00095CC6">
        <w:rPr>
          <w:lang w:val="en-GB"/>
        </w:rPr>
        <w:t>sharing, capacity</w:t>
      </w:r>
      <w:r w:rsidR="00A83F7A" w:rsidRPr="00095CC6">
        <w:rPr>
          <w:lang w:val="en-GB"/>
        </w:rPr>
        <w:t>-</w:t>
      </w:r>
      <w:r w:rsidRPr="00095CC6">
        <w:rPr>
          <w:lang w:val="en-GB"/>
        </w:rPr>
        <w:t>building and technical assistance, with an emphasis on using existing tools to their maximum potential. This includes the creation of a “one</w:t>
      </w:r>
      <w:r w:rsidR="00087DE3" w:rsidRPr="00095CC6">
        <w:rPr>
          <w:lang w:val="en-GB"/>
        </w:rPr>
        <w:t>-</w:t>
      </w:r>
      <w:r w:rsidRPr="00095CC6">
        <w:rPr>
          <w:lang w:val="en-GB"/>
        </w:rPr>
        <w:t>stop shop” for knowledge products and tools dedicated to sustainable infrastructure</w:t>
      </w:r>
      <w:r w:rsidR="00087DE3" w:rsidRPr="00095CC6">
        <w:rPr>
          <w:lang w:val="en-GB"/>
        </w:rPr>
        <w:t>,</w:t>
      </w:r>
      <w:r w:rsidR="001C31AF" w:rsidRPr="00095CC6">
        <w:rPr>
          <w:lang w:val="en-GB"/>
        </w:rPr>
        <w:t xml:space="preserve"> </w:t>
      </w:r>
      <w:r w:rsidRPr="00095CC6">
        <w:rPr>
          <w:lang w:val="en-GB"/>
        </w:rPr>
        <w:t>including case studies that show users when, where, why and how the</w:t>
      </w:r>
      <w:r w:rsidR="007941C3" w:rsidRPr="00095CC6">
        <w:rPr>
          <w:lang w:val="en-GB"/>
        </w:rPr>
        <w:t xml:space="preserve"> products and tools</w:t>
      </w:r>
      <w:r w:rsidRPr="00095CC6">
        <w:rPr>
          <w:lang w:val="en-GB"/>
        </w:rPr>
        <w:t xml:space="preserve"> have been applied and highlight successes and lessons learned</w:t>
      </w:r>
      <w:r w:rsidR="00D544C9" w:rsidRPr="00095CC6">
        <w:rPr>
          <w:lang w:val="en-GB"/>
        </w:rPr>
        <w:t>,</w:t>
      </w:r>
      <w:r w:rsidR="001C31AF" w:rsidRPr="00095CC6">
        <w:rPr>
          <w:lang w:val="en-GB"/>
        </w:rPr>
        <w:t xml:space="preserve"> </w:t>
      </w:r>
      <w:r w:rsidR="00D544C9" w:rsidRPr="00095CC6">
        <w:rPr>
          <w:lang w:val="en-GB"/>
        </w:rPr>
        <w:t xml:space="preserve">as well as </w:t>
      </w:r>
      <w:r w:rsidRPr="00095CC6">
        <w:rPr>
          <w:lang w:val="en-GB"/>
        </w:rPr>
        <w:t>targeted, coordinated capacity</w:t>
      </w:r>
      <w:r w:rsidR="00087DE3" w:rsidRPr="00095CC6">
        <w:rPr>
          <w:lang w:val="en-GB"/>
        </w:rPr>
        <w:t>-</w:t>
      </w:r>
      <w:r w:rsidRPr="00095CC6">
        <w:rPr>
          <w:lang w:val="en-GB"/>
        </w:rPr>
        <w:t>building to help governments adapt and apply the relevant knowledge and tools in diverse local contexts</w:t>
      </w:r>
      <w:r w:rsidR="003C1EEE" w:rsidRPr="00095CC6">
        <w:rPr>
          <w:lang w:val="en-GB"/>
        </w:rPr>
        <w:t>.</w:t>
      </w:r>
    </w:p>
    <w:p w14:paraId="2B29CC68" w14:textId="3D215B89" w:rsidR="00C83D89" w:rsidRPr="00095CC6" w:rsidRDefault="00C83D89" w:rsidP="00C83D89">
      <w:pPr>
        <w:pStyle w:val="Normalnumber"/>
        <w:numPr>
          <w:ilvl w:val="1"/>
          <w:numId w:val="14"/>
        </w:numPr>
        <w:tabs>
          <w:tab w:val="clear" w:pos="1814"/>
          <w:tab w:val="clear" w:pos="2381"/>
          <w:tab w:val="clear" w:pos="2948"/>
          <w:tab w:val="clear" w:pos="3515"/>
          <w:tab w:val="clear" w:pos="4082"/>
          <w:tab w:val="left" w:pos="624"/>
        </w:tabs>
        <w:ind w:left="1247" w:firstLine="624"/>
        <w:rPr>
          <w:lang w:val="en-GB"/>
        </w:rPr>
      </w:pPr>
      <w:r w:rsidRPr="00095CC6">
        <w:rPr>
          <w:lang w:val="en-GB"/>
        </w:rPr>
        <w:t>There is a lack of financing for sustainable infrastructure, and</w:t>
      </w:r>
      <w:r w:rsidR="00D544C9" w:rsidRPr="00095CC6">
        <w:rPr>
          <w:lang w:val="en-GB"/>
        </w:rPr>
        <w:t>,</w:t>
      </w:r>
      <w:r w:rsidRPr="00095CC6">
        <w:rPr>
          <w:lang w:val="en-GB"/>
        </w:rPr>
        <w:t xml:space="preserve"> because of increasingly constrained public budgets, a need </w:t>
      </w:r>
      <w:r w:rsidR="007941C3" w:rsidRPr="00095CC6">
        <w:rPr>
          <w:lang w:val="en-GB"/>
        </w:rPr>
        <w:t>for incentives for</w:t>
      </w:r>
      <w:r w:rsidRPr="00095CC6">
        <w:rPr>
          <w:lang w:val="en-GB"/>
        </w:rPr>
        <w:t xml:space="preserve"> private</w:t>
      </w:r>
      <w:r w:rsidR="009777AA" w:rsidRPr="00095CC6">
        <w:rPr>
          <w:lang w:val="en-GB"/>
        </w:rPr>
        <w:t>-</w:t>
      </w:r>
      <w:r w:rsidRPr="00095CC6">
        <w:rPr>
          <w:lang w:val="en-GB"/>
        </w:rPr>
        <w:t xml:space="preserve">sector investors to invest in sustainable projects. Current barriers to increased public and private investment include the perception that sustainable </w:t>
      </w:r>
      <w:r w:rsidRPr="00095CC6">
        <w:rPr>
          <w:color w:val="000000" w:themeColor="text1"/>
          <w:lang w:val="en-GB"/>
        </w:rPr>
        <w:t>infrastructure</w:t>
      </w:r>
      <w:r w:rsidRPr="00095CC6">
        <w:rPr>
          <w:lang w:val="en-GB"/>
        </w:rPr>
        <w:t xml:space="preserve"> is more expensive than less sustainable “business-as-usual” options and a lack of financing mechanisms for sustainable infrastructure. This points to a need to develop business cases for sustainable infrastructure</w:t>
      </w:r>
      <w:r w:rsidR="00D544C9" w:rsidRPr="00095CC6">
        <w:rPr>
          <w:lang w:val="en-GB"/>
        </w:rPr>
        <w:t>,</w:t>
      </w:r>
      <w:r w:rsidR="001C31AF" w:rsidRPr="00095CC6">
        <w:rPr>
          <w:lang w:val="en-GB"/>
        </w:rPr>
        <w:t xml:space="preserve"> </w:t>
      </w:r>
      <w:r w:rsidRPr="00095CC6">
        <w:rPr>
          <w:lang w:val="en-GB"/>
        </w:rPr>
        <w:t xml:space="preserve">including </w:t>
      </w:r>
      <w:r w:rsidR="003E6895">
        <w:rPr>
          <w:lang w:val="en-GB"/>
        </w:rPr>
        <w:t>Nature</w:t>
      </w:r>
      <w:r w:rsidR="003E6895">
        <w:rPr>
          <w:lang w:val="en-GB"/>
        </w:rPr>
        <w:noBreakHyphen/>
        <w:t>based</w:t>
      </w:r>
      <w:r w:rsidRPr="00095CC6">
        <w:rPr>
          <w:lang w:val="en-GB"/>
        </w:rPr>
        <w:t xml:space="preserve"> solutions</w:t>
      </w:r>
      <w:r w:rsidR="001C31AF" w:rsidRPr="00095CC6">
        <w:rPr>
          <w:lang w:val="en-GB"/>
        </w:rPr>
        <w:t xml:space="preserve"> </w:t>
      </w:r>
      <w:r w:rsidRPr="00095CC6">
        <w:rPr>
          <w:lang w:val="en-GB"/>
        </w:rPr>
        <w:t>that factor in the long-term economic, social and environmental benefits that can offset upfront costs, and for innovative financing mechanisms that incorporate these costs and benefits and allocate risk accordingly</w:t>
      </w:r>
      <w:r w:rsidR="003C1EEE" w:rsidRPr="00095CC6">
        <w:rPr>
          <w:lang w:val="en-GB"/>
        </w:rPr>
        <w:t>.</w:t>
      </w:r>
      <w:r w:rsidRPr="00095CC6">
        <w:rPr>
          <w:lang w:val="en-GB"/>
        </w:rPr>
        <w:t xml:space="preserve"> </w:t>
      </w:r>
    </w:p>
    <w:p w14:paraId="7D937DD4" w14:textId="5DE403BF" w:rsidR="00C83D89" w:rsidRPr="00095CC6" w:rsidRDefault="00C83D89" w:rsidP="00C83D89">
      <w:pPr>
        <w:pStyle w:val="Normalnumber"/>
        <w:numPr>
          <w:ilvl w:val="1"/>
          <w:numId w:val="14"/>
        </w:numPr>
        <w:tabs>
          <w:tab w:val="clear" w:pos="1814"/>
          <w:tab w:val="clear" w:pos="2381"/>
          <w:tab w:val="clear" w:pos="2948"/>
          <w:tab w:val="clear" w:pos="3515"/>
          <w:tab w:val="clear" w:pos="4082"/>
          <w:tab w:val="left" w:pos="624"/>
        </w:tabs>
        <w:ind w:left="1247" w:firstLine="624"/>
        <w:rPr>
          <w:lang w:val="en-GB"/>
        </w:rPr>
      </w:pPr>
      <w:r w:rsidRPr="00095CC6">
        <w:rPr>
          <w:lang w:val="en-GB"/>
        </w:rPr>
        <w:t xml:space="preserve">There is no existing measurement framework for monitoring the sustainability of infrastructure in a </w:t>
      </w:r>
      <w:r w:rsidRPr="00095CC6">
        <w:rPr>
          <w:color w:val="000000" w:themeColor="text1"/>
          <w:lang w:val="en-GB"/>
        </w:rPr>
        <w:t>holistic</w:t>
      </w:r>
      <w:r w:rsidRPr="00095CC6">
        <w:rPr>
          <w:lang w:val="en-GB"/>
        </w:rPr>
        <w:t xml:space="preserve"> way at the aggregate (e.g.</w:t>
      </w:r>
      <w:r w:rsidR="007941C3" w:rsidRPr="00095CC6">
        <w:rPr>
          <w:lang w:val="en-GB"/>
        </w:rPr>
        <w:t>,</w:t>
      </w:r>
      <w:r w:rsidRPr="00095CC6">
        <w:rPr>
          <w:lang w:val="en-GB"/>
        </w:rPr>
        <w:t xml:space="preserve"> national) level. The current indicator for measuring progress towards target 9.1 </w:t>
      </w:r>
      <w:r w:rsidR="00D544C9" w:rsidRPr="00095CC6">
        <w:rPr>
          <w:lang w:val="en-GB"/>
        </w:rPr>
        <w:t xml:space="preserve">of the Sustainable Development Goals </w:t>
      </w:r>
      <w:r w:rsidRPr="00095CC6">
        <w:rPr>
          <w:lang w:val="en-GB"/>
        </w:rPr>
        <w:t>only directly captures economic aspects of infrastructure</w:t>
      </w:r>
      <w:r w:rsidR="003C1EEE" w:rsidRPr="00095CC6">
        <w:rPr>
          <w:lang w:val="en-GB"/>
        </w:rPr>
        <w:t>.</w:t>
      </w:r>
      <w:r w:rsidRPr="00095CC6">
        <w:rPr>
          <w:lang w:val="en-GB"/>
        </w:rPr>
        <w:t xml:space="preserve"> </w:t>
      </w:r>
    </w:p>
    <w:p w14:paraId="1E4F3C3B" w14:textId="74DBB508" w:rsidR="00C83D89" w:rsidRPr="00095CC6" w:rsidRDefault="00C83D89" w:rsidP="00C83D89">
      <w:pPr>
        <w:pStyle w:val="Normalnumber"/>
        <w:numPr>
          <w:ilvl w:val="1"/>
          <w:numId w:val="14"/>
        </w:numPr>
        <w:tabs>
          <w:tab w:val="clear" w:pos="1814"/>
          <w:tab w:val="clear" w:pos="2381"/>
          <w:tab w:val="clear" w:pos="2948"/>
          <w:tab w:val="clear" w:pos="3515"/>
          <w:tab w:val="clear" w:pos="4082"/>
          <w:tab w:val="left" w:pos="624"/>
        </w:tabs>
        <w:ind w:left="1247" w:firstLine="624"/>
        <w:rPr>
          <w:color w:val="000000" w:themeColor="text1"/>
          <w:lang w:val="en-GB"/>
        </w:rPr>
      </w:pPr>
      <w:r w:rsidRPr="00095CC6">
        <w:rPr>
          <w:lang w:val="en-GB"/>
        </w:rPr>
        <w:t xml:space="preserve">The COVID-19 pandemic and </w:t>
      </w:r>
      <w:r w:rsidR="003C1EEE" w:rsidRPr="00095CC6">
        <w:rPr>
          <w:lang w:val="en-GB"/>
        </w:rPr>
        <w:t xml:space="preserve">the </w:t>
      </w:r>
      <w:r w:rsidRPr="00095CC6">
        <w:rPr>
          <w:lang w:val="en-GB"/>
        </w:rPr>
        <w:t>resulting economic crisis ha</w:t>
      </w:r>
      <w:r w:rsidR="003C1EEE" w:rsidRPr="00095CC6">
        <w:rPr>
          <w:lang w:val="en-GB"/>
        </w:rPr>
        <w:t>ve compounded</w:t>
      </w:r>
      <w:r w:rsidRPr="00095CC6">
        <w:rPr>
          <w:lang w:val="en-GB"/>
        </w:rPr>
        <w:t xml:space="preserve"> the urgency of addressing infrastructure challenges, with many large-scale infrastructure investments planned as part of </w:t>
      </w:r>
      <w:r w:rsidRPr="00095CC6">
        <w:rPr>
          <w:color w:val="000000" w:themeColor="text1"/>
          <w:lang w:val="en-GB"/>
        </w:rPr>
        <w:t>stimulus</w:t>
      </w:r>
      <w:r w:rsidRPr="00095CC6">
        <w:rPr>
          <w:lang w:val="en-GB"/>
        </w:rPr>
        <w:t xml:space="preserve"> measures. Lessons from previous recoveries demonstrate the need to ensure that these investments are sustainable, since they will shape the future of economies and societies</w:t>
      </w:r>
      <w:r w:rsidR="00601AF9" w:rsidRPr="00095CC6">
        <w:rPr>
          <w:lang w:val="en-GB"/>
        </w:rPr>
        <w:t xml:space="preserve"> and affect</w:t>
      </w:r>
      <w:r w:rsidRPr="00095CC6">
        <w:rPr>
          <w:lang w:val="en-GB"/>
        </w:rPr>
        <w:t xml:space="preserve"> the achievement of the S</w:t>
      </w:r>
      <w:r w:rsidR="00601AF9" w:rsidRPr="00095CC6">
        <w:rPr>
          <w:lang w:val="en-GB"/>
        </w:rPr>
        <w:t xml:space="preserve">ustainable </w:t>
      </w:r>
      <w:r w:rsidRPr="00095CC6">
        <w:rPr>
          <w:lang w:val="en-GB"/>
        </w:rPr>
        <w:t>D</w:t>
      </w:r>
      <w:r w:rsidR="00601AF9" w:rsidRPr="00095CC6">
        <w:rPr>
          <w:lang w:val="en-GB"/>
        </w:rPr>
        <w:t xml:space="preserve">evelopment </w:t>
      </w:r>
      <w:r w:rsidRPr="00095CC6">
        <w:rPr>
          <w:lang w:val="en-GB"/>
        </w:rPr>
        <w:t>G</w:t>
      </w:r>
      <w:r w:rsidR="00601AF9" w:rsidRPr="00095CC6">
        <w:rPr>
          <w:lang w:val="en-GB"/>
        </w:rPr>
        <w:t>oal</w:t>
      </w:r>
      <w:r w:rsidRPr="00095CC6">
        <w:rPr>
          <w:lang w:val="en-GB"/>
        </w:rPr>
        <w:t xml:space="preserve">s and the </w:t>
      </w:r>
      <w:r w:rsidR="003C1EEE" w:rsidRPr="00095CC6">
        <w:rPr>
          <w:lang w:val="en-GB"/>
        </w:rPr>
        <w:t xml:space="preserve">goals of the </w:t>
      </w:r>
      <w:r w:rsidRPr="00095CC6">
        <w:rPr>
          <w:lang w:val="en-GB"/>
        </w:rPr>
        <w:t xml:space="preserve">Paris Agreement. </w:t>
      </w:r>
    </w:p>
    <w:p w14:paraId="60C673FB" w14:textId="2BBCF828" w:rsidR="00C83D89" w:rsidRPr="00095CC6" w:rsidRDefault="002A50DE" w:rsidP="00945D6D">
      <w:pPr>
        <w:pStyle w:val="CH1"/>
      </w:pPr>
      <w:r w:rsidRPr="00095CC6">
        <w:tab/>
      </w:r>
      <w:r w:rsidR="00327491" w:rsidRPr="00095CC6">
        <w:t>III</w:t>
      </w:r>
      <w:r w:rsidRPr="00095CC6">
        <w:t>.</w:t>
      </w:r>
      <w:r w:rsidRPr="00095CC6">
        <w:tab/>
      </w:r>
      <w:r w:rsidR="00C83D89" w:rsidRPr="00095CC6">
        <w:t>Recommendations and suggested actions</w:t>
      </w:r>
    </w:p>
    <w:p w14:paraId="385C4824" w14:textId="5A254259" w:rsidR="00C83D89" w:rsidRPr="00095CC6" w:rsidRDefault="00C83D89" w:rsidP="001C7D11">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lang w:val="en-GB"/>
        </w:rPr>
      </w:pPr>
      <w:r w:rsidRPr="00095CC6">
        <w:rPr>
          <w:rFonts w:eastAsia="MS Mincho"/>
          <w:color w:val="000000" w:themeColor="text1"/>
          <w:lang w:val="en-GB"/>
        </w:rPr>
        <w:t xml:space="preserve">The Environment Assembly may wish to recognize the importance of sustainable infrastructure to “building back better” and a green </w:t>
      </w:r>
      <w:r w:rsidR="00095CC6">
        <w:rPr>
          <w:rFonts w:eastAsia="MS Mincho"/>
          <w:color w:val="000000" w:themeColor="text1"/>
          <w:lang w:val="en-GB"/>
        </w:rPr>
        <w:t>post</w:t>
      </w:r>
      <w:r w:rsidR="00095CC6">
        <w:rPr>
          <w:rFonts w:eastAsia="MS Mincho"/>
          <w:color w:val="000000" w:themeColor="text1"/>
          <w:lang w:val="en-GB"/>
        </w:rPr>
        <w:noBreakHyphen/>
        <w:t>COVID-19</w:t>
      </w:r>
      <w:r w:rsidRPr="00095CC6">
        <w:rPr>
          <w:rFonts w:eastAsia="MS Mincho"/>
          <w:color w:val="000000" w:themeColor="text1"/>
          <w:lang w:val="en-GB"/>
        </w:rPr>
        <w:t xml:space="preserve"> recovery, and </w:t>
      </w:r>
      <w:r w:rsidR="00FC27C4" w:rsidRPr="00095CC6">
        <w:rPr>
          <w:rFonts w:eastAsia="MS Mincho"/>
          <w:color w:val="000000" w:themeColor="text1"/>
          <w:lang w:val="en-GB"/>
        </w:rPr>
        <w:t xml:space="preserve">to </w:t>
      </w:r>
      <w:r w:rsidRPr="00095CC6">
        <w:rPr>
          <w:rFonts w:eastAsia="MS Mincho"/>
          <w:color w:val="000000" w:themeColor="text1"/>
          <w:lang w:val="en-GB"/>
        </w:rPr>
        <w:t xml:space="preserve">consider how investments in social, economic and ecological infrastructure can support economic recovery, </w:t>
      </w:r>
      <w:r w:rsidR="00FC27C4" w:rsidRPr="00095CC6">
        <w:rPr>
          <w:rFonts w:eastAsia="MS Mincho"/>
          <w:color w:val="000000" w:themeColor="text1"/>
          <w:lang w:val="en-GB"/>
        </w:rPr>
        <w:t xml:space="preserve">create </w:t>
      </w:r>
      <w:r w:rsidRPr="00095CC6">
        <w:rPr>
          <w:rFonts w:eastAsia="MS Mincho"/>
          <w:color w:val="000000" w:themeColor="text1"/>
          <w:lang w:val="en-GB"/>
        </w:rPr>
        <w:t>green jobs</w:t>
      </w:r>
      <w:r w:rsidR="00BD27E2" w:rsidRPr="00095CC6">
        <w:rPr>
          <w:rFonts w:eastAsia="MS Mincho"/>
          <w:color w:val="000000" w:themeColor="text1"/>
          <w:lang w:val="en-GB"/>
        </w:rPr>
        <w:t>,</w:t>
      </w:r>
      <w:r w:rsidRPr="00095CC6">
        <w:rPr>
          <w:rFonts w:eastAsia="MS Mincho"/>
          <w:color w:val="000000" w:themeColor="text1"/>
          <w:lang w:val="en-GB"/>
        </w:rPr>
        <w:t xml:space="preserve"> and build resilience to future crises as well as inclusive and healthy societies. </w:t>
      </w:r>
    </w:p>
    <w:p w14:paraId="47484C64" w14:textId="6C46C228" w:rsidR="00C83D89" w:rsidRPr="00095CC6" w:rsidRDefault="00C83D89" w:rsidP="001C7D11">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kern w:val="2"/>
          <w:lang w:val="en-GB"/>
        </w:rPr>
      </w:pPr>
      <w:r w:rsidRPr="00095CC6">
        <w:rPr>
          <w:rFonts w:eastAsia="MS Mincho"/>
          <w:color w:val="000000" w:themeColor="text1"/>
          <w:lang w:val="en-GB"/>
        </w:rPr>
        <w:t xml:space="preserve">The Assembly </w:t>
      </w:r>
      <w:r w:rsidRPr="00095CC6">
        <w:rPr>
          <w:color w:val="000000" w:themeColor="text1"/>
          <w:lang w:val="en-GB"/>
        </w:rPr>
        <w:t xml:space="preserve">may wish to consider adopting sustainable infrastructure guidelines that, </w:t>
      </w:r>
      <w:r w:rsidR="00DC468F" w:rsidRPr="00095CC6">
        <w:rPr>
          <w:color w:val="000000" w:themeColor="text1"/>
          <w:lang w:val="en-GB"/>
        </w:rPr>
        <w:t xml:space="preserve">together </w:t>
      </w:r>
      <w:r w:rsidRPr="00095CC6">
        <w:rPr>
          <w:color w:val="000000" w:themeColor="text1"/>
          <w:lang w:val="en-GB"/>
        </w:rPr>
        <w:t xml:space="preserve">with associated policy and regulatory incentives to promote compliance, can help </w:t>
      </w:r>
      <w:r w:rsidRPr="00095CC6">
        <w:rPr>
          <w:lang w:val="en-GB"/>
        </w:rPr>
        <w:t>Member</w:t>
      </w:r>
      <w:r w:rsidRPr="00095CC6">
        <w:rPr>
          <w:color w:val="000000" w:themeColor="text1"/>
          <w:lang w:val="en-GB"/>
        </w:rPr>
        <w:t xml:space="preserve"> States implement </w:t>
      </w:r>
      <w:r w:rsidR="00DC468F" w:rsidRPr="00095CC6">
        <w:rPr>
          <w:color w:val="000000" w:themeColor="text1"/>
          <w:lang w:val="en-GB"/>
        </w:rPr>
        <w:t>resolution 4/5</w:t>
      </w:r>
      <w:r w:rsidRPr="00095CC6">
        <w:rPr>
          <w:color w:val="000000" w:themeColor="text1"/>
          <w:lang w:val="en-GB"/>
        </w:rPr>
        <w:t xml:space="preserve"> on </w:t>
      </w:r>
      <w:r w:rsidR="00DC468F" w:rsidRPr="00095CC6">
        <w:rPr>
          <w:color w:val="000000" w:themeColor="text1"/>
          <w:lang w:val="en-GB"/>
        </w:rPr>
        <w:t>s</w:t>
      </w:r>
      <w:r w:rsidRPr="00095CC6">
        <w:rPr>
          <w:color w:val="000000" w:themeColor="text1"/>
          <w:lang w:val="en-GB"/>
        </w:rPr>
        <w:t xml:space="preserve">ustainable </w:t>
      </w:r>
      <w:r w:rsidR="00DC468F" w:rsidRPr="00095CC6">
        <w:rPr>
          <w:color w:val="000000" w:themeColor="text1"/>
          <w:lang w:val="en-GB"/>
        </w:rPr>
        <w:t>i</w:t>
      </w:r>
      <w:r w:rsidRPr="00095CC6">
        <w:rPr>
          <w:color w:val="000000" w:themeColor="text1"/>
          <w:lang w:val="en-GB"/>
        </w:rPr>
        <w:t xml:space="preserve">nfrastructure, including </w:t>
      </w:r>
      <w:r w:rsidR="003C1EEE" w:rsidRPr="00095CC6">
        <w:rPr>
          <w:color w:val="000000" w:themeColor="text1"/>
          <w:lang w:val="en-GB"/>
        </w:rPr>
        <w:t>by</w:t>
      </w:r>
      <w:r w:rsidRPr="00095CC6">
        <w:rPr>
          <w:color w:val="000000" w:themeColor="text1"/>
          <w:lang w:val="en-GB"/>
        </w:rPr>
        <w:t xml:space="preserve"> develop</w:t>
      </w:r>
      <w:r w:rsidR="003C1EEE" w:rsidRPr="00095CC6">
        <w:rPr>
          <w:color w:val="000000" w:themeColor="text1"/>
          <w:lang w:val="en-GB"/>
        </w:rPr>
        <w:t>ing</w:t>
      </w:r>
      <w:r w:rsidRPr="00095CC6">
        <w:rPr>
          <w:color w:val="000000" w:themeColor="text1"/>
          <w:lang w:val="en-GB"/>
        </w:rPr>
        <w:t xml:space="preserve"> and strengthen</w:t>
      </w:r>
      <w:r w:rsidR="003C1EEE" w:rsidRPr="00095CC6">
        <w:rPr>
          <w:color w:val="000000" w:themeColor="text1"/>
          <w:lang w:val="en-GB"/>
        </w:rPr>
        <w:t>ing</w:t>
      </w:r>
      <w:r w:rsidRPr="00095CC6">
        <w:rPr>
          <w:color w:val="000000" w:themeColor="text1"/>
          <w:lang w:val="en-GB"/>
        </w:rPr>
        <w:t xml:space="preserve"> national and regional systems-level strategic approaches to infrastructure planning and promot</w:t>
      </w:r>
      <w:r w:rsidR="003C1EEE" w:rsidRPr="00095CC6">
        <w:rPr>
          <w:color w:val="000000" w:themeColor="text1"/>
          <w:lang w:val="en-GB"/>
        </w:rPr>
        <w:t>ing</w:t>
      </w:r>
      <w:r w:rsidRPr="00095CC6">
        <w:rPr>
          <w:color w:val="000000" w:themeColor="text1"/>
          <w:lang w:val="en-GB"/>
        </w:rPr>
        <w:t xml:space="preserve"> </w:t>
      </w:r>
      <w:r w:rsidR="003E6895">
        <w:rPr>
          <w:color w:val="000000" w:themeColor="text1"/>
          <w:lang w:val="en-GB"/>
        </w:rPr>
        <w:t>Nature</w:t>
      </w:r>
      <w:r w:rsidR="003E6895">
        <w:rPr>
          <w:color w:val="000000" w:themeColor="text1"/>
          <w:lang w:val="en-GB"/>
        </w:rPr>
        <w:noBreakHyphen/>
        <w:t>based</w:t>
      </w:r>
      <w:r w:rsidRPr="00095CC6">
        <w:rPr>
          <w:color w:val="000000" w:themeColor="text1"/>
          <w:lang w:val="en-GB"/>
        </w:rPr>
        <w:t xml:space="preserve"> solutions as key components of such approaches.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83403A" w:rsidRPr="003B557F" w14:paraId="445E4CDE" w14:textId="77777777" w:rsidTr="00601AF9">
        <w:tc>
          <w:tcPr>
            <w:tcW w:w="1897" w:type="dxa"/>
          </w:tcPr>
          <w:p w14:paraId="624389E5" w14:textId="77777777" w:rsidR="0083403A" w:rsidRPr="003B557F" w:rsidRDefault="0083403A" w:rsidP="0010497A">
            <w:pPr>
              <w:pStyle w:val="Normal-pool"/>
              <w:rPr>
                <w:rFonts w:ascii="Times New Roman" w:hAnsi="Times New Roman"/>
                <w:sz w:val="4"/>
                <w:szCs w:val="4"/>
                <w:lang w:val="en-GB"/>
              </w:rPr>
            </w:pPr>
          </w:p>
        </w:tc>
        <w:tc>
          <w:tcPr>
            <w:tcW w:w="1897" w:type="dxa"/>
          </w:tcPr>
          <w:p w14:paraId="540DF7AC" w14:textId="77777777" w:rsidR="0083403A" w:rsidRPr="003B557F" w:rsidRDefault="0083403A" w:rsidP="0010497A">
            <w:pPr>
              <w:pStyle w:val="Normal-pool"/>
              <w:rPr>
                <w:rFonts w:ascii="Times New Roman" w:hAnsi="Times New Roman"/>
                <w:sz w:val="4"/>
                <w:szCs w:val="4"/>
                <w:lang w:val="en-GB"/>
              </w:rPr>
            </w:pPr>
          </w:p>
        </w:tc>
        <w:tc>
          <w:tcPr>
            <w:tcW w:w="1897" w:type="dxa"/>
            <w:tcBorders>
              <w:bottom w:val="single" w:sz="4" w:space="0" w:color="auto"/>
            </w:tcBorders>
          </w:tcPr>
          <w:p w14:paraId="36E36763" w14:textId="77777777" w:rsidR="0083403A" w:rsidRPr="003B557F" w:rsidRDefault="0083403A" w:rsidP="0010497A">
            <w:pPr>
              <w:pStyle w:val="Normal-pool"/>
              <w:rPr>
                <w:rFonts w:ascii="Times New Roman" w:hAnsi="Times New Roman"/>
                <w:sz w:val="4"/>
                <w:szCs w:val="4"/>
                <w:lang w:val="en-GB"/>
              </w:rPr>
            </w:pPr>
          </w:p>
        </w:tc>
        <w:tc>
          <w:tcPr>
            <w:tcW w:w="1897" w:type="dxa"/>
          </w:tcPr>
          <w:p w14:paraId="4D021C01" w14:textId="77777777" w:rsidR="0083403A" w:rsidRPr="003B557F" w:rsidRDefault="0083403A" w:rsidP="0010497A">
            <w:pPr>
              <w:pStyle w:val="Normal-pool"/>
              <w:rPr>
                <w:rFonts w:ascii="Times New Roman" w:hAnsi="Times New Roman"/>
                <w:sz w:val="4"/>
                <w:szCs w:val="4"/>
                <w:lang w:val="en-GB"/>
              </w:rPr>
            </w:pPr>
          </w:p>
        </w:tc>
        <w:tc>
          <w:tcPr>
            <w:tcW w:w="1898" w:type="dxa"/>
          </w:tcPr>
          <w:p w14:paraId="64F92070" w14:textId="77777777" w:rsidR="0083403A" w:rsidRPr="003B557F" w:rsidRDefault="0083403A" w:rsidP="0010497A">
            <w:pPr>
              <w:pStyle w:val="Normal-pool"/>
              <w:rPr>
                <w:rFonts w:ascii="Times New Roman" w:hAnsi="Times New Roman"/>
                <w:sz w:val="4"/>
                <w:szCs w:val="4"/>
                <w:lang w:val="en-GB"/>
              </w:rPr>
            </w:pPr>
          </w:p>
        </w:tc>
      </w:tr>
    </w:tbl>
    <w:p w14:paraId="78547EEA" w14:textId="77777777" w:rsidR="00030898" w:rsidRPr="00095CC6" w:rsidRDefault="00030898" w:rsidP="0010497A">
      <w:pPr>
        <w:pStyle w:val="Normal-pool"/>
        <w:rPr>
          <w:sz w:val="4"/>
          <w:szCs w:val="4"/>
          <w:lang w:val="en-GB"/>
        </w:rPr>
      </w:pPr>
    </w:p>
    <w:sectPr w:rsidR="00030898" w:rsidRPr="00095CC6" w:rsidSect="006E6722">
      <w:headerReference w:type="even" r:id="rId23"/>
      <w:headerReference w:type="default" r:id="rId24"/>
      <w:footerReference w:type="even" r:id="rId25"/>
      <w:footerReference w:type="default" r:id="rId26"/>
      <w:headerReference w:type="first" r:id="rId27"/>
      <w:footerReference w:type="first" r:id="rId28"/>
      <w:footnotePr>
        <w:numRestart w:val="eachSect"/>
      </w:footnotePr>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E5268F" w14:textId="77777777" w:rsidR="002236FD" w:rsidRDefault="002236FD">
      <w:r>
        <w:separator/>
      </w:r>
    </w:p>
    <w:p w14:paraId="290506E1" w14:textId="77777777" w:rsidR="002236FD" w:rsidRDefault="002236FD"/>
  </w:endnote>
  <w:endnote w:type="continuationSeparator" w:id="0">
    <w:p w14:paraId="46E27A3C" w14:textId="77777777" w:rsidR="002236FD" w:rsidRDefault="002236FD">
      <w:r>
        <w:continuationSeparator/>
      </w:r>
    </w:p>
    <w:p w14:paraId="79782031" w14:textId="77777777" w:rsidR="002236FD" w:rsidRDefault="002236FD"/>
  </w:endnote>
  <w:endnote w:type="continuationNotice" w:id="1">
    <w:p w14:paraId="64DF76A1" w14:textId="77777777" w:rsidR="002236FD" w:rsidRDefault="002236FD"/>
    <w:p w14:paraId="6BD6EA3C" w14:textId="77777777" w:rsidR="002236FD" w:rsidRDefault="002236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8873601"/>
      <w:docPartObj>
        <w:docPartGallery w:val="Page Numbers (Bottom of Page)"/>
        <w:docPartUnique/>
      </w:docPartObj>
    </w:sdtPr>
    <w:sdtEndPr>
      <w:rPr>
        <w:noProof/>
      </w:rPr>
    </w:sdtEndPr>
    <w:sdtContent>
      <w:p w14:paraId="1BD76139" w14:textId="06994E44" w:rsidR="00000000" w:rsidRDefault="00601AF9" w:rsidP="00F73DAA">
        <w:pPr>
          <w:pStyle w:val="Footer-pool"/>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3744687"/>
      <w:docPartObj>
        <w:docPartGallery w:val="Page Numbers (Bottom of Page)"/>
        <w:docPartUnique/>
      </w:docPartObj>
    </w:sdtPr>
    <w:sdtEndPr/>
    <w:sdtContent>
      <w:p w14:paraId="59D374BF" w14:textId="22841C40" w:rsidR="00000000" w:rsidRDefault="00601AF9" w:rsidP="00F73DAA">
        <w:pPr>
          <w:pStyle w:val="Footer-pool"/>
          <w:jc w:val="right"/>
        </w:pPr>
        <w:r w:rsidRPr="00B87AB1">
          <w:fldChar w:fldCharType="begin"/>
        </w:r>
        <w:r w:rsidRPr="00B87AB1">
          <w:instrText xml:space="preserve"> PAGE   \* MERGEFORMAT </w:instrText>
        </w:r>
        <w:r w:rsidRPr="00B87AB1">
          <w:fldChar w:fldCharType="separate"/>
        </w:r>
        <w:r w:rsidRPr="00B87AB1">
          <w:t>2</w:t>
        </w:r>
        <w:r w:rsidRPr="00B87AB1">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0CEB3" w14:textId="13A2BFC6" w:rsidR="00601AF9" w:rsidRPr="00B87AB1" w:rsidRDefault="00601AF9" w:rsidP="00B87AB1">
    <w:pPr>
      <w:pStyle w:val="Footer-pool"/>
      <w:rPr>
        <w:b w:val="0"/>
        <w:bCs/>
        <w:sz w:val="20"/>
      </w:rPr>
    </w:pPr>
    <w:r w:rsidRPr="00B87AB1">
      <w:rPr>
        <w:b w:val="0"/>
        <w:bCs/>
        <w:sz w:val="20"/>
      </w:rPr>
      <w:t>K2002</w:t>
    </w:r>
    <w:r>
      <w:rPr>
        <w:b w:val="0"/>
        <w:bCs/>
        <w:sz w:val="20"/>
      </w:rPr>
      <w:t>569</w:t>
    </w:r>
    <w:r w:rsidRPr="00B87AB1">
      <w:rPr>
        <w:b w:val="0"/>
        <w:bCs/>
        <w:sz w:val="20"/>
      </w:rPr>
      <w:tab/>
    </w:r>
    <w:r w:rsidR="00D336AC">
      <w:rPr>
        <w:b w:val="0"/>
        <w:bCs/>
        <w:sz w:val="20"/>
      </w:rPr>
      <w:t>2912</w:t>
    </w:r>
    <w:r w:rsidR="00D336AC" w:rsidRPr="00B87AB1">
      <w:rPr>
        <w:b w:val="0"/>
        <w:bCs/>
        <w:sz w:val="20"/>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1FBED7" w14:textId="77777777" w:rsidR="002236FD" w:rsidRPr="00F73DAA" w:rsidRDefault="002236FD" w:rsidP="00F73DAA">
      <w:pPr>
        <w:tabs>
          <w:tab w:val="clear" w:pos="1247"/>
          <w:tab w:val="clear" w:pos="1814"/>
          <w:tab w:val="clear" w:pos="2381"/>
          <w:tab w:val="clear" w:pos="2948"/>
          <w:tab w:val="clear" w:pos="3515"/>
          <w:tab w:val="left" w:pos="624"/>
        </w:tabs>
        <w:spacing w:before="60"/>
        <w:ind w:left="624"/>
        <w:rPr>
          <w:sz w:val="18"/>
          <w:szCs w:val="18"/>
        </w:rPr>
      </w:pPr>
      <w:r w:rsidRPr="00643832">
        <w:rPr>
          <w:sz w:val="18"/>
          <w:szCs w:val="18"/>
        </w:rPr>
        <w:separator/>
      </w:r>
    </w:p>
  </w:footnote>
  <w:footnote w:type="continuationSeparator" w:id="0">
    <w:p w14:paraId="32E177C6" w14:textId="77777777" w:rsidR="002236FD" w:rsidRDefault="002236FD">
      <w:r>
        <w:continuationSeparator/>
      </w:r>
    </w:p>
    <w:p w14:paraId="0EBCAF04" w14:textId="77777777" w:rsidR="002236FD" w:rsidRDefault="002236FD"/>
  </w:footnote>
  <w:footnote w:type="continuationNotice" w:id="1">
    <w:p w14:paraId="57245076" w14:textId="77777777" w:rsidR="002236FD" w:rsidRDefault="002236FD"/>
    <w:p w14:paraId="272FA765" w14:textId="77777777" w:rsidR="002236FD" w:rsidRDefault="002236FD"/>
  </w:footnote>
  <w:footnote w:id="2">
    <w:p w14:paraId="3D859FB9" w14:textId="77777777" w:rsidR="00F1428C" w:rsidRPr="00F73DAA" w:rsidRDefault="00F1428C" w:rsidP="00F73DAA">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945D6D">
        <w:rPr>
          <w:sz w:val="18"/>
          <w:szCs w:val="18"/>
        </w:rPr>
        <w:t>*</w:t>
      </w:r>
      <w:r w:rsidRPr="00F73DAA">
        <w:rPr>
          <w:sz w:val="18"/>
          <w:szCs w:val="18"/>
        </w:rPr>
        <w:t xml:space="preserve"> In accordance with the decisions taken at the meeting of the Bureau of the United Nations Environment Assembly held on 8 October 2020 and at the joint meeting of the </w:t>
      </w:r>
      <w:proofErr w:type="spellStart"/>
      <w:r w:rsidRPr="00F73DAA">
        <w:rPr>
          <w:sz w:val="18"/>
          <w:szCs w:val="18"/>
        </w:rPr>
        <w:t>Bureaux</w:t>
      </w:r>
      <w:proofErr w:type="spellEnd"/>
      <w:r w:rsidRPr="00F73DAA">
        <w:rPr>
          <w:sz w:val="18"/>
          <w:szCs w:val="18"/>
        </w:rPr>
        <w:t xml:space="preserve"> of the United Nations Environment Assembly and the Committee of Permanent Representatives held on 1 December 2020, the fifth session of the Assembly is expected to adjourn on 23 February 2021 and resume as an in-person meeting in February 2022.</w:t>
      </w:r>
    </w:p>
  </w:footnote>
  <w:footnote w:id="3">
    <w:p w14:paraId="756F6A15" w14:textId="77777777" w:rsidR="00C242FF" w:rsidRPr="00F73DAA" w:rsidRDefault="00C242FF" w:rsidP="00F73DAA">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F73DAA">
        <w:rPr>
          <w:sz w:val="18"/>
          <w:szCs w:val="18"/>
        </w:rPr>
        <w:t>** UNEP/EA.5/1/Rev.1.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B2FA4" w14:textId="2DB9D278" w:rsidR="00000000" w:rsidRDefault="00601AF9" w:rsidP="00F73DAA">
    <w:pPr>
      <w:pStyle w:val="Header-pool"/>
    </w:pPr>
    <w:r w:rsidRPr="00A67F0E">
      <w:rPr>
        <w:bCs/>
        <w:lang w:val="en-GB"/>
      </w:rPr>
      <w:t>UNEP</w:t>
    </w:r>
    <w:r w:rsidRPr="00A67F0E">
      <w:rPr>
        <w:noProof/>
        <w:lang w:val="en-GB"/>
      </w:rPr>
      <w:t>/EA.</w:t>
    </w:r>
    <w:r>
      <w:rPr>
        <w:noProof/>
        <w:lang w:val="en-GB"/>
      </w:rPr>
      <w:t>5</w:t>
    </w:r>
    <w:r w:rsidRPr="00A67F0E">
      <w:rPr>
        <w:noProof/>
        <w:lang w:val="en-GB"/>
      </w:rPr>
      <w:t>/</w:t>
    </w:r>
    <w:r>
      <w:rPr>
        <w:noProof/>
        <w:lang w:val="en-GB"/>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47C51" w14:textId="4CCC0309" w:rsidR="00000000" w:rsidRDefault="00601AF9" w:rsidP="00F73DAA">
    <w:pPr>
      <w:pStyle w:val="Header-pool"/>
      <w:jc w:val="right"/>
    </w:pPr>
    <w:r w:rsidRPr="00A67F0E">
      <w:rPr>
        <w:bCs/>
        <w:lang w:val="en-GB"/>
      </w:rPr>
      <w:t>UNEP</w:t>
    </w:r>
    <w:r w:rsidRPr="00A67F0E">
      <w:rPr>
        <w:noProof/>
        <w:lang w:val="en-GB"/>
      </w:rPr>
      <w:t>/EA.</w:t>
    </w:r>
    <w:r>
      <w:rPr>
        <w:noProof/>
        <w:lang w:val="en-GB"/>
      </w:rPr>
      <w:t>5</w:t>
    </w:r>
    <w:r w:rsidRPr="00A67F0E">
      <w:rPr>
        <w:noProof/>
        <w:lang w:val="en-GB"/>
      </w:rPr>
      <w:t>/</w:t>
    </w:r>
    <w:r>
      <w:rPr>
        <w:noProof/>
        <w:lang w:val="en-GB"/>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FF520" w14:textId="5471D309" w:rsidR="00601AF9" w:rsidRDefault="00601AF9" w:rsidP="00B87AB1">
    <w:pPr>
      <w:pStyle w:val="Header-pool"/>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9AB82FE2"/>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1C912711"/>
    <w:multiLevelType w:val="hybridMultilevel"/>
    <w:tmpl w:val="D672679A"/>
    <w:lvl w:ilvl="0" w:tplc="1264D768">
      <w:start w:val="1"/>
      <w:numFmt w:val="decimal"/>
      <w:lvlText w:val="%1."/>
      <w:lvlJc w:val="left"/>
      <w:pPr>
        <w:ind w:left="720" w:hanging="360"/>
      </w:pPr>
      <w:rPr>
        <w:i w:val="0"/>
        <w:iCs w:val="0"/>
      </w:r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21130CE8"/>
    <w:multiLevelType w:val="hybridMultilevel"/>
    <w:tmpl w:val="B912925C"/>
    <w:lvl w:ilvl="0" w:tplc="2000000F">
      <w:start w:val="1"/>
      <w:numFmt w:val="decimal"/>
      <w:lvlText w:val="%1."/>
      <w:lvlJc w:val="left"/>
      <w:pPr>
        <w:ind w:left="360" w:hanging="360"/>
      </w:p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269B423A"/>
    <w:multiLevelType w:val="hybridMultilevel"/>
    <w:tmpl w:val="67301284"/>
    <w:lvl w:ilvl="0" w:tplc="1F5C50F0">
      <w:start w:val="1"/>
      <w:numFmt w:val="lowerLetter"/>
      <w:lvlText w:val="(%1)"/>
      <w:lvlJc w:val="left"/>
      <w:pPr>
        <w:ind w:left="1610" w:hanging="360"/>
      </w:pPr>
      <w:rPr>
        <w:rFonts w:hint="default"/>
        <w:sz w:val="16"/>
      </w:rPr>
    </w:lvl>
    <w:lvl w:ilvl="1" w:tplc="04090019" w:tentative="1">
      <w:start w:val="1"/>
      <w:numFmt w:val="lowerLetter"/>
      <w:lvlText w:val="%2."/>
      <w:lvlJc w:val="left"/>
      <w:pPr>
        <w:ind w:left="2330" w:hanging="360"/>
      </w:pPr>
    </w:lvl>
    <w:lvl w:ilvl="2" w:tplc="0409001B" w:tentative="1">
      <w:start w:val="1"/>
      <w:numFmt w:val="lowerRoman"/>
      <w:lvlText w:val="%3."/>
      <w:lvlJc w:val="right"/>
      <w:pPr>
        <w:ind w:left="3050" w:hanging="180"/>
      </w:pPr>
    </w:lvl>
    <w:lvl w:ilvl="3" w:tplc="0409000F" w:tentative="1">
      <w:start w:val="1"/>
      <w:numFmt w:val="decimal"/>
      <w:lvlText w:val="%4."/>
      <w:lvlJc w:val="left"/>
      <w:pPr>
        <w:ind w:left="3770" w:hanging="360"/>
      </w:pPr>
    </w:lvl>
    <w:lvl w:ilvl="4" w:tplc="04090019" w:tentative="1">
      <w:start w:val="1"/>
      <w:numFmt w:val="lowerLetter"/>
      <w:lvlText w:val="%5."/>
      <w:lvlJc w:val="left"/>
      <w:pPr>
        <w:ind w:left="4490" w:hanging="360"/>
      </w:pPr>
    </w:lvl>
    <w:lvl w:ilvl="5" w:tplc="0409001B" w:tentative="1">
      <w:start w:val="1"/>
      <w:numFmt w:val="lowerRoman"/>
      <w:lvlText w:val="%6."/>
      <w:lvlJc w:val="right"/>
      <w:pPr>
        <w:ind w:left="5210" w:hanging="180"/>
      </w:pPr>
    </w:lvl>
    <w:lvl w:ilvl="6" w:tplc="0409000F" w:tentative="1">
      <w:start w:val="1"/>
      <w:numFmt w:val="decimal"/>
      <w:lvlText w:val="%7."/>
      <w:lvlJc w:val="left"/>
      <w:pPr>
        <w:ind w:left="5930" w:hanging="360"/>
      </w:pPr>
    </w:lvl>
    <w:lvl w:ilvl="7" w:tplc="04090019" w:tentative="1">
      <w:start w:val="1"/>
      <w:numFmt w:val="lowerLetter"/>
      <w:lvlText w:val="%8."/>
      <w:lvlJc w:val="left"/>
      <w:pPr>
        <w:ind w:left="6650" w:hanging="360"/>
      </w:pPr>
    </w:lvl>
    <w:lvl w:ilvl="8" w:tplc="0409001B" w:tentative="1">
      <w:start w:val="1"/>
      <w:numFmt w:val="lowerRoman"/>
      <w:lvlText w:val="%9."/>
      <w:lvlJc w:val="right"/>
      <w:pPr>
        <w:ind w:left="7370" w:hanging="180"/>
      </w:pPr>
    </w:lvl>
  </w:abstractNum>
  <w:abstractNum w:abstractNumId="4" w15:restartNumberingAfterBreak="0">
    <w:nsid w:val="35571603"/>
    <w:multiLevelType w:val="singleLevel"/>
    <w:tmpl w:val="53BE2666"/>
    <w:lvl w:ilvl="0">
      <w:start w:val="6"/>
      <w:numFmt w:val="upperLetter"/>
      <w:pStyle w:val="Heading9"/>
      <w:lvlText w:val="%1."/>
      <w:lvlJc w:val="left"/>
      <w:pPr>
        <w:tabs>
          <w:tab w:val="num" w:pos="360"/>
        </w:tabs>
        <w:ind w:left="360" w:hanging="360"/>
      </w:pPr>
      <w:rPr>
        <w:rFonts w:hint="default"/>
      </w:rPr>
    </w:lvl>
  </w:abstractNum>
  <w:abstractNum w:abstractNumId="5" w15:restartNumberingAfterBreak="0">
    <w:nsid w:val="52A66A9D"/>
    <w:multiLevelType w:val="multilevel"/>
    <w:tmpl w:val="3322019A"/>
    <w:styleLink w:val="Normallist"/>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6" w15:restartNumberingAfterBreak="0">
    <w:nsid w:val="5A257692"/>
    <w:multiLevelType w:val="hybridMultilevel"/>
    <w:tmpl w:val="FB8A6720"/>
    <w:lvl w:ilvl="0" w:tplc="2000000F">
      <w:start w:val="1"/>
      <w:numFmt w:val="decimal"/>
      <w:lvlText w:val="%1."/>
      <w:lvlJc w:val="left"/>
      <w:pPr>
        <w:ind w:left="360" w:hanging="360"/>
      </w:p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78BC1D49"/>
    <w:multiLevelType w:val="hybridMultilevel"/>
    <w:tmpl w:val="DBC2635A"/>
    <w:lvl w:ilvl="0" w:tplc="4E045352">
      <w:start w:val="1"/>
      <w:numFmt w:val="decimal"/>
      <w:lvlText w:val="%1."/>
      <w:lvlJc w:val="left"/>
      <w:pPr>
        <w:ind w:left="735" w:hanging="375"/>
      </w:pPr>
      <w:rPr>
        <w:rFonts w:ascii="Times New Roman" w:hAnsi="Times New Roman" w:cs="Times New Roman" w:hint="default"/>
        <w:sz w:val="20"/>
        <w:szCs w:val="20"/>
        <w:lang w:val="en-GB"/>
      </w:rPr>
    </w:lvl>
    <w:lvl w:ilvl="1" w:tplc="B776CA3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5">
    <w:abstractNumId w:val="7"/>
  </w:num>
  <w:num w:numId="6">
    <w:abstractNumId w:val="2"/>
  </w:num>
  <w:num w:numId="7">
    <w:abstractNumId w:val="6"/>
  </w:num>
  <w:num w:numId="8">
    <w:abstractNumId w:val="5"/>
    <w:lvlOverride w:ilvl="0">
      <w:lvl w:ilvl="0">
        <w:start w:val="1"/>
        <w:numFmt w:val="decimal"/>
        <w:lvlText w:val="%1."/>
        <w:lvlJc w:val="left"/>
        <w:pPr>
          <w:tabs>
            <w:tab w:val="num" w:pos="1247"/>
          </w:tabs>
          <w:ind w:left="1247" w:firstLine="0"/>
        </w:pPr>
        <w:rPr>
          <w:rFonts w:hint="default"/>
          <w:b w:val="0"/>
          <w:bCs/>
        </w:rPr>
      </w:lvl>
    </w:lvlOverride>
  </w:num>
  <w:num w:numId="9">
    <w:abstractNumId w:val="5"/>
    <w:lvlOverride w:ilvl="0">
      <w:startOverride w:val="1"/>
      <w:lvl w:ilvl="0">
        <w:start w:val="1"/>
        <w:numFmt w:val="decimal"/>
        <w:lvlText w:val="%1."/>
        <w:lvlJc w:val="left"/>
        <w:pPr>
          <w:tabs>
            <w:tab w:val="num" w:pos="1247"/>
          </w:tabs>
          <w:ind w:left="1247" w:firstLine="0"/>
        </w:pPr>
        <w:rPr>
          <w:rFonts w:hint="default"/>
        </w:rPr>
      </w:lvl>
    </w:lvlOverride>
    <w:lvlOverride w:ilvl="1">
      <w:startOverride w:val="1"/>
      <w:lvl w:ilvl="1">
        <w:start w:val="1"/>
        <w:numFmt w:val="lowerLetter"/>
        <w:lvlText w:val="(%2)"/>
        <w:lvlJc w:val="left"/>
        <w:pPr>
          <w:tabs>
            <w:tab w:val="num" w:pos="1814"/>
          </w:tabs>
          <w:ind w:left="1814" w:firstLine="0"/>
        </w:pPr>
        <w:rPr>
          <w:rFonts w:hint="default"/>
        </w:rPr>
      </w:lvl>
    </w:lvlOverride>
    <w:lvlOverride w:ilvl="2">
      <w:startOverride w:val="1"/>
      <w:lvl w:ilvl="2">
        <w:start w:val="1"/>
        <w:numFmt w:val="lowerRoman"/>
        <w:lvlText w:val="(%3)"/>
        <w:lvlJc w:val="left"/>
        <w:pPr>
          <w:tabs>
            <w:tab w:val="num" w:pos="2381"/>
          </w:tabs>
          <w:ind w:left="2381" w:firstLine="0"/>
        </w:pPr>
        <w:rPr>
          <w:rFonts w:hint="default"/>
        </w:rPr>
      </w:lvl>
    </w:lvlOverride>
    <w:lvlOverride w:ilvl="3">
      <w:startOverride w:val="1"/>
      <w:lvl w:ilvl="3">
        <w:start w:val="1"/>
        <w:numFmt w:val="lowerLetter"/>
        <w:lvlText w:val="%4."/>
        <w:lvlJc w:val="left"/>
        <w:pPr>
          <w:tabs>
            <w:tab w:val="num" w:pos="2948"/>
          </w:tabs>
          <w:ind w:left="2948" w:firstLine="0"/>
        </w:pPr>
        <w:rPr>
          <w:rFonts w:hint="default"/>
        </w:rPr>
      </w:lvl>
    </w:lvlOverride>
    <w:lvlOverride w:ilvl="4">
      <w:startOverride w:val="1"/>
      <w:lvl w:ilvl="4">
        <w:start w:val="1"/>
        <w:numFmt w:val="lowerRoman"/>
        <w:lvlText w:val="%5."/>
        <w:lvlJc w:val="left"/>
        <w:pPr>
          <w:tabs>
            <w:tab w:val="num" w:pos="3515"/>
          </w:tabs>
          <w:ind w:left="4082" w:hanging="567"/>
        </w:pPr>
        <w:rPr>
          <w:rFonts w:hint="default"/>
        </w:rPr>
      </w:lvl>
    </w:lvlOverride>
    <w:lvlOverride w:ilvl="5">
      <w:startOverride w:val="1"/>
      <w:lvl w:ilvl="5">
        <w:start w:val="1"/>
        <w:numFmt w:val="lowerLetter"/>
        <w:lvlText w:val="(%6)"/>
        <w:lvlJc w:val="left"/>
        <w:pPr>
          <w:tabs>
            <w:tab w:val="num" w:pos="4082"/>
          </w:tabs>
          <w:ind w:left="4649" w:hanging="567"/>
        </w:pPr>
        <w:rPr>
          <w:rFonts w:hint="default"/>
        </w:rPr>
      </w:lvl>
    </w:lvlOverride>
    <w:lvlOverride w:ilvl="6">
      <w:startOverride w:val="1"/>
      <w:lvl w:ilvl="6">
        <w:start w:val="1"/>
        <w:numFmt w:val="decimal"/>
        <w:lvlText w:val="%7."/>
        <w:lvlJc w:val="left"/>
        <w:pPr>
          <w:tabs>
            <w:tab w:val="num" w:pos="4649"/>
          </w:tabs>
          <w:ind w:left="5216" w:hanging="567"/>
        </w:pPr>
        <w:rPr>
          <w:rFonts w:hint="default"/>
        </w:rPr>
      </w:lvl>
    </w:lvlOverride>
    <w:lvlOverride w:ilvl="7">
      <w:startOverride w:val="1"/>
      <w:lvl w:ilvl="7">
        <w:start w:val="1"/>
        <w:numFmt w:val="lowerLetter"/>
        <w:lvlText w:val="%8."/>
        <w:lvlJc w:val="left"/>
        <w:pPr>
          <w:tabs>
            <w:tab w:val="num" w:pos="5216"/>
          </w:tabs>
          <w:ind w:left="5783" w:hanging="567"/>
        </w:pPr>
        <w:rPr>
          <w:rFonts w:hint="default"/>
        </w:rPr>
      </w:lvl>
    </w:lvlOverride>
    <w:lvlOverride w:ilvl="8">
      <w:startOverride w:val="1"/>
      <w:lvl w:ilvl="8">
        <w:start w:val="1"/>
        <w:numFmt w:val="lowerRoman"/>
        <w:lvlText w:val="%9."/>
        <w:lvlJc w:val="right"/>
        <w:pPr>
          <w:tabs>
            <w:tab w:val="num" w:pos="5783"/>
          </w:tabs>
          <w:ind w:left="6350" w:hanging="567"/>
        </w:pPr>
        <w:rPr>
          <w:rFonts w:hint="default"/>
        </w:rPr>
      </w:lvl>
    </w:lvlOverride>
  </w:num>
  <w:num w:numId="10">
    <w:abstractNumId w:val="5"/>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1">
    <w:abstractNumId w:val="5"/>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2">
    <w:abstractNumId w:val="5"/>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3">
    <w:abstractNumId w:val="5"/>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4">
    <w:abstractNumId w:val="1"/>
  </w:num>
  <w:num w:numId="15">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6">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7">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8">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9">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20">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21">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22">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A" w:vendorID="64" w:dllVersion="0" w:nlCheck="1" w:checkStyle="0"/>
  <w:activeWritingStyle w:appName="MSWord" w:lang="en-CA" w:vendorID="64" w:dllVersion="0" w:nlCheck="1" w:checkStyle="0"/>
  <w:activeWritingStyle w:appName="MSWord" w:lang="en-GB" w:vendorID="64" w:dllVersion="4096" w:nlCheck="1" w:checkStyle="0"/>
  <w:activeWritingStyle w:appName="MSWord" w:lang="fr-CA" w:vendorID="64" w:dllVersion="4096" w:nlCheck="1" w:checkStyle="0"/>
  <w:activeWritingStyle w:appName="MSWord" w:lang="fr-FR" w:vendorID="64" w:dllVersion="4096" w:nlCheck="1" w:checkStyle="0"/>
  <w:activeWritingStyle w:appName="MSWord" w:lang="en-US" w:vendorID="64" w:dllVersion="4096"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A0MDIxMLY0NrY0sjRT0lEKTi0uzszPAykwqgUAa/bMvSwAAAA="/>
  </w:docVars>
  <w:rsids>
    <w:rsidRoot w:val="00091FA7"/>
    <w:rsid w:val="0000760B"/>
    <w:rsid w:val="00007A53"/>
    <w:rsid w:val="00010971"/>
    <w:rsid w:val="00012077"/>
    <w:rsid w:val="000145AA"/>
    <w:rsid w:val="000149E6"/>
    <w:rsid w:val="00020068"/>
    <w:rsid w:val="000247B0"/>
    <w:rsid w:val="00026997"/>
    <w:rsid w:val="00030898"/>
    <w:rsid w:val="00033E0B"/>
    <w:rsid w:val="00035EDE"/>
    <w:rsid w:val="000509B4"/>
    <w:rsid w:val="00052070"/>
    <w:rsid w:val="00057A47"/>
    <w:rsid w:val="0006035B"/>
    <w:rsid w:val="0006047E"/>
    <w:rsid w:val="0007060F"/>
    <w:rsid w:val="00070740"/>
    <w:rsid w:val="00071886"/>
    <w:rsid w:val="00074171"/>
    <w:rsid w:val="000742BC"/>
    <w:rsid w:val="00074FE5"/>
    <w:rsid w:val="000751B6"/>
    <w:rsid w:val="00075A44"/>
    <w:rsid w:val="00080C63"/>
    <w:rsid w:val="00082A0C"/>
    <w:rsid w:val="00083504"/>
    <w:rsid w:val="000877FC"/>
    <w:rsid w:val="00087DE3"/>
    <w:rsid w:val="00091FA7"/>
    <w:rsid w:val="00095CC6"/>
    <w:rsid w:val="0009640C"/>
    <w:rsid w:val="000A13C5"/>
    <w:rsid w:val="000B1231"/>
    <w:rsid w:val="000B22A2"/>
    <w:rsid w:val="000B6A59"/>
    <w:rsid w:val="000C2A52"/>
    <w:rsid w:val="000C30E8"/>
    <w:rsid w:val="000C6AAB"/>
    <w:rsid w:val="000D09B0"/>
    <w:rsid w:val="000D33C0"/>
    <w:rsid w:val="000D4A65"/>
    <w:rsid w:val="000D6941"/>
    <w:rsid w:val="00100766"/>
    <w:rsid w:val="00101863"/>
    <w:rsid w:val="0010497A"/>
    <w:rsid w:val="0011190A"/>
    <w:rsid w:val="00112D7C"/>
    <w:rsid w:val="001202E3"/>
    <w:rsid w:val="00123699"/>
    <w:rsid w:val="00123C52"/>
    <w:rsid w:val="0013059D"/>
    <w:rsid w:val="00137C5D"/>
    <w:rsid w:val="00141A55"/>
    <w:rsid w:val="001446A3"/>
    <w:rsid w:val="00150D94"/>
    <w:rsid w:val="00155395"/>
    <w:rsid w:val="00160120"/>
    <w:rsid w:val="00160D74"/>
    <w:rsid w:val="001616E1"/>
    <w:rsid w:val="00163919"/>
    <w:rsid w:val="00167760"/>
    <w:rsid w:val="00167D02"/>
    <w:rsid w:val="00170216"/>
    <w:rsid w:val="00177088"/>
    <w:rsid w:val="00181EC8"/>
    <w:rsid w:val="00184349"/>
    <w:rsid w:val="0018635E"/>
    <w:rsid w:val="00190E9E"/>
    <w:rsid w:val="00195F33"/>
    <w:rsid w:val="001A179F"/>
    <w:rsid w:val="001A54A9"/>
    <w:rsid w:val="001A5C87"/>
    <w:rsid w:val="001B1617"/>
    <w:rsid w:val="001B504B"/>
    <w:rsid w:val="001C31AF"/>
    <w:rsid w:val="001C7D11"/>
    <w:rsid w:val="001C7D7F"/>
    <w:rsid w:val="001D0C19"/>
    <w:rsid w:val="001D2E7D"/>
    <w:rsid w:val="001D3874"/>
    <w:rsid w:val="001D79B8"/>
    <w:rsid w:val="001D7E75"/>
    <w:rsid w:val="001E3CB7"/>
    <w:rsid w:val="001E503F"/>
    <w:rsid w:val="001E56D2"/>
    <w:rsid w:val="001E57D4"/>
    <w:rsid w:val="001E7D56"/>
    <w:rsid w:val="001F2443"/>
    <w:rsid w:val="001F75DE"/>
    <w:rsid w:val="00200D58"/>
    <w:rsid w:val="002013BE"/>
    <w:rsid w:val="002063A4"/>
    <w:rsid w:val="00206E77"/>
    <w:rsid w:val="0021145B"/>
    <w:rsid w:val="002146C0"/>
    <w:rsid w:val="002236FD"/>
    <w:rsid w:val="0022436A"/>
    <w:rsid w:val="002245B6"/>
    <w:rsid w:val="00227485"/>
    <w:rsid w:val="002345A6"/>
    <w:rsid w:val="002379C0"/>
    <w:rsid w:val="00241A3E"/>
    <w:rsid w:val="00242E48"/>
    <w:rsid w:val="00243D36"/>
    <w:rsid w:val="00247707"/>
    <w:rsid w:val="0026012F"/>
    <w:rsid w:val="0026018E"/>
    <w:rsid w:val="002779A7"/>
    <w:rsid w:val="00286740"/>
    <w:rsid w:val="00291D38"/>
    <w:rsid w:val="002929D8"/>
    <w:rsid w:val="00296929"/>
    <w:rsid w:val="00297F3C"/>
    <w:rsid w:val="002A1F8A"/>
    <w:rsid w:val="002A237D"/>
    <w:rsid w:val="002A4C53"/>
    <w:rsid w:val="002A50DE"/>
    <w:rsid w:val="002B01EA"/>
    <w:rsid w:val="002B0672"/>
    <w:rsid w:val="002B247F"/>
    <w:rsid w:val="002B675B"/>
    <w:rsid w:val="002C145D"/>
    <w:rsid w:val="002C2C3E"/>
    <w:rsid w:val="002C517B"/>
    <w:rsid w:val="002C533E"/>
    <w:rsid w:val="002C7D03"/>
    <w:rsid w:val="002D027F"/>
    <w:rsid w:val="002D386A"/>
    <w:rsid w:val="002D3C64"/>
    <w:rsid w:val="002D409D"/>
    <w:rsid w:val="002D4624"/>
    <w:rsid w:val="002D7358"/>
    <w:rsid w:val="002D7A85"/>
    <w:rsid w:val="002D7B60"/>
    <w:rsid w:val="002E44A1"/>
    <w:rsid w:val="002E48CE"/>
    <w:rsid w:val="002E512F"/>
    <w:rsid w:val="002F0F0A"/>
    <w:rsid w:val="002F4761"/>
    <w:rsid w:val="002F5C79"/>
    <w:rsid w:val="00300A10"/>
    <w:rsid w:val="003019E2"/>
    <w:rsid w:val="00303867"/>
    <w:rsid w:val="0031413F"/>
    <w:rsid w:val="003148BB"/>
    <w:rsid w:val="00317976"/>
    <w:rsid w:val="00327491"/>
    <w:rsid w:val="00343AA8"/>
    <w:rsid w:val="00344F72"/>
    <w:rsid w:val="00345684"/>
    <w:rsid w:val="00351F16"/>
    <w:rsid w:val="00355EA9"/>
    <w:rsid w:val="003578DE"/>
    <w:rsid w:val="00360306"/>
    <w:rsid w:val="0036268A"/>
    <w:rsid w:val="00363E12"/>
    <w:rsid w:val="0036679E"/>
    <w:rsid w:val="00375652"/>
    <w:rsid w:val="003800B6"/>
    <w:rsid w:val="00383B45"/>
    <w:rsid w:val="00390B8B"/>
    <w:rsid w:val="00393E4B"/>
    <w:rsid w:val="00394131"/>
    <w:rsid w:val="00395C92"/>
    <w:rsid w:val="00395D25"/>
    <w:rsid w:val="00396257"/>
    <w:rsid w:val="003962B0"/>
    <w:rsid w:val="00397EB8"/>
    <w:rsid w:val="003A2006"/>
    <w:rsid w:val="003A3C9B"/>
    <w:rsid w:val="003A4FD0"/>
    <w:rsid w:val="003A69D1"/>
    <w:rsid w:val="003A7705"/>
    <w:rsid w:val="003A77F1"/>
    <w:rsid w:val="003B1545"/>
    <w:rsid w:val="003B1DE1"/>
    <w:rsid w:val="003B444A"/>
    <w:rsid w:val="003B557F"/>
    <w:rsid w:val="003C1EEE"/>
    <w:rsid w:val="003C409D"/>
    <w:rsid w:val="003C5BA6"/>
    <w:rsid w:val="003E60DB"/>
    <w:rsid w:val="003E6895"/>
    <w:rsid w:val="003F0E85"/>
    <w:rsid w:val="003F0FE4"/>
    <w:rsid w:val="003F2079"/>
    <w:rsid w:val="00406F65"/>
    <w:rsid w:val="00410C55"/>
    <w:rsid w:val="0041285A"/>
    <w:rsid w:val="00416854"/>
    <w:rsid w:val="00417725"/>
    <w:rsid w:val="00432B4B"/>
    <w:rsid w:val="00437117"/>
    <w:rsid w:val="00437F26"/>
    <w:rsid w:val="00440150"/>
    <w:rsid w:val="0044180F"/>
    <w:rsid w:val="00444097"/>
    <w:rsid w:val="00444B06"/>
    <w:rsid w:val="00445487"/>
    <w:rsid w:val="004509CC"/>
    <w:rsid w:val="00451B49"/>
    <w:rsid w:val="00454769"/>
    <w:rsid w:val="00466991"/>
    <w:rsid w:val="0047064C"/>
    <w:rsid w:val="004713B7"/>
    <w:rsid w:val="00474064"/>
    <w:rsid w:val="004800FA"/>
    <w:rsid w:val="00484DDB"/>
    <w:rsid w:val="0048610B"/>
    <w:rsid w:val="004A42E1"/>
    <w:rsid w:val="004A45B2"/>
    <w:rsid w:val="004A48FB"/>
    <w:rsid w:val="004A761D"/>
    <w:rsid w:val="004B0FC2"/>
    <w:rsid w:val="004B162C"/>
    <w:rsid w:val="004B1F5F"/>
    <w:rsid w:val="004B2703"/>
    <w:rsid w:val="004B3EA8"/>
    <w:rsid w:val="004B3FC1"/>
    <w:rsid w:val="004B7BF7"/>
    <w:rsid w:val="004C3DBE"/>
    <w:rsid w:val="004C5C96"/>
    <w:rsid w:val="004D06A4"/>
    <w:rsid w:val="004D0E4D"/>
    <w:rsid w:val="004D5F74"/>
    <w:rsid w:val="004D6A29"/>
    <w:rsid w:val="004E4919"/>
    <w:rsid w:val="004F1A81"/>
    <w:rsid w:val="004F6844"/>
    <w:rsid w:val="005218D9"/>
    <w:rsid w:val="00523317"/>
    <w:rsid w:val="0052629C"/>
    <w:rsid w:val="005310E1"/>
    <w:rsid w:val="00531E6F"/>
    <w:rsid w:val="00532011"/>
    <w:rsid w:val="00536186"/>
    <w:rsid w:val="0053641D"/>
    <w:rsid w:val="0054498C"/>
    <w:rsid w:val="00544CBB"/>
    <w:rsid w:val="0054756D"/>
    <w:rsid w:val="0057239E"/>
    <w:rsid w:val="0057315F"/>
    <w:rsid w:val="00573EF1"/>
    <w:rsid w:val="00576104"/>
    <w:rsid w:val="005818BA"/>
    <w:rsid w:val="00582BC0"/>
    <w:rsid w:val="005A3DF4"/>
    <w:rsid w:val="005A7B96"/>
    <w:rsid w:val="005B4F16"/>
    <w:rsid w:val="005B4F5F"/>
    <w:rsid w:val="005B675D"/>
    <w:rsid w:val="005C21AE"/>
    <w:rsid w:val="005C5E59"/>
    <w:rsid w:val="005C67C8"/>
    <w:rsid w:val="005C7140"/>
    <w:rsid w:val="005C72D8"/>
    <w:rsid w:val="005D0249"/>
    <w:rsid w:val="005D5400"/>
    <w:rsid w:val="005D6E8C"/>
    <w:rsid w:val="005E0549"/>
    <w:rsid w:val="005E34AD"/>
    <w:rsid w:val="005E3984"/>
    <w:rsid w:val="005E4EB1"/>
    <w:rsid w:val="005E5E0C"/>
    <w:rsid w:val="005F100C"/>
    <w:rsid w:val="005F65BB"/>
    <w:rsid w:val="005F68DA"/>
    <w:rsid w:val="00601AF9"/>
    <w:rsid w:val="00602EEE"/>
    <w:rsid w:val="0060773B"/>
    <w:rsid w:val="006123DF"/>
    <w:rsid w:val="00612F3F"/>
    <w:rsid w:val="00613E2D"/>
    <w:rsid w:val="006157B5"/>
    <w:rsid w:val="00615E75"/>
    <w:rsid w:val="00616CB1"/>
    <w:rsid w:val="006214BE"/>
    <w:rsid w:val="006214E8"/>
    <w:rsid w:val="00626FC6"/>
    <w:rsid w:val="006303B4"/>
    <w:rsid w:val="00631354"/>
    <w:rsid w:val="00633D3D"/>
    <w:rsid w:val="006375A9"/>
    <w:rsid w:val="00641703"/>
    <w:rsid w:val="0064197F"/>
    <w:rsid w:val="006431A6"/>
    <w:rsid w:val="00643832"/>
    <w:rsid w:val="00644B2D"/>
    <w:rsid w:val="006459F6"/>
    <w:rsid w:val="006501AD"/>
    <w:rsid w:val="00651BFA"/>
    <w:rsid w:val="00654475"/>
    <w:rsid w:val="00664B07"/>
    <w:rsid w:val="00665A4B"/>
    <w:rsid w:val="00667C1F"/>
    <w:rsid w:val="00667CF7"/>
    <w:rsid w:val="00673FD1"/>
    <w:rsid w:val="0068295D"/>
    <w:rsid w:val="00683BB2"/>
    <w:rsid w:val="00683F7F"/>
    <w:rsid w:val="006870D7"/>
    <w:rsid w:val="00692E2A"/>
    <w:rsid w:val="006A1844"/>
    <w:rsid w:val="006A4C0A"/>
    <w:rsid w:val="006A76F2"/>
    <w:rsid w:val="006B2A60"/>
    <w:rsid w:val="006B45D6"/>
    <w:rsid w:val="006B4640"/>
    <w:rsid w:val="006C03CE"/>
    <w:rsid w:val="006C2201"/>
    <w:rsid w:val="006C5B2A"/>
    <w:rsid w:val="006C6549"/>
    <w:rsid w:val="006D17F7"/>
    <w:rsid w:val="006D26B4"/>
    <w:rsid w:val="006D7EFB"/>
    <w:rsid w:val="006E4A50"/>
    <w:rsid w:val="006E6672"/>
    <w:rsid w:val="006E6722"/>
    <w:rsid w:val="006F56E6"/>
    <w:rsid w:val="006F6EDC"/>
    <w:rsid w:val="007027B9"/>
    <w:rsid w:val="00705056"/>
    <w:rsid w:val="00707233"/>
    <w:rsid w:val="0071119A"/>
    <w:rsid w:val="00715E88"/>
    <w:rsid w:val="007304C3"/>
    <w:rsid w:val="007320EF"/>
    <w:rsid w:val="0073264E"/>
    <w:rsid w:val="007341BD"/>
    <w:rsid w:val="00734CAA"/>
    <w:rsid w:val="00736520"/>
    <w:rsid w:val="00744621"/>
    <w:rsid w:val="0074533E"/>
    <w:rsid w:val="00746684"/>
    <w:rsid w:val="00750DF7"/>
    <w:rsid w:val="0075533C"/>
    <w:rsid w:val="00757581"/>
    <w:rsid w:val="007611A0"/>
    <w:rsid w:val="00761E47"/>
    <w:rsid w:val="007647E2"/>
    <w:rsid w:val="007776C9"/>
    <w:rsid w:val="0078186C"/>
    <w:rsid w:val="007941C3"/>
    <w:rsid w:val="00796811"/>
    <w:rsid w:val="00796D3F"/>
    <w:rsid w:val="007A1683"/>
    <w:rsid w:val="007A5C12"/>
    <w:rsid w:val="007A7910"/>
    <w:rsid w:val="007A7CB0"/>
    <w:rsid w:val="007B1200"/>
    <w:rsid w:val="007B5DE1"/>
    <w:rsid w:val="007B68A3"/>
    <w:rsid w:val="007C025C"/>
    <w:rsid w:val="007C2541"/>
    <w:rsid w:val="007D3B04"/>
    <w:rsid w:val="007D66A8"/>
    <w:rsid w:val="007E003F"/>
    <w:rsid w:val="007E42B8"/>
    <w:rsid w:val="007F093C"/>
    <w:rsid w:val="008014A9"/>
    <w:rsid w:val="008072EF"/>
    <w:rsid w:val="008164F2"/>
    <w:rsid w:val="00821395"/>
    <w:rsid w:val="0082431A"/>
    <w:rsid w:val="00830E26"/>
    <w:rsid w:val="0083403A"/>
    <w:rsid w:val="008349AD"/>
    <w:rsid w:val="00843576"/>
    <w:rsid w:val="00843B64"/>
    <w:rsid w:val="00846973"/>
    <w:rsid w:val="008478FC"/>
    <w:rsid w:val="00852629"/>
    <w:rsid w:val="00863E11"/>
    <w:rsid w:val="00866282"/>
    <w:rsid w:val="00867BFF"/>
    <w:rsid w:val="008768F1"/>
    <w:rsid w:val="008814CA"/>
    <w:rsid w:val="00883E14"/>
    <w:rsid w:val="0088480A"/>
    <w:rsid w:val="00884DB3"/>
    <w:rsid w:val="0088757A"/>
    <w:rsid w:val="00892469"/>
    <w:rsid w:val="008931A3"/>
    <w:rsid w:val="008957DD"/>
    <w:rsid w:val="008975E6"/>
    <w:rsid w:val="00897D98"/>
    <w:rsid w:val="008A6314"/>
    <w:rsid w:val="008A6DF2"/>
    <w:rsid w:val="008A7807"/>
    <w:rsid w:val="008B21C6"/>
    <w:rsid w:val="008B4CC9"/>
    <w:rsid w:val="008B51E0"/>
    <w:rsid w:val="008B6BFE"/>
    <w:rsid w:val="008C103B"/>
    <w:rsid w:val="008C2F27"/>
    <w:rsid w:val="008C4387"/>
    <w:rsid w:val="008C61A2"/>
    <w:rsid w:val="008D255B"/>
    <w:rsid w:val="008D7C99"/>
    <w:rsid w:val="008D7CF3"/>
    <w:rsid w:val="008E0FCB"/>
    <w:rsid w:val="008E2841"/>
    <w:rsid w:val="008F2CBC"/>
    <w:rsid w:val="0090794E"/>
    <w:rsid w:val="009142D0"/>
    <w:rsid w:val="00916E6A"/>
    <w:rsid w:val="0092178C"/>
    <w:rsid w:val="00930B88"/>
    <w:rsid w:val="009328B6"/>
    <w:rsid w:val="0093687C"/>
    <w:rsid w:val="00937186"/>
    <w:rsid w:val="00940DCC"/>
    <w:rsid w:val="0094179A"/>
    <w:rsid w:val="009438B2"/>
    <w:rsid w:val="0094459E"/>
    <w:rsid w:val="00944DBC"/>
    <w:rsid w:val="00945D6D"/>
    <w:rsid w:val="00950977"/>
    <w:rsid w:val="00951A7B"/>
    <w:rsid w:val="00952967"/>
    <w:rsid w:val="009564A6"/>
    <w:rsid w:val="009573E7"/>
    <w:rsid w:val="00960135"/>
    <w:rsid w:val="00962500"/>
    <w:rsid w:val="00967621"/>
    <w:rsid w:val="00967E6A"/>
    <w:rsid w:val="0097508E"/>
    <w:rsid w:val="009777AA"/>
    <w:rsid w:val="00980EB9"/>
    <w:rsid w:val="00981BD6"/>
    <w:rsid w:val="0098512E"/>
    <w:rsid w:val="00997356"/>
    <w:rsid w:val="009A0C7B"/>
    <w:rsid w:val="009A265C"/>
    <w:rsid w:val="009B4A0F"/>
    <w:rsid w:val="009C0027"/>
    <w:rsid w:val="009C11D2"/>
    <w:rsid w:val="009C6295"/>
    <w:rsid w:val="009C6C70"/>
    <w:rsid w:val="009D0B63"/>
    <w:rsid w:val="009D7090"/>
    <w:rsid w:val="009E307E"/>
    <w:rsid w:val="009F1DC7"/>
    <w:rsid w:val="009F3CE0"/>
    <w:rsid w:val="009F5C56"/>
    <w:rsid w:val="00A055A0"/>
    <w:rsid w:val="00A07870"/>
    <w:rsid w:val="00A07F19"/>
    <w:rsid w:val="00A1348D"/>
    <w:rsid w:val="00A232EE"/>
    <w:rsid w:val="00A27C9D"/>
    <w:rsid w:val="00A4175F"/>
    <w:rsid w:val="00A43CAF"/>
    <w:rsid w:val="00A44411"/>
    <w:rsid w:val="00A4536B"/>
    <w:rsid w:val="00A469FA"/>
    <w:rsid w:val="00A55618"/>
    <w:rsid w:val="00A55B01"/>
    <w:rsid w:val="00A56B5B"/>
    <w:rsid w:val="00A603FF"/>
    <w:rsid w:val="00A657DD"/>
    <w:rsid w:val="00A666A6"/>
    <w:rsid w:val="00A675FD"/>
    <w:rsid w:val="00A67F0E"/>
    <w:rsid w:val="00A70804"/>
    <w:rsid w:val="00A72437"/>
    <w:rsid w:val="00A80611"/>
    <w:rsid w:val="00A83F7A"/>
    <w:rsid w:val="00A86D2C"/>
    <w:rsid w:val="00A90CE2"/>
    <w:rsid w:val="00A9320A"/>
    <w:rsid w:val="00AA1C42"/>
    <w:rsid w:val="00AA23BF"/>
    <w:rsid w:val="00AA78E8"/>
    <w:rsid w:val="00AB5340"/>
    <w:rsid w:val="00AB58DB"/>
    <w:rsid w:val="00AB6879"/>
    <w:rsid w:val="00AC0A89"/>
    <w:rsid w:val="00AC67A2"/>
    <w:rsid w:val="00AC7C96"/>
    <w:rsid w:val="00AD3A0E"/>
    <w:rsid w:val="00AE237D"/>
    <w:rsid w:val="00AE502A"/>
    <w:rsid w:val="00AF7C07"/>
    <w:rsid w:val="00B0142B"/>
    <w:rsid w:val="00B07834"/>
    <w:rsid w:val="00B17F40"/>
    <w:rsid w:val="00B22C93"/>
    <w:rsid w:val="00B245CD"/>
    <w:rsid w:val="00B27589"/>
    <w:rsid w:val="00B32F19"/>
    <w:rsid w:val="00B3519A"/>
    <w:rsid w:val="00B405B7"/>
    <w:rsid w:val="00B40B1C"/>
    <w:rsid w:val="00B45A1D"/>
    <w:rsid w:val="00B52222"/>
    <w:rsid w:val="00B54FE7"/>
    <w:rsid w:val="00B60700"/>
    <w:rsid w:val="00B66901"/>
    <w:rsid w:val="00B71E6D"/>
    <w:rsid w:val="00B72070"/>
    <w:rsid w:val="00B779E1"/>
    <w:rsid w:val="00B85DF3"/>
    <w:rsid w:val="00B87AB1"/>
    <w:rsid w:val="00B91EE1"/>
    <w:rsid w:val="00B93C54"/>
    <w:rsid w:val="00BA0090"/>
    <w:rsid w:val="00BA06C4"/>
    <w:rsid w:val="00BA0C8B"/>
    <w:rsid w:val="00BA1A67"/>
    <w:rsid w:val="00BB1C33"/>
    <w:rsid w:val="00BB3D1A"/>
    <w:rsid w:val="00BC3331"/>
    <w:rsid w:val="00BD27E2"/>
    <w:rsid w:val="00BD4A91"/>
    <w:rsid w:val="00BD7BE5"/>
    <w:rsid w:val="00BE131F"/>
    <w:rsid w:val="00BE18CD"/>
    <w:rsid w:val="00BE5B5F"/>
    <w:rsid w:val="00BE5F64"/>
    <w:rsid w:val="00BE7B92"/>
    <w:rsid w:val="00C004D1"/>
    <w:rsid w:val="00C04186"/>
    <w:rsid w:val="00C10B0E"/>
    <w:rsid w:val="00C11CCE"/>
    <w:rsid w:val="00C147B9"/>
    <w:rsid w:val="00C179DB"/>
    <w:rsid w:val="00C21B7B"/>
    <w:rsid w:val="00C242FF"/>
    <w:rsid w:val="00C26F55"/>
    <w:rsid w:val="00C270E1"/>
    <w:rsid w:val="00C30C63"/>
    <w:rsid w:val="00C36B8B"/>
    <w:rsid w:val="00C415C1"/>
    <w:rsid w:val="00C46FF2"/>
    <w:rsid w:val="00C47DBF"/>
    <w:rsid w:val="00C525C4"/>
    <w:rsid w:val="00C552FF"/>
    <w:rsid w:val="00C558DA"/>
    <w:rsid w:val="00C55AF3"/>
    <w:rsid w:val="00C63014"/>
    <w:rsid w:val="00C664AA"/>
    <w:rsid w:val="00C70447"/>
    <w:rsid w:val="00C74DDF"/>
    <w:rsid w:val="00C83D89"/>
    <w:rsid w:val="00C84759"/>
    <w:rsid w:val="00C903BE"/>
    <w:rsid w:val="00CA13FF"/>
    <w:rsid w:val="00CA6C7F"/>
    <w:rsid w:val="00CA79BB"/>
    <w:rsid w:val="00CB39F8"/>
    <w:rsid w:val="00CB518C"/>
    <w:rsid w:val="00CC03CF"/>
    <w:rsid w:val="00CC10A6"/>
    <w:rsid w:val="00CC4EA5"/>
    <w:rsid w:val="00CC51DF"/>
    <w:rsid w:val="00CD1C12"/>
    <w:rsid w:val="00CD2911"/>
    <w:rsid w:val="00CD5A95"/>
    <w:rsid w:val="00CD5EB8"/>
    <w:rsid w:val="00CD7044"/>
    <w:rsid w:val="00CE08B9"/>
    <w:rsid w:val="00CE524C"/>
    <w:rsid w:val="00CE7C59"/>
    <w:rsid w:val="00CF141F"/>
    <w:rsid w:val="00CF4777"/>
    <w:rsid w:val="00CF6CEA"/>
    <w:rsid w:val="00D03E04"/>
    <w:rsid w:val="00D067BB"/>
    <w:rsid w:val="00D1352A"/>
    <w:rsid w:val="00D169AF"/>
    <w:rsid w:val="00D22977"/>
    <w:rsid w:val="00D25249"/>
    <w:rsid w:val="00D321C6"/>
    <w:rsid w:val="00D336AC"/>
    <w:rsid w:val="00D36256"/>
    <w:rsid w:val="00D44172"/>
    <w:rsid w:val="00D471A8"/>
    <w:rsid w:val="00D544C9"/>
    <w:rsid w:val="00D5475A"/>
    <w:rsid w:val="00D54FCC"/>
    <w:rsid w:val="00D55581"/>
    <w:rsid w:val="00D60D3F"/>
    <w:rsid w:val="00D63B8C"/>
    <w:rsid w:val="00D63F28"/>
    <w:rsid w:val="00D7205F"/>
    <w:rsid w:val="00D739CC"/>
    <w:rsid w:val="00D746E9"/>
    <w:rsid w:val="00D8093D"/>
    <w:rsid w:val="00D8108C"/>
    <w:rsid w:val="00D8424E"/>
    <w:rsid w:val="00D842AE"/>
    <w:rsid w:val="00D9211C"/>
    <w:rsid w:val="00D92DE0"/>
    <w:rsid w:val="00D92FEF"/>
    <w:rsid w:val="00D93A0F"/>
    <w:rsid w:val="00D97BBB"/>
    <w:rsid w:val="00DA1BCA"/>
    <w:rsid w:val="00DA44C3"/>
    <w:rsid w:val="00DA52A9"/>
    <w:rsid w:val="00DC3D67"/>
    <w:rsid w:val="00DC468F"/>
    <w:rsid w:val="00DC46FF"/>
    <w:rsid w:val="00DC5254"/>
    <w:rsid w:val="00DD1A4F"/>
    <w:rsid w:val="00DD3107"/>
    <w:rsid w:val="00DD76CF"/>
    <w:rsid w:val="00DD7C2C"/>
    <w:rsid w:val="00DE4531"/>
    <w:rsid w:val="00DE5CB1"/>
    <w:rsid w:val="00DF0A04"/>
    <w:rsid w:val="00DF1472"/>
    <w:rsid w:val="00DF58F4"/>
    <w:rsid w:val="00DF6E4B"/>
    <w:rsid w:val="00E06797"/>
    <w:rsid w:val="00E07C4B"/>
    <w:rsid w:val="00E07D43"/>
    <w:rsid w:val="00E1109D"/>
    <w:rsid w:val="00E1265B"/>
    <w:rsid w:val="00E13B48"/>
    <w:rsid w:val="00E1404F"/>
    <w:rsid w:val="00E21C83"/>
    <w:rsid w:val="00E2411E"/>
    <w:rsid w:val="00E243D1"/>
    <w:rsid w:val="00E24ADA"/>
    <w:rsid w:val="00E2683B"/>
    <w:rsid w:val="00E32F59"/>
    <w:rsid w:val="00E46D9A"/>
    <w:rsid w:val="00E538C2"/>
    <w:rsid w:val="00E5585D"/>
    <w:rsid w:val="00E565FF"/>
    <w:rsid w:val="00E65388"/>
    <w:rsid w:val="00E71085"/>
    <w:rsid w:val="00E738BD"/>
    <w:rsid w:val="00E749EA"/>
    <w:rsid w:val="00E834E6"/>
    <w:rsid w:val="00E84C32"/>
    <w:rsid w:val="00E85B7D"/>
    <w:rsid w:val="00E87162"/>
    <w:rsid w:val="00E9121B"/>
    <w:rsid w:val="00E93A82"/>
    <w:rsid w:val="00EA0AE2"/>
    <w:rsid w:val="00EA39E5"/>
    <w:rsid w:val="00EB3100"/>
    <w:rsid w:val="00EB57B2"/>
    <w:rsid w:val="00EB7379"/>
    <w:rsid w:val="00EC1536"/>
    <w:rsid w:val="00EC57A0"/>
    <w:rsid w:val="00EC5A46"/>
    <w:rsid w:val="00EC5CEA"/>
    <w:rsid w:val="00EC63E2"/>
    <w:rsid w:val="00ED03E0"/>
    <w:rsid w:val="00ED68AA"/>
    <w:rsid w:val="00EE1C1A"/>
    <w:rsid w:val="00EE67D1"/>
    <w:rsid w:val="00EF22B3"/>
    <w:rsid w:val="00EF539C"/>
    <w:rsid w:val="00F0181D"/>
    <w:rsid w:val="00F03B69"/>
    <w:rsid w:val="00F07A50"/>
    <w:rsid w:val="00F113DA"/>
    <w:rsid w:val="00F1428C"/>
    <w:rsid w:val="00F26E01"/>
    <w:rsid w:val="00F36D1D"/>
    <w:rsid w:val="00F37DC8"/>
    <w:rsid w:val="00F439B3"/>
    <w:rsid w:val="00F532E1"/>
    <w:rsid w:val="00F611EC"/>
    <w:rsid w:val="00F64293"/>
    <w:rsid w:val="00F650C3"/>
    <w:rsid w:val="00F65AB0"/>
    <w:rsid w:val="00F65D85"/>
    <w:rsid w:val="00F7021C"/>
    <w:rsid w:val="00F735BF"/>
    <w:rsid w:val="00F73DAA"/>
    <w:rsid w:val="00F76E5F"/>
    <w:rsid w:val="00F8091E"/>
    <w:rsid w:val="00F820B5"/>
    <w:rsid w:val="00F83B6F"/>
    <w:rsid w:val="00F8615C"/>
    <w:rsid w:val="00F969E5"/>
    <w:rsid w:val="00FA04DB"/>
    <w:rsid w:val="00FA05B9"/>
    <w:rsid w:val="00FA0727"/>
    <w:rsid w:val="00FA1AD9"/>
    <w:rsid w:val="00FA6BB0"/>
    <w:rsid w:val="00FB41A4"/>
    <w:rsid w:val="00FC27C4"/>
    <w:rsid w:val="00FC4809"/>
    <w:rsid w:val="00FD3F9A"/>
    <w:rsid w:val="00FD5860"/>
    <w:rsid w:val="00FE352D"/>
    <w:rsid w:val="00FE40EB"/>
    <w:rsid w:val="00FE4D02"/>
    <w:rsid w:val="00FE7D62"/>
    <w:rsid w:val="00FF1DA5"/>
    <w:rsid w:val="00FF3819"/>
    <w:rsid w:val="00FF38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385690"/>
  <w15:docId w15:val="{068FF269-7FCA-4C4D-BE2A-DCB1828C5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F2079"/>
    <w:pPr>
      <w:tabs>
        <w:tab w:val="left" w:pos="1247"/>
        <w:tab w:val="left" w:pos="1814"/>
        <w:tab w:val="left" w:pos="2381"/>
        <w:tab w:val="left" w:pos="2948"/>
        <w:tab w:val="left" w:pos="3515"/>
      </w:tabs>
    </w:pPr>
  </w:style>
  <w:style w:type="paragraph" w:styleId="Heading1">
    <w:name w:val="heading 1"/>
    <w:basedOn w:val="Normal"/>
    <w:next w:val="Normal"/>
    <w:link w:val="Heading1Char"/>
    <w:qFormat/>
    <w:rsid w:val="003F2079"/>
    <w:pPr>
      <w:keepNext/>
      <w:spacing w:before="240" w:after="120"/>
      <w:ind w:left="1247" w:hanging="680"/>
      <w:outlineLvl w:val="0"/>
    </w:pPr>
    <w:rPr>
      <w:b/>
      <w:sz w:val="28"/>
    </w:rPr>
  </w:style>
  <w:style w:type="paragraph" w:styleId="Heading2">
    <w:name w:val="heading 2"/>
    <w:basedOn w:val="Normal"/>
    <w:next w:val="Normal"/>
    <w:link w:val="Heading2Char"/>
    <w:qFormat/>
    <w:rsid w:val="003F2079"/>
    <w:pPr>
      <w:keepNext/>
      <w:spacing w:before="240" w:after="120"/>
      <w:ind w:left="1247" w:hanging="680"/>
      <w:outlineLvl w:val="1"/>
    </w:pPr>
    <w:rPr>
      <w:b/>
      <w:sz w:val="24"/>
      <w:szCs w:val="24"/>
    </w:rPr>
  </w:style>
  <w:style w:type="paragraph" w:styleId="Heading3">
    <w:name w:val="heading 3"/>
    <w:basedOn w:val="Normal"/>
    <w:next w:val="Normal"/>
    <w:link w:val="Heading3Char"/>
    <w:qFormat/>
    <w:rsid w:val="003F2079"/>
    <w:pPr>
      <w:spacing w:after="120"/>
      <w:ind w:left="1247" w:hanging="680"/>
      <w:outlineLvl w:val="2"/>
    </w:pPr>
    <w:rPr>
      <w:b/>
    </w:rPr>
  </w:style>
  <w:style w:type="paragraph" w:styleId="Heading4">
    <w:name w:val="heading 4"/>
    <w:basedOn w:val="Heading3"/>
    <w:next w:val="Normal"/>
    <w:link w:val="Heading4Char"/>
    <w:qFormat/>
    <w:rsid w:val="003F2079"/>
    <w:pPr>
      <w:keepNext/>
      <w:outlineLvl w:val="3"/>
    </w:pPr>
  </w:style>
  <w:style w:type="paragraph" w:styleId="Heading5">
    <w:name w:val="heading 5"/>
    <w:basedOn w:val="Normal"/>
    <w:next w:val="Normal"/>
    <w:link w:val="Heading5Char"/>
    <w:qFormat/>
    <w:rsid w:val="003F2079"/>
    <w:pPr>
      <w:keepNext/>
      <w:outlineLvl w:val="4"/>
    </w:pPr>
    <w:rPr>
      <w:rFonts w:ascii="Univers" w:hAnsi="Univers"/>
      <w:b/>
      <w:sz w:val="24"/>
    </w:rPr>
  </w:style>
  <w:style w:type="paragraph" w:styleId="Heading6">
    <w:name w:val="heading 6"/>
    <w:basedOn w:val="Normal"/>
    <w:next w:val="Normal"/>
    <w:link w:val="Heading6Char"/>
    <w:qFormat/>
    <w:rsid w:val="003F2079"/>
    <w:pPr>
      <w:keepNext/>
      <w:ind w:left="578"/>
      <w:outlineLvl w:val="5"/>
    </w:pPr>
    <w:rPr>
      <w:b/>
      <w:bCs/>
      <w:sz w:val="24"/>
    </w:rPr>
  </w:style>
  <w:style w:type="paragraph" w:styleId="Heading7">
    <w:name w:val="heading 7"/>
    <w:basedOn w:val="Normal"/>
    <w:next w:val="Normal"/>
    <w:link w:val="Heading7Char"/>
    <w:qFormat/>
    <w:rsid w:val="003F2079"/>
    <w:pPr>
      <w:keepNext/>
      <w:widowControl w:val="0"/>
      <w:jc w:val="center"/>
      <w:outlineLvl w:val="6"/>
    </w:pPr>
    <w:rPr>
      <w:snapToGrid w:val="0"/>
      <w:u w:val="single"/>
    </w:rPr>
  </w:style>
  <w:style w:type="paragraph" w:styleId="Heading8">
    <w:name w:val="heading 8"/>
    <w:basedOn w:val="Normal"/>
    <w:next w:val="Normal"/>
    <w:link w:val="Heading8Char"/>
    <w:qFormat/>
    <w:rsid w:val="003F2079"/>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3F2079"/>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3F2079"/>
    <w:rPr>
      <w:rFonts w:ascii="Times New Roman" w:hAnsi="Times New Roman"/>
      <w:b/>
      <w:sz w:val="18"/>
    </w:rPr>
  </w:style>
  <w:style w:type="table" w:customStyle="1" w:styleId="Tabledocright">
    <w:name w:val="Table_doc_right"/>
    <w:basedOn w:val="TableNormal"/>
    <w:rsid w:val="003F2079"/>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3F2079"/>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3F2079"/>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3F2079"/>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3F2079"/>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F2079"/>
    <w:rPr>
      <w:bCs w:val="0"/>
    </w:rPr>
  </w:style>
  <w:style w:type="paragraph" w:styleId="TableofFigures">
    <w:name w:val="table of figures"/>
    <w:basedOn w:val="Normal"/>
    <w:next w:val="Normal"/>
    <w:autoRedefine/>
    <w:semiHidden/>
    <w:rsid w:val="003F2079"/>
    <w:pPr>
      <w:tabs>
        <w:tab w:val="clear" w:pos="1814"/>
        <w:tab w:val="clear" w:pos="2381"/>
        <w:tab w:val="clear" w:pos="2948"/>
        <w:tab w:val="clear" w:pos="3515"/>
      </w:tabs>
      <w:ind w:left="1814" w:hanging="567"/>
    </w:pPr>
  </w:style>
  <w:style w:type="paragraph" w:customStyle="1" w:styleId="CH1">
    <w:name w:val="CH1"/>
    <w:basedOn w:val="Normalpool"/>
    <w:next w:val="Normal"/>
    <w:rsid w:val="00D336AC"/>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
    <w:rsid w:val="00BA0C8B"/>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
    <w:rsid w:val="007D3B04"/>
    <w:pPr>
      <w:keepNext/>
      <w:keepLines/>
      <w:tabs>
        <w:tab w:val="right" w:pos="851"/>
      </w:tabs>
      <w:suppressAutoHyphens/>
      <w:spacing w:before="240" w:after="120"/>
      <w:ind w:left="1247" w:right="284" w:hanging="1247"/>
    </w:pPr>
    <w:rPr>
      <w:b/>
    </w:rPr>
  </w:style>
  <w:style w:type="paragraph" w:customStyle="1" w:styleId="CH4">
    <w:name w:val="CH4"/>
    <w:basedOn w:val="Normalpool"/>
    <w:next w:val="Normal"/>
    <w:rsid w:val="003F2079"/>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F2079"/>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
    <w:rsid w:val="003F2079"/>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F2079"/>
    <w:pPr>
      <w:tabs>
        <w:tab w:val="left" w:pos="4321"/>
        <w:tab w:val="right" w:pos="8641"/>
      </w:tabs>
      <w:spacing w:before="60" w:after="120"/>
    </w:pPr>
    <w:rPr>
      <w:b/>
      <w:sz w:val="18"/>
    </w:rPr>
  </w:style>
  <w:style w:type="paragraph" w:customStyle="1" w:styleId="Headerpool">
    <w:name w:val="Header_pool"/>
    <w:basedOn w:val="Normal"/>
    <w:next w:val="Normal"/>
    <w:semiHidden/>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autoRedefine/>
    <w:rsid w:val="003F2079"/>
    <w:pPr>
      <w:tabs>
        <w:tab w:val="left" w:pos="1247"/>
        <w:tab w:val="left" w:pos="1814"/>
        <w:tab w:val="left" w:pos="2381"/>
        <w:tab w:val="left" w:pos="2948"/>
        <w:tab w:val="left" w:pos="3515"/>
        <w:tab w:val="left" w:pos="4082"/>
      </w:tabs>
    </w:pPr>
    <w:rPr>
      <w:lang w:val="fr-CA"/>
    </w:rPr>
  </w:style>
  <w:style w:type="paragraph" w:customStyle="1" w:styleId="Footer-pool">
    <w:name w:val="Footer-pool"/>
    <w:basedOn w:val="Normal-pool"/>
    <w:next w:val="Normal-pool"/>
    <w:rsid w:val="003F2079"/>
    <w:pPr>
      <w:tabs>
        <w:tab w:val="left" w:pos="4321"/>
        <w:tab w:val="right" w:pos="8641"/>
      </w:tabs>
      <w:spacing w:before="60" w:after="120"/>
    </w:pPr>
    <w:rPr>
      <w:b/>
      <w:sz w:val="18"/>
    </w:rPr>
  </w:style>
  <w:style w:type="paragraph" w:customStyle="1" w:styleId="Header-pool">
    <w:name w:val="Header-pool"/>
    <w:basedOn w:val="Normal-pool"/>
    <w:next w:val="Normal-pool"/>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1"/>
    <w:rsid w:val="003F2079"/>
    <w:pPr>
      <w:tabs>
        <w:tab w:val="left" w:pos="1247"/>
        <w:tab w:val="left" w:pos="1814"/>
        <w:tab w:val="left" w:pos="2381"/>
        <w:tab w:val="left" w:pos="2948"/>
        <w:tab w:val="left" w:pos="3515"/>
        <w:tab w:val="left" w:pos="4082"/>
      </w:tabs>
    </w:pPr>
  </w:style>
  <w:style w:type="paragraph" w:styleId="FootnoteText">
    <w:name w:val="footnote text"/>
    <w:aliases w:val="Geneva 9,Font: Geneva 9,Boston 10,f,DNV-FT,fn,Footnotes,Footnote ak,ft,fn cafc,Footnotes Char Char,Footnote Text Char Char,fn Char Char,footnote text Char Char Char Ch,Footnote Text Char1,footnote text Char Char Char Ch Char,-E Fußnotente"/>
    <w:basedOn w:val="Normalpool"/>
    <w:link w:val="FootnoteTextChar"/>
    <w:uiPriority w:val="99"/>
    <w:rsid w:val="003F2079"/>
    <w:pPr>
      <w:spacing w:before="20" w:after="40"/>
      <w:ind w:left="1247"/>
    </w:pPr>
    <w:rPr>
      <w:sz w:val="18"/>
    </w:rPr>
  </w:style>
  <w:style w:type="character" w:customStyle="1" w:styleId="FootnoteTextChar">
    <w:name w:val="Footnote Text Char"/>
    <w:aliases w:val="Geneva 9 Char,Font: Geneva 9 Char,Boston 10 Char,f Char,DNV-FT Char,fn Char,Footnotes Char,Footnote ak Char,ft Char,fn cafc Char,Footnotes Char Char Char,Footnote Text Char Char Char,fn Char Char Char,Footnote Text Char1 Char"/>
    <w:basedOn w:val="DefaultParagraphFont"/>
    <w:link w:val="FootnoteText"/>
    <w:uiPriority w:val="99"/>
    <w:rsid w:val="003F2079"/>
    <w:rPr>
      <w:sz w:val="18"/>
      <w:lang w:val="fr-CA"/>
    </w:rPr>
  </w:style>
  <w:style w:type="paragraph" w:styleId="ListParagraph">
    <w:name w:val="List Paragraph"/>
    <w:basedOn w:val="Normal"/>
    <w:uiPriority w:val="34"/>
    <w:qFormat/>
    <w:rsid w:val="00091FA7"/>
    <w:pPr>
      <w:pBdr>
        <w:top w:val="nil"/>
        <w:left w:val="nil"/>
        <w:bottom w:val="nil"/>
        <w:right w:val="nil"/>
        <w:between w:val="nil"/>
        <w:bar w:val="nil"/>
      </w:pBdr>
      <w:ind w:left="720"/>
      <w:contextualSpacing/>
    </w:pPr>
    <w:rPr>
      <w:rFonts w:eastAsia="Arial Unicode MS"/>
      <w:sz w:val="24"/>
      <w:szCs w:val="24"/>
      <w:bdr w:val="nil"/>
    </w:rPr>
  </w:style>
  <w:style w:type="table" w:styleId="TableGrid">
    <w:name w:val="Table Grid"/>
    <w:basedOn w:val="TableNormal"/>
    <w:uiPriority w:val="59"/>
    <w:rsid w:val="00091FA7"/>
    <w:rPr>
      <w:rFonts w:ascii="Century" w:eastAsia="MS Mincho" w:hAnsi="Century"/>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umberChar">
    <w:name w:val="Normal_number Char"/>
    <w:link w:val="Normalnumber"/>
    <w:rsid w:val="00091FA7"/>
    <w:rPr>
      <w:lang w:val="fr-CA"/>
    </w:rPr>
  </w:style>
  <w:style w:type="character" w:customStyle="1" w:styleId="Normal-poolChar1">
    <w:name w:val="Normal-pool Char1"/>
    <w:link w:val="Normal-pool"/>
    <w:locked/>
    <w:rsid w:val="0048610B"/>
  </w:style>
  <w:style w:type="table" w:customStyle="1" w:styleId="AATable">
    <w:name w:val="AA_Table"/>
    <w:basedOn w:val="TableNormal"/>
    <w:semiHidden/>
    <w:rsid w:val="003F2079"/>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095CC6"/>
    <w:pPr>
      <w:keepNext/>
      <w:keepLines/>
      <w:suppressAutoHyphens/>
    </w:pPr>
    <w:rPr>
      <w:b/>
      <w:lang w:val="en-GB"/>
    </w:rPr>
  </w:style>
  <w:style w:type="paragraph" w:customStyle="1" w:styleId="AATitle2">
    <w:name w:val="AA_Title2"/>
    <w:basedOn w:val="AATitle"/>
    <w:rsid w:val="003E6895"/>
    <w:pPr>
      <w:tabs>
        <w:tab w:val="clear" w:pos="4082"/>
      </w:tabs>
      <w:spacing w:before="60"/>
      <w:ind w:right="4536"/>
    </w:pPr>
  </w:style>
  <w:style w:type="paragraph" w:customStyle="1" w:styleId="BBTitle">
    <w:name w:val="BB_Title"/>
    <w:basedOn w:val="Normalpool"/>
    <w:rsid w:val="00945D6D"/>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3F2079"/>
    <w:pPr>
      <w:tabs>
        <w:tab w:val="center" w:pos="4320"/>
        <w:tab w:val="right" w:pos="8640"/>
      </w:tabs>
      <w:spacing w:before="60" w:after="120"/>
    </w:pPr>
    <w:rPr>
      <w:sz w:val="18"/>
    </w:rPr>
  </w:style>
  <w:style w:type="paragraph" w:styleId="Header">
    <w:name w:val="header"/>
    <w:basedOn w:val="Normal"/>
    <w:link w:val="HeaderChar"/>
    <w:semiHidden/>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3F2079"/>
    <w:rPr>
      <w:rFonts w:ascii="Times New Roman" w:hAnsi="Times New Roman"/>
      <w:color w:val="auto"/>
      <w:sz w:val="20"/>
      <w:szCs w:val="20"/>
      <w:u w:val="none"/>
      <w:lang w:val="fr-FR"/>
    </w:rPr>
  </w:style>
  <w:style w:type="numbering" w:customStyle="1" w:styleId="Normallist">
    <w:name w:val="Normal_list"/>
    <w:basedOn w:val="NoList"/>
    <w:semiHidden/>
    <w:rsid w:val="003F2079"/>
    <w:pPr>
      <w:numPr>
        <w:numId w:val="1"/>
      </w:numPr>
    </w:pPr>
  </w:style>
  <w:style w:type="paragraph" w:customStyle="1" w:styleId="NormalNonumber">
    <w:name w:val="Normal_No_number"/>
    <w:basedOn w:val="Normalpool"/>
    <w:rsid w:val="003F2079"/>
    <w:pPr>
      <w:spacing w:after="120"/>
      <w:ind w:left="1247"/>
    </w:pPr>
  </w:style>
  <w:style w:type="paragraph" w:customStyle="1" w:styleId="Normalnumber">
    <w:name w:val="Normal_number"/>
    <w:basedOn w:val="Normalpool"/>
    <w:link w:val="NormalnumberChar"/>
    <w:rsid w:val="003F2079"/>
    <w:pPr>
      <w:tabs>
        <w:tab w:val="clear" w:pos="1247"/>
      </w:tabs>
      <w:spacing w:after="120"/>
    </w:pPr>
  </w:style>
  <w:style w:type="paragraph" w:customStyle="1" w:styleId="Titletable">
    <w:name w:val="Title_table"/>
    <w:basedOn w:val="Normalpool"/>
    <w:rsid w:val="003F2079"/>
    <w:pPr>
      <w:keepNext/>
      <w:keepLines/>
      <w:suppressAutoHyphens/>
      <w:spacing w:after="60"/>
      <w:ind w:left="1247"/>
    </w:pPr>
    <w:rPr>
      <w:b/>
      <w:bCs/>
    </w:rPr>
  </w:style>
  <w:style w:type="paragraph" w:styleId="TOC1">
    <w:name w:val="toc 1"/>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spacing w:before="240"/>
      <w:ind w:left="1247"/>
    </w:pPr>
    <w:rPr>
      <w:bCs/>
    </w:rPr>
  </w:style>
  <w:style w:type="paragraph" w:styleId="TOC2">
    <w:name w:val="toc 2"/>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1814"/>
    </w:pPr>
  </w:style>
  <w:style w:type="paragraph" w:styleId="TOC3">
    <w:name w:val="toc 3"/>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381"/>
    </w:pPr>
    <w:rPr>
      <w:iCs/>
    </w:rPr>
  </w:style>
  <w:style w:type="paragraph" w:styleId="TOC4">
    <w:name w:val="toc 4"/>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948"/>
    </w:pPr>
    <w:rPr>
      <w:szCs w:val="18"/>
    </w:rPr>
  </w:style>
  <w:style w:type="paragraph" w:styleId="TOC5">
    <w:name w:val="toc 5"/>
    <w:basedOn w:val="Normal"/>
    <w:next w:val="Normal"/>
    <w:autoRedefine/>
    <w:uiPriority w:val="39"/>
    <w:semiHidden/>
    <w:rsid w:val="003F2079"/>
    <w:pPr>
      <w:tabs>
        <w:tab w:val="clear" w:pos="1814"/>
        <w:tab w:val="clear" w:pos="2381"/>
        <w:tab w:val="clear" w:pos="2948"/>
        <w:tab w:val="clear" w:pos="3515"/>
      </w:tabs>
      <w:ind w:left="799"/>
    </w:pPr>
    <w:rPr>
      <w:sz w:val="18"/>
      <w:szCs w:val="18"/>
    </w:rPr>
  </w:style>
  <w:style w:type="paragraph" w:customStyle="1" w:styleId="ZZAnxheader">
    <w:name w:val="ZZ_Anx_header"/>
    <w:basedOn w:val="Normalpool"/>
    <w:rsid w:val="003F2079"/>
    <w:rPr>
      <w:b/>
      <w:bCs/>
      <w:sz w:val="28"/>
      <w:szCs w:val="22"/>
    </w:rPr>
  </w:style>
  <w:style w:type="paragraph" w:customStyle="1" w:styleId="ZZAnxtitle">
    <w:name w:val="ZZ_Anx_title"/>
    <w:basedOn w:val="Normalpool"/>
    <w:rsid w:val="003F2079"/>
    <w:pPr>
      <w:spacing w:before="360" w:after="120"/>
      <w:ind w:left="1247"/>
    </w:pPr>
    <w:rPr>
      <w:b/>
      <w:bCs/>
      <w:sz w:val="28"/>
      <w:szCs w:val="26"/>
    </w:rPr>
  </w:style>
  <w:style w:type="paragraph" w:styleId="BalloonText">
    <w:name w:val="Balloon Text"/>
    <w:basedOn w:val="Normal"/>
    <w:link w:val="BalloonTextChar"/>
    <w:rsid w:val="001A54A9"/>
    <w:rPr>
      <w:rFonts w:ascii="Tahoma" w:hAnsi="Tahoma" w:cs="Tahoma"/>
      <w:sz w:val="16"/>
      <w:szCs w:val="16"/>
    </w:rPr>
  </w:style>
  <w:style w:type="character" w:customStyle="1" w:styleId="BalloonTextChar">
    <w:name w:val="Balloon Text Char"/>
    <w:basedOn w:val="DefaultParagraphFont"/>
    <w:link w:val="BalloonText"/>
    <w:rsid w:val="001A54A9"/>
    <w:rPr>
      <w:rFonts w:ascii="Tahoma" w:eastAsia="Calibri" w:hAnsi="Tahoma" w:cs="Tahoma"/>
      <w:sz w:val="16"/>
      <w:szCs w:val="16"/>
    </w:rPr>
  </w:style>
  <w:style w:type="character" w:styleId="CommentReference">
    <w:name w:val="annotation reference"/>
    <w:basedOn w:val="DefaultParagraphFont"/>
    <w:rsid w:val="002B675B"/>
    <w:rPr>
      <w:sz w:val="16"/>
      <w:szCs w:val="16"/>
    </w:rPr>
  </w:style>
  <w:style w:type="paragraph" w:styleId="CommentText">
    <w:name w:val="annotation text"/>
    <w:basedOn w:val="Normal"/>
    <w:link w:val="CommentTextChar"/>
    <w:rsid w:val="002B675B"/>
  </w:style>
  <w:style w:type="character" w:customStyle="1" w:styleId="CommentTextChar">
    <w:name w:val="Comment Text Char"/>
    <w:basedOn w:val="DefaultParagraphFont"/>
    <w:link w:val="CommentText"/>
    <w:rsid w:val="002B675B"/>
    <w:rPr>
      <w:rFonts w:ascii="Calibri" w:eastAsia="Calibri" w:hAnsi="Calibri"/>
    </w:rPr>
  </w:style>
  <w:style w:type="paragraph" w:styleId="CommentSubject">
    <w:name w:val="annotation subject"/>
    <w:basedOn w:val="CommentText"/>
    <w:next w:val="CommentText"/>
    <w:link w:val="CommentSubjectChar"/>
    <w:rsid w:val="002B675B"/>
    <w:rPr>
      <w:b/>
      <w:bCs/>
    </w:rPr>
  </w:style>
  <w:style w:type="character" w:customStyle="1" w:styleId="CommentSubjectChar">
    <w:name w:val="Comment Subject Char"/>
    <w:basedOn w:val="CommentTextChar"/>
    <w:link w:val="CommentSubject"/>
    <w:rsid w:val="002B675B"/>
    <w:rPr>
      <w:rFonts w:ascii="Calibri" w:eastAsia="Calibri" w:hAnsi="Calibri"/>
      <w:b/>
      <w:bCs/>
    </w:rPr>
  </w:style>
  <w:style w:type="character" w:styleId="Emphasis">
    <w:name w:val="Emphasis"/>
    <w:basedOn w:val="DefaultParagraphFont"/>
    <w:qFormat/>
    <w:rsid w:val="00EE67D1"/>
    <w:rPr>
      <w:i/>
      <w:iCs/>
    </w:rPr>
  </w:style>
  <w:style w:type="paragraph" w:styleId="BodyText">
    <w:name w:val="Body Text"/>
    <w:basedOn w:val="Normal"/>
    <w:link w:val="BodyTextChar"/>
    <w:uiPriority w:val="1"/>
    <w:qFormat/>
    <w:rsid w:val="00BE18CD"/>
    <w:pPr>
      <w:widowControl w:val="0"/>
      <w:autoSpaceDE w:val="0"/>
      <w:autoSpaceDN w:val="0"/>
    </w:pPr>
    <w:rPr>
      <w:lang w:val="en-GB" w:eastAsia="en-GB" w:bidi="en-GB"/>
    </w:rPr>
  </w:style>
  <w:style w:type="character" w:customStyle="1" w:styleId="BodyTextChar">
    <w:name w:val="Body Text Char"/>
    <w:basedOn w:val="DefaultParagraphFont"/>
    <w:link w:val="BodyText"/>
    <w:uiPriority w:val="1"/>
    <w:rsid w:val="00BE18CD"/>
    <w:rPr>
      <w:lang w:val="en-GB" w:eastAsia="en-GB" w:bidi="en-GB"/>
    </w:rPr>
  </w:style>
  <w:style w:type="character" w:customStyle="1" w:styleId="FooterChar">
    <w:name w:val="Footer Char"/>
    <w:basedOn w:val="DefaultParagraphFont"/>
    <w:link w:val="Footer"/>
    <w:uiPriority w:val="99"/>
    <w:rsid w:val="003F2079"/>
    <w:rPr>
      <w:sz w:val="18"/>
    </w:rPr>
  </w:style>
  <w:style w:type="character" w:customStyle="1" w:styleId="HeaderChar">
    <w:name w:val="Header Char"/>
    <w:basedOn w:val="DefaultParagraphFont"/>
    <w:link w:val="Header"/>
    <w:semiHidden/>
    <w:rsid w:val="003F2079"/>
    <w:rPr>
      <w:b/>
      <w:sz w:val="18"/>
    </w:rPr>
  </w:style>
  <w:style w:type="character" w:customStyle="1" w:styleId="Heading1Char">
    <w:name w:val="Heading 1 Char"/>
    <w:basedOn w:val="DefaultParagraphFont"/>
    <w:link w:val="Heading1"/>
    <w:rsid w:val="003F2079"/>
    <w:rPr>
      <w:b/>
      <w:sz w:val="28"/>
    </w:rPr>
  </w:style>
  <w:style w:type="character" w:customStyle="1" w:styleId="Heading2Char">
    <w:name w:val="Heading 2 Char"/>
    <w:basedOn w:val="DefaultParagraphFont"/>
    <w:link w:val="Heading2"/>
    <w:rsid w:val="003F2079"/>
    <w:rPr>
      <w:b/>
      <w:sz w:val="24"/>
      <w:szCs w:val="24"/>
    </w:rPr>
  </w:style>
  <w:style w:type="character" w:customStyle="1" w:styleId="Heading3Char">
    <w:name w:val="Heading 3 Char"/>
    <w:basedOn w:val="DefaultParagraphFont"/>
    <w:link w:val="Heading3"/>
    <w:rsid w:val="003F2079"/>
    <w:rPr>
      <w:b/>
    </w:rPr>
  </w:style>
  <w:style w:type="character" w:customStyle="1" w:styleId="Heading4Char">
    <w:name w:val="Heading 4 Char"/>
    <w:basedOn w:val="DefaultParagraphFont"/>
    <w:link w:val="Heading4"/>
    <w:rsid w:val="003F2079"/>
    <w:rPr>
      <w:b/>
    </w:rPr>
  </w:style>
  <w:style w:type="character" w:customStyle="1" w:styleId="Heading5Char">
    <w:name w:val="Heading 5 Char"/>
    <w:basedOn w:val="DefaultParagraphFont"/>
    <w:link w:val="Heading5"/>
    <w:rsid w:val="003F2079"/>
    <w:rPr>
      <w:rFonts w:ascii="Univers" w:hAnsi="Univers"/>
      <w:b/>
      <w:sz w:val="24"/>
    </w:rPr>
  </w:style>
  <w:style w:type="character" w:customStyle="1" w:styleId="Heading6Char">
    <w:name w:val="Heading 6 Char"/>
    <w:basedOn w:val="DefaultParagraphFont"/>
    <w:link w:val="Heading6"/>
    <w:rsid w:val="003F2079"/>
    <w:rPr>
      <w:b/>
      <w:bCs/>
      <w:sz w:val="24"/>
    </w:rPr>
  </w:style>
  <w:style w:type="character" w:customStyle="1" w:styleId="Heading7Char">
    <w:name w:val="Heading 7 Char"/>
    <w:basedOn w:val="DefaultParagraphFont"/>
    <w:link w:val="Heading7"/>
    <w:rsid w:val="003F2079"/>
    <w:rPr>
      <w:snapToGrid w:val="0"/>
      <w:u w:val="single"/>
    </w:rPr>
  </w:style>
  <w:style w:type="character" w:customStyle="1" w:styleId="Heading8Char">
    <w:name w:val="Heading 8 Char"/>
    <w:basedOn w:val="DefaultParagraphFont"/>
    <w:link w:val="Heading8"/>
    <w:rsid w:val="003F2079"/>
    <w:rPr>
      <w:snapToGrid w:val="0"/>
      <w:u w:val="single"/>
    </w:rPr>
  </w:style>
  <w:style w:type="character" w:customStyle="1" w:styleId="Heading9Char">
    <w:name w:val="Heading 9 Char"/>
    <w:basedOn w:val="DefaultParagraphFont"/>
    <w:link w:val="Heading9"/>
    <w:rsid w:val="003F2079"/>
    <w:rPr>
      <w:snapToGrid w:val="0"/>
      <w:u w:val="single"/>
    </w:rPr>
  </w:style>
  <w:style w:type="character" w:styleId="Strong">
    <w:name w:val="Strong"/>
    <w:basedOn w:val="DefaultParagraphFont"/>
    <w:uiPriority w:val="22"/>
    <w:qFormat/>
    <w:rsid w:val="00CF6CEA"/>
    <w:rPr>
      <w:b/>
      <w:bCs/>
    </w:rPr>
  </w:style>
  <w:style w:type="character" w:customStyle="1" w:styleId="NormalpoolChar">
    <w:name w:val="Normal_pool Char"/>
    <w:link w:val="Normalpool"/>
    <w:locked/>
    <w:rsid w:val="00C242FF"/>
    <w:rPr>
      <w:lang w:val="fr-CA"/>
    </w:rPr>
  </w:style>
  <w:style w:type="character" w:styleId="FootnoteReference">
    <w:name w:val="footnote reference"/>
    <w:rsid w:val="000B6A59"/>
    <w:rPr>
      <w:rFonts w:ascii="Times New Roman" w:hAnsi="Times New Roman"/>
      <w:color w:val="auto"/>
      <w:sz w:val="20"/>
      <w:szCs w:val="18"/>
      <w:vertAlign w:val="superscript"/>
    </w:rPr>
  </w:style>
  <w:style w:type="character" w:styleId="FollowedHyperlink">
    <w:name w:val="FollowedHyperlink"/>
    <w:basedOn w:val="DefaultParagraphFont"/>
    <w:unhideWhenUsed/>
    <w:rsid w:val="00C83D89"/>
    <w:rPr>
      <w:color w:val="000000" w:themeColor="text1"/>
      <w:sz w:val="20"/>
      <w:u w:val="none"/>
    </w:rPr>
  </w:style>
  <w:style w:type="paragraph" w:styleId="Revision">
    <w:name w:val="Revision"/>
    <w:hidden/>
    <w:uiPriority w:val="99"/>
    <w:semiHidden/>
    <w:rsid w:val="00B351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5491059">
      <w:bodyDiv w:val="1"/>
      <w:marLeft w:val="0"/>
      <w:marRight w:val="0"/>
      <w:marTop w:val="0"/>
      <w:marBottom w:val="0"/>
      <w:divBdr>
        <w:top w:val="none" w:sz="0" w:space="0" w:color="auto"/>
        <w:left w:val="none" w:sz="0" w:space="0" w:color="auto"/>
        <w:bottom w:val="none" w:sz="0" w:space="0" w:color="auto"/>
        <w:right w:val="none" w:sz="0" w:space="0" w:color="auto"/>
      </w:divBdr>
    </w:div>
    <w:div w:id="1021510709">
      <w:bodyDiv w:val="1"/>
      <w:marLeft w:val="0"/>
      <w:marRight w:val="0"/>
      <w:marTop w:val="0"/>
      <w:marBottom w:val="0"/>
      <w:divBdr>
        <w:top w:val="none" w:sz="0" w:space="0" w:color="auto"/>
        <w:left w:val="none" w:sz="0" w:space="0" w:color="auto"/>
        <w:bottom w:val="none" w:sz="0" w:space="0" w:color="auto"/>
        <w:right w:val="none" w:sz="0" w:space="0" w:color="auto"/>
      </w:divBdr>
    </w:div>
    <w:div w:id="1094396083">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hyperlink" Target="https://sustainable-infrastructure-tools.or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greengrowthknowledge.org/sites/default/files/downloads/resource/Mainstreaming%20biodiversity%20in%20the%20infrastucture%20sector_UN%20Environment.pdf" TargetMode="Externa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yperlink" Target="https://www.greengrowthknowledge.org/news/unep-regional-consultations-sustainable-infrastructure-information-porta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greengrowthknowledge.org/initiatives/sustainable-infrastructure-partnership" TargetMode="External"/><Relationship Id="rId20" Type="http://schemas.openxmlformats.org/officeDocument/2006/relationships/hyperlink" Target="https://www.greengrowthknowledge.org/sites/default/files/downloads/resource/The%20Infrastructure%20And%20Climate%20Change%20Nexus_UN%20Environment.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greengrowthknowledge.org/sites/default/files/downloads/resource/Integrated_Approaches_To_Sustainable_Infrastructure_UNEP.pdf"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greengrowthknowledge.org/event/un-environment-and-unops-workshop-inclusive-infrastructur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hyperlink" Target="https://greengrowthknowledge.org/sites/default/files/downloads/resource/Policy%20Brief%20-%20Making%20Infrastructure%20Resource%20Efficient.pdf"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591afa8-fd54-42f1-9ea9-749d51e1c00b">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07342-5C06-41BA-9BC1-52F98AF05A8D}">
  <ds:schemaRefs>
    <ds:schemaRef ds:uri="http://schemas.microsoft.com/office/2006/metadata/properties"/>
    <ds:schemaRef ds:uri="http://schemas.microsoft.com/office/infopath/2007/PartnerControls"/>
    <ds:schemaRef ds:uri="a591afa8-fd54-42f1-9ea9-749d51e1c00b"/>
  </ds:schemaRefs>
</ds:datastoreItem>
</file>

<file path=customXml/itemProps2.xml><?xml version="1.0" encoding="utf-8"?>
<ds:datastoreItem xmlns:ds="http://schemas.openxmlformats.org/officeDocument/2006/customXml" ds:itemID="{4F18533B-C058-44BD-94AE-172C27FED6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786952-7FC6-4B2D-AE07-12A860504490}">
  <ds:schemaRefs>
    <ds:schemaRef ds:uri="http://schemas.microsoft.com/sharepoint/v3/contenttype/forms"/>
  </ds:schemaRefs>
</ds:datastoreItem>
</file>

<file path=customXml/itemProps4.xml><?xml version="1.0" encoding="utf-8"?>
<ds:datastoreItem xmlns:ds="http://schemas.openxmlformats.org/officeDocument/2006/customXml" ds:itemID="{6B5074B4-FC95-40E3-9E15-F0BDFEAD1A38}">
  <ds:schemaRefs>
    <ds:schemaRef ds:uri="http://schemas.openxmlformats.org/officeDocument/2006/bibliography"/>
  </ds:schemaRefs>
</ds:datastoreItem>
</file>

<file path=customXml/itemProps5.xml><?xml version="1.0" encoding="utf-8"?>
<ds:datastoreItem xmlns:ds="http://schemas.openxmlformats.org/officeDocument/2006/customXml" ds:itemID="{86D6A5EA-23CD-41EC-A19F-2ADEA6034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2722</Words>
  <Characters>15519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Veronica Gathu</cp:lastModifiedBy>
  <cp:revision>4</cp:revision>
  <cp:lastPrinted>2019-01-21T08:38:00Z</cp:lastPrinted>
  <dcterms:created xsi:type="dcterms:W3CDTF">2020-12-29T13:21:00Z</dcterms:created>
  <dcterms:modified xsi:type="dcterms:W3CDTF">2020-12-29T13:35:00Z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Order">
    <vt:r8>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