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9"/>
        <w:gridCol w:w="5144"/>
        <w:gridCol w:w="425"/>
        <w:gridCol w:w="2408"/>
      </w:tblGrid>
      <w:tr w:rsidR="004F09E0" w:rsidRPr="00266D27" w14:paraId="52EE8FC1" w14:textId="77777777" w:rsidTr="00E951C0">
        <w:trPr>
          <w:cantSplit/>
          <w:trHeight w:val="57"/>
          <w:jc w:val="right"/>
        </w:trPr>
        <w:tc>
          <w:tcPr>
            <w:tcW w:w="1519" w:type="dxa"/>
          </w:tcPr>
          <w:p w14:paraId="3EC1CD86" w14:textId="77777777" w:rsidR="004F09E0" w:rsidRPr="00266D27" w:rsidRDefault="004F09E0" w:rsidP="00E951C0">
            <w:pPr>
              <w:pStyle w:val="Normal-pool"/>
              <w:rPr>
                <w:rFonts w:ascii="Arial" w:hAnsi="Arial" w:cs="Arial"/>
                <w:b/>
                <w:bCs/>
                <w:noProof/>
                <w:sz w:val="27"/>
                <w:szCs w:val="27"/>
                <w:lang w:val="fr-FR"/>
              </w:rPr>
            </w:pPr>
            <w:r w:rsidRPr="00266D27">
              <w:rPr>
                <w:rFonts w:ascii="Arial" w:hAnsi="Arial" w:cs="Arial"/>
                <w:b/>
                <w:bCs/>
                <w:noProof/>
                <w:sz w:val="27"/>
                <w:szCs w:val="27"/>
                <w:lang w:val="fr-FR"/>
              </w:rPr>
              <w:t xml:space="preserve">NATIONS </w:t>
            </w:r>
            <w:r w:rsidRPr="00266D27">
              <w:rPr>
                <w:rFonts w:ascii="Arial" w:hAnsi="Arial" w:cs="Arial"/>
                <w:b/>
                <w:bCs/>
                <w:noProof/>
                <w:sz w:val="27"/>
                <w:szCs w:val="27"/>
                <w:lang w:val="fr-FR"/>
              </w:rPr>
              <w:br/>
              <w:t>UNIES</w:t>
            </w:r>
          </w:p>
        </w:tc>
        <w:tc>
          <w:tcPr>
            <w:tcW w:w="5144" w:type="dxa"/>
          </w:tcPr>
          <w:p w14:paraId="2BF66CB1" w14:textId="77777777" w:rsidR="004F09E0" w:rsidRPr="00266D27" w:rsidRDefault="004F09E0" w:rsidP="00E951C0">
            <w:pPr>
              <w:pStyle w:val="Normal-pool"/>
              <w:rPr>
                <w:noProof/>
                <w:lang w:val="fr-FR"/>
              </w:rPr>
            </w:pPr>
          </w:p>
        </w:tc>
        <w:tc>
          <w:tcPr>
            <w:tcW w:w="2833" w:type="dxa"/>
            <w:gridSpan w:val="2"/>
          </w:tcPr>
          <w:p w14:paraId="27B48211" w14:textId="77777777" w:rsidR="004F09E0" w:rsidRPr="00266D27" w:rsidRDefault="004F09E0" w:rsidP="00E951C0">
            <w:pPr>
              <w:pStyle w:val="Normal-pool"/>
              <w:jc w:val="right"/>
              <w:rPr>
                <w:rFonts w:ascii="Arial" w:hAnsi="Arial" w:cs="Arial"/>
                <w:b/>
                <w:bCs/>
                <w:noProof/>
                <w:sz w:val="64"/>
                <w:szCs w:val="64"/>
                <w:lang w:val="fr-FR"/>
              </w:rPr>
            </w:pPr>
            <w:r w:rsidRPr="00266D27">
              <w:rPr>
                <w:rFonts w:ascii="Arial" w:hAnsi="Arial" w:cs="Arial"/>
                <w:b/>
                <w:bCs/>
                <w:noProof/>
                <w:sz w:val="64"/>
                <w:szCs w:val="64"/>
                <w:lang w:val="fr-FR"/>
              </w:rPr>
              <w:t>EP</w:t>
            </w:r>
          </w:p>
        </w:tc>
      </w:tr>
      <w:tr w:rsidR="004F09E0" w:rsidRPr="00266D27" w14:paraId="1BAFFEE5" w14:textId="77777777" w:rsidTr="00E951C0">
        <w:trPr>
          <w:cantSplit/>
          <w:trHeight w:val="57"/>
          <w:jc w:val="right"/>
        </w:trPr>
        <w:tc>
          <w:tcPr>
            <w:tcW w:w="1519" w:type="dxa"/>
            <w:tcBorders>
              <w:bottom w:val="single" w:sz="4" w:space="0" w:color="auto"/>
            </w:tcBorders>
          </w:tcPr>
          <w:p w14:paraId="250DC731" w14:textId="77777777" w:rsidR="004F09E0" w:rsidRPr="00266D27" w:rsidRDefault="004F09E0" w:rsidP="00E951C0">
            <w:pPr>
              <w:pStyle w:val="Normal-pool"/>
              <w:rPr>
                <w:noProof/>
                <w:lang w:val="fr-FR"/>
              </w:rPr>
            </w:pPr>
          </w:p>
        </w:tc>
        <w:tc>
          <w:tcPr>
            <w:tcW w:w="5144" w:type="dxa"/>
            <w:tcBorders>
              <w:bottom w:val="single" w:sz="4" w:space="0" w:color="auto"/>
            </w:tcBorders>
          </w:tcPr>
          <w:p w14:paraId="1C9F61BE" w14:textId="77777777" w:rsidR="004F09E0" w:rsidRPr="00266D27" w:rsidRDefault="004F09E0" w:rsidP="00E951C0">
            <w:pPr>
              <w:pStyle w:val="Normal-pool"/>
              <w:rPr>
                <w:noProof/>
                <w:sz w:val="18"/>
                <w:szCs w:val="18"/>
                <w:lang w:val="fr-FR"/>
              </w:rPr>
            </w:pPr>
          </w:p>
        </w:tc>
        <w:tc>
          <w:tcPr>
            <w:tcW w:w="2833" w:type="dxa"/>
            <w:gridSpan w:val="2"/>
            <w:tcBorders>
              <w:bottom w:val="single" w:sz="4" w:space="0" w:color="auto"/>
            </w:tcBorders>
          </w:tcPr>
          <w:p w14:paraId="29757FAE" w14:textId="542424DB" w:rsidR="004F09E0" w:rsidRPr="00266D27" w:rsidRDefault="004F09E0" w:rsidP="00E951C0">
            <w:pPr>
              <w:pStyle w:val="Normalpool"/>
              <w:tabs>
                <w:tab w:val="left" w:pos="425"/>
              </w:tabs>
              <w:rPr>
                <w:noProof/>
                <w:sz w:val="18"/>
                <w:szCs w:val="18"/>
                <w:lang w:val="fr-FR"/>
              </w:rPr>
            </w:pPr>
            <w:r w:rsidRPr="00266D27">
              <w:rPr>
                <w:b/>
                <w:noProof/>
                <w:sz w:val="28"/>
                <w:szCs w:val="28"/>
                <w:lang w:val="fr-FR"/>
              </w:rPr>
              <w:tab/>
              <w:t>UNEP</w:t>
            </w:r>
            <w:r w:rsidRPr="00266D27">
              <w:rPr>
                <w:noProof/>
                <w:lang w:val="fr-FR"/>
              </w:rPr>
              <w:t>/EA.5/7</w:t>
            </w:r>
          </w:p>
        </w:tc>
      </w:tr>
      <w:tr w:rsidR="004F09E0" w:rsidRPr="00266D27" w14:paraId="6ACFD214" w14:textId="77777777" w:rsidTr="00E951C0">
        <w:trPr>
          <w:cantSplit/>
          <w:trHeight w:val="57"/>
          <w:jc w:val="right"/>
        </w:trPr>
        <w:tc>
          <w:tcPr>
            <w:tcW w:w="1519" w:type="dxa"/>
            <w:tcBorders>
              <w:top w:val="single" w:sz="4" w:space="0" w:color="auto"/>
              <w:bottom w:val="single" w:sz="24" w:space="0" w:color="auto"/>
            </w:tcBorders>
          </w:tcPr>
          <w:p w14:paraId="49D25203" w14:textId="77777777" w:rsidR="004F09E0" w:rsidRPr="00266D27" w:rsidRDefault="004F09E0" w:rsidP="00E951C0">
            <w:pPr>
              <w:pStyle w:val="Normalpool"/>
              <w:spacing w:after="120"/>
              <w:rPr>
                <w:noProof/>
                <w:lang w:val="fr-FR"/>
              </w:rPr>
            </w:pPr>
            <w:r w:rsidRPr="00266D27">
              <w:rPr>
                <w:noProof/>
                <w:lang w:val="fr-FR"/>
              </w:rPr>
              <w:object w:dxaOrig="1831" w:dyaOrig="1726" w14:anchorId="1437E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1pt;height:61.35pt" o:ole="" fillcolor="window">
                  <v:imagedata r:id="rId12" o:title=""/>
                </v:shape>
                <o:OLEObject Type="Embed" ProgID="Word.Picture.8" ShapeID="_x0000_i1025" DrawAspect="Content" ObjectID="_1670824167" r:id="rId13"/>
              </w:object>
            </w:r>
            <w:r w:rsidRPr="00266D27">
              <w:rPr>
                <w:noProof/>
                <w:lang w:val="fr-FR"/>
              </w:rPr>
              <w:drawing>
                <wp:inline distT="0" distB="0" distL="0" distR="0" wp14:anchorId="3181225C" wp14:editId="420FE090">
                  <wp:extent cx="723900" cy="762000"/>
                  <wp:effectExtent l="0" t="0" r="0" b="0"/>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5569" w:type="dxa"/>
            <w:gridSpan w:val="2"/>
            <w:tcBorders>
              <w:top w:val="single" w:sz="4" w:space="0" w:color="auto"/>
              <w:bottom w:val="single" w:sz="24" w:space="0" w:color="auto"/>
            </w:tcBorders>
          </w:tcPr>
          <w:p w14:paraId="24A1071F" w14:textId="77777777" w:rsidR="004F09E0" w:rsidRPr="00266D27" w:rsidRDefault="004F09E0" w:rsidP="00E951C0">
            <w:pPr>
              <w:pStyle w:val="Normalpool"/>
              <w:spacing w:before="1400" w:after="240"/>
              <w:ind w:right="-227"/>
              <w:rPr>
                <w:rFonts w:ascii="Arial" w:hAnsi="Arial" w:cs="Arial"/>
                <w:b/>
                <w:bCs/>
                <w:noProof/>
                <w:sz w:val="28"/>
                <w:szCs w:val="28"/>
                <w:lang w:val="fr-FR"/>
              </w:rPr>
            </w:pPr>
            <w:r w:rsidRPr="00266D27">
              <w:rPr>
                <w:rFonts w:ascii="Arial" w:hAnsi="Arial" w:cs="Arial"/>
                <w:b/>
                <w:bCs/>
                <w:noProof/>
                <w:sz w:val="28"/>
                <w:szCs w:val="28"/>
                <w:lang w:val="fr-FR"/>
              </w:rPr>
              <w:t>Assemblée des Nations Unies pour l’environnement du Programme des Nations Unies pour l’environnement</w:t>
            </w:r>
          </w:p>
        </w:tc>
        <w:tc>
          <w:tcPr>
            <w:tcW w:w="2408" w:type="dxa"/>
            <w:tcBorders>
              <w:top w:val="single" w:sz="4" w:space="0" w:color="auto"/>
              <w:bottom w:val="single" w:sz="24" w:space="0" w:color="auto"/>
            </w:tcBorders>
          </w:tcPr>
          <w:p w14:paraId="509AF56B" w14:textId="77777777" w:rsidR="004F09E0" w:rsidRPr="00266D27" w:rsidRDefault="004F09E0" w:rsidP="00E951C0">
            <w:pPr>
              <w:pStyle w:val="Normalpool"/>
              <w:spacing w:before="120"/>
              <w:rPr>
                <w:noProof/>
                <w:lang w:val="fr-FR"/>
              </w:rPr>
            </w:pPr>
            <w:r w:rsidRPr="00266D27">
              <w:rPr>
                <w:noProof/>
                <w:lang w:val="fr-FR"/>
              </w:rPr>
              <w:t>Distr. générale</w:t>
            </w:r>
          </w:p>
          <w:p w14:paraId="63C5FCCF" w14:textId="33A2AE37" w:rsidR="004F09E0" w:rsidRPr="00266D27" w:rsidRDefault="004F09E0" w:rsidP="00E951C0">
            <w:pPr>
              <w:pStyle w:val="Normalpool"/>
              <w:rPr>
                <w:noProof/>
                <w:lang w:val="fr-FR"/>
              </w:rPr>
            </w:pPr>
            <w:r w:rsidRPr="00266D27">
              <w:rPr>
                <w:noProof/>
                <w:lang w:val="fr-FR"/>
              </w:rPr>
              <w:t>12 novembre 2020</w:t>
            </w:r>
          </w:p>
          <w:p w14:paraId="3D808377" w14:textId="77777777" w:rsidR="004F09E0" w:rsidRPr="00266D27" w:rsidRDefault="004F09E0" w:rsidP="00E951C0">
            <w:pPr>
              <w:pStyle w:val="Normalpool"/>
              <w:spacing w:before="120"/>
              <w:rPr>
                <w:noProof/>
                <w:lang w:val="fr-FR"/>
              </w:rPr>
            </w:pPr>
            <w:r w:rsidRPr="00266D27">
              <w:rPr>
                <w:noProof/>
                <w:lang w:val="fr-FR"/>
              </w:rPr>
              <w:t>Français</w:t>
            </w:r>
          </w:p>
          <w:p w14:paraId="06404626" w14:textId="77777777" w:rsidR="004F09E0" w:rsidRPr="00266D27" w:rsidRDefault="004F09E0" w:rsidP="00E951C0">
            <w:pPr>
              <w:pStyle w:val="Normalpool"/>
              <w:spacing w:after="240"/>
              <w:rPr>
                <w:noProof/>
                <w:lang w:val="fr-FR"/>
              </w:rPr>
            </w:pPr>
            <w:r w:rsidRPr="00266D27">
              <w:rPr>
                <w:noProof/>
                <w:lang w:val="fr-FR"/>
              </w:rPr>
              <w:t>Original : anglais</w:t>
            </w:r>
          </w:p>
        </w:tc>
      </w:tr>
    </w:tbl>
    <w:p w14:paraId="2B111142" w14:textId="7CC73BE5" w:rsidR="00536C58" w:rsidRPr="00266D27" w:rsidRDefault="00536C58" w:rsidP="00536C58">
      <w:pPr>
        <w:pStyle w:val="AATitle"/>
        <w:ind w:right="4456"/>
        <w:rPr>
          <w:noProof/>
          <w:lang w:val="fr-FR"/>
        </w:rPr>
      </w:pPr>
      <w:r w:rsidRPr="00266D27">
        <w:rPr>
          <w:noProof/>
          <w:lang w:val="fr-FR"/>
        </w:rPr>
        <w:t>Assemblée des Nations Unies pour l’environnement du Programme des Nations Unies pour l’environnement</w:t>
      </w:r>
    </w:p>
    <w:p w14:paraId="48CFCCC5" w14:textId="77777777" w:rsidR="00536C58" w:rsidRPr="00266D27" w:rsidRDefault="00536C58" w:rsidP="00536C58">
      <w:pPr>
        <w:pStyle w:val="AATitle"/>
        <w:rPr>
          <w:noProof/>
          <w:lang w:val="fr-FR"/>
        </w:rPr>
      </w:pPr>
      <w:r w:rsidRPr="00266D27">
        <w:rPr>
          <w:noProof/>
          <w:lang w:val="fr-FR"/>
        </w:rPr>
        <w:t>Cinquième session</w:t>
      </w:r>
    </w:p>
    <w:p w14:paraId="66EF7975" w14:textId="6040AEFB" w:rsidR="00536C58" w:rsidRPr="00266D27" w:rsidRDefault="00504871" w:rsidP="00536C58">
      <w:pPr>
        <w:pStyle w:val="AATitle"/>
        <w:keepNext w:val="0"/>
        <w:keepLines w:val="0"/>
        <w:rPr>
          <w:b w:val="0"/>
          <w:noProof/>
          <w:lang w:val="fr-FR"/>
        </w:rPr>
      </w:pPr>
      <w:r w:rsidRPr="00266D27">
        <w:rPr>
          <w:b w:val="0"/>
          <w:noProof/>
          <w:lang w:val="fr-FR"/>
        </w:rPr>
        <w:t>Nairobi (e</w:t>
      </w:r>
      <w:r w:rsidR="00536C58" w:rsidRPr="00266D27">
        <w:rPr>
          <w:b w:val="0"/>
          <w:noProof/>
          <w:lang w:val="fr-FR"/>
        </w:rPr>
        <w:t>n ligne</w:t>
      </w:r>
      <w:r w:rsidRPr="00266D27">
        <w:rPr>
          <w:b w:val="0"/>
          <w:noProof/>
          <w:lang w:val="fr-FR"/>
        </w:rPr>
        <w:t>)</w:t>
      </w:r>
      <w:r w:rsidR="00536C58" w:rsidRPr="00266D27">
        <w:rPr>
          <w:b w:val="0"/>
          <w:noProof/>
          <w:lang w:val="fr-FR"/>
        </w:rPr>
        <w:t>, 22</w:t>
      </w:r>
      <w:r w:rsidR="00616E6E" w:rsidRPr="00266D27">
        <w:rPr>
          <w:b w:val="0"/>
          <w:noProof/>
          <w:lang w:val="fr-FR"/>
        </w:rPr>
        <w:t>–</w:t>
      </w:r>
      <w:r w:rsidR="00536C58" w:rsidRPr="00266D27">
        <w:rPr>
          <w:b w:val="0"/>
          <w:noProof/>
          <w:lang w:val="fr-FR"/>
        </w:rPr>
        <w:t>26 février 2021</w:t>
      </w:r>
      <w:r w:rsidRPr="00266D27">
        <w:rPr>
          <w:rStyle w:val="FootnoteReference"/>
          <w:b w:val="0"/>
          <w:noProof/>
          <w:vertAlign w:val="baseline"/>
          <w:lang w:val="fr-FR"/>
        </w:rPr>
        <w:footnoteReference w:customMarkFollows="1" w:id="2"/>
        <w:t>*</w:t>
      </w:r>
    </w:p>
    <w:p w14:paraId="0C1359D2" w14:textId="3B5BD651" w:rsidR="009A0C7B" w:rsidRPr="00266D27" w:rsidRDefault="009A0C7B" w:rsidP="009A0C7B">
      <w:pPr>
        <w:pStyle w:val="AATitle"/>
        <w:keepNext w:val="0"/>
        <w:keepLines w:val="0"/>
        <w:rPr>
          <w:b w:val="0"/>
          <w:bCs/>
          <w:noProof/>
          <w:lang w:val="fr-FR"/>
        </w:rPr>
      </w:pPr>
      <w:r w:rsidRPr="00266D27">
        <w:rPr>
          <w:b w:val="0"/>
          <w:bCs/>
          <w:noProof/>
          <w:lang w:val="fr-FR"/>
        </w:rPr>
        <w:t>Point</w:t>
      </w:r>
      <w:r w:rsidR="004F09E0" w:rsidRPr="00266D27">
        <w:rPr>
          <w:b w:val="0"/>
          <w:bCs/>
          <w:noProof/>
          <w:lang w:val="fr-FR"/>
        </w:rPr>
        <w:t> </w:t>
      </w:r>
      <w:r w:rsidRPr="00266D27">
        <w:rPr>
          <w:b w:val="0"/>
          <w:bCs/>
          <w:noProof/>
          <w:lang w:val="fr-FR"/>
        </w:rPr>
        <w:t>5 de l</w:t>
      </w:r>
      <w:r w:rsidR="00536C58" w:rsidRPr="00266D27">
        <w:rPr>
          <w:b w:val="0"/>
          <w:bCs/>
          <w:noProof/>
          <w:lang w:val="fr-FR"/>
        </w:rPr>
        <w:t>’</w:t>
      </w:r>
      <w:r w:rsidRPr="00266D27">
        <w:rPr>
          <w:b w:val="0"/>
          <w:bCs/>
          <w:noProof/>
          <w:lang w:val="fr-FR"/>
        </w:rPr>
        <w:t>ordre du jour provisoire</w:t>
      </w:r>
      <w:r w:rsidR="0008654E" w:rsidRPr="00266D27">
        <w:rPr>
          <w:rStyle w:val="FootnoteReference"/>
          <w:b w:val="0"/>
          <w:bCs/>
          <w:noProof/>
          <w:vertAlign w:val="baseline"/>
          <w:lang w:val="fr-FR"/>
        </w:rPr>
        <w:footnoteReference w:customMarkFollows="1" w:id="3"/>
        <w:t>**</w:t>
      </w:r>
    </w:p>
    <w:p w14:paraId="5D69785F" w14:textId="295E6939" w:rsidR="0093687C" w:rsidRPr="00266D27" w:rsidRDefault="0093687C" w:rsidP="00F90D6F">
      <w:pPr>
        <w:pStyle w:val="AATitle2"/>
        <w:spacing w:before="60" w:after="0"/>
        <w:rPr>
          <w:noProof/>
          <w:lang w:val="fr-FR"/>
        </w:rPr>
      </w:pPr>
      <w:r w:rsidRPr="00266D27">
        <w:rPr>
          <w:bCs/>
          <w:noProof/>
          <w:lang w:val="fr-FR"/>
        </w:rPr>
        <w:t>Questions relatives à la politique et à la gouvernance internationales</w:t>
      </w:r>
      <w:r w:rsidR="00F90D6F" w:rsidRPr="00266D27">
        <w:rPr>
          <w:bCs/>
          <w:noProof/>
          <w:lang w:val="fr-FR"/>
        </w:rPr>
        <w:t xml:space="preserve"> </w:t>
      </w:r>
      <w:r w:rsidRPr="00266D27">
        <w:rPr>
          <w:bCs/>
          <w:noProof/>
          <w:lang w:val="fr-FR"/>
        </w:rPr>
        <w:t>en matière d</w:t>
      </w:r>
      <w:r w:rsidR="00536C58" w:rsidRPr="00266D27">
        <w:rPr>
          <w:bCs/>
          <w:noProof/>
          <w:lang w:val="fr-FR"/>
        </w:rPr>
        <w:t>’</w:t>
      </w:r>
      <w:r w:rsidRPr="00266D27">
        <w:rPr>
          <w:bCs/>
          <w:noProof/>
          <w:lang w:val="fr-FR"/>
        </w:rPr>
        <w:t>environnement</w:t>
      </w:r>
    </w:p>
    <w:p w14:paraId="323BBF5C" w14:textId="2A2078E2" w:rsidR="00852629" w:rsidRPr="00266D27" w:rsidRDefault="00BD4A91" w:rsidP="00F90D6F">
      <w:pPr>
        <w:pStyle w:val="BBTitle"/>
        <w:rPr>
          <w:noProof/>
          <w:lang w:val="fr-FR"/>
        </w:rPr>
      </w:pPr>
      <w:r w:rsidRPr="00266D27">
        <w:rPr>
          <w:noProof/>
          <w:lang w:val="fr-FR"/>
        </w:rPr>
        <w:t>Progrès accomplis dans l</w:t>
      </w:r>
      <w:r w:rsidR="00726A39" w:rsidRPr="00266D27">
        <w:rPr>
          <w:noProof/>
          <w:lang w:val="fr-FR"/>
        </w:rPr>
        <w:t xml:space="preserve">’application </w:t>
      </w:r>
      <w:r w:rsidRPr="00266D27">
        <w:rPr>
          <w:noProof/>
          <w:lang w:val="fr-FR"/>
        </w:rPr>
        <w:t>de la résolution</w:t>
      </w:r>
      <w:r w:rsidR="00D07F86" w:rsidRPr="00266D27">
        <w:rPr>
          <w:noProof/>
          <w:lang w:val="fr-FR"/>
        </w:rPr>
        <w:t> </w:t>
      </w:r>
      <w:r w:rsidRPr="00266D27">
        <w:rPr>
          <w:noProof/>
          <w:lang w:val="fr-FR"/>
        </w:rPr>
        <w:t>4/5 sur</w:t>
      </w:r>
      <w:r w:rsidR="00FD2A12" w:rsidRPr="00266D27">
        <w:rPr>
          <w:noProof/>
          <w:lang w:val="fr-FR"/>
        </w:rPr>
        <w:t> </w:t>
      </w:r>
      <w:r w:rsidRPr="00266D27">
        <w:rPr>
          <w:noProof/>
          <w:lang w:val="fr-FR"/>
        </w:rPr>
        <w:t>les</w:t>
      </w:r>
      <w:r w:rsidR="00C47FFC" w:rsidRPr="00266D27">
        <w:rPr>
          <w:noProof/>
          <w:lang w:val="fr-FR"/>
        </w:rPr>
        <w:t> </w:t>
      </w:r>
      <w:r w:rsidRPr="00266D27">
        <w:rPr>
          <w:noProof/>
          <w:lang w:val="fr-FR"/>
        </w:rPr>
        <w:t>infrastructures durables</w:t>
      </w:r>
    </w:p>
    <w:p w14:paraId="39290703" w14:textId="77777777" w:rsidR="00C83D89" w:rsidRPr="00266D27" w:rsidRDefault="00852629" w:rsidP="00FA0727">
      <w:pPr>
        <w:pStyle w:val="CH2"/>
        <w:rPr>
          <w:noProof/>
          <w:lang w:val="fr-FR"/>
        </w:rPr>
      </w:pPr>
      <w:r w:rsidRPr="00266D27">
        <w:rPr>
          <w:noProof/>
          <w:lang w:val="fr-FR"/>
        </w:rPr>
        <w:tab/>
      </w:r>
      <w:r w:rsidRPr="00266D27">
        <w:rPr>
          <w:noProof/>
          <w:lang w:val="fr-FR"/>
        </w:rPr>
        <w:tab/>
      </w:r>
      <w:r w:rsidRPr="00266D27">
        <w:rPr>
          <w:bCs/>
          <w:noProof/>
          <w:lang w:val="fr-FR"/>
        </w:rPr>
        <w:t>Rapport de la Directrice exécutive</w:t>
      </w:r>
    </w:p>
    <w:p w14:paraId="75FEC8B7" w14:textId="77777777" w:rsidR="00BD4A91" w:rsidRPr="00266D27" w:rsidRDefault="00BD4A91" w:rsidP="00BD4A91">
      <w:pPr>
        <w:pStyle w:val="CH1"/>
        <w:rPr>
          <w:noProof/>
          <w:lang w:val="fr-FR"/>
        </w:rPr>
      </w:pPr>
      <w:r w:rsidRPr="00266D27">
        <w:rPr>
          <w:noProof/>
          <w:lang w:val="fr-FR"/>
        </w:rPr>
        <w:tab/>
      </w:r>
      <w:r w:rsidRPr="00266D27">
        <w:rPr>
          <w:noProof/>
          <w:lang w:val="fr-FR"/>
        </w:rPr>
        <w:tab/>
      </w:r>
      <w:r w:rsidRPr="00266D27">
        <w:rPr>
          <w:bCs/>
          <w:noProof/>
          <w:lang w:val="fr-FR"/>
        </w:rPr>
        <w:t>Introduction</w:t>
      </w:r>
    </w:p>
    <w:p w14:paraId="4A671163" w14:textId="5A9D8505" w:rsidR="0078186C" w:rsidRPr="00266D27" w:rsidRDefault="004B1F5F" w:rsidP="00F90D6F">
      <w:pPr>
        <w:pStyle w:val="Normalnumber"/>
        <w:rPr>
          <w:rFonts w:eastAsia="MS Mincho"/>
          <w:noProof/>
          <w:color w:val="000000" w:themeColor="text1"/>
          <w:lang w:val="fr-FR"/>
        </w:rPr>
      </w:pPr>
      <w:r w:rsidRPr="00266D27">
        <w:rPr>
          <w:noProof/>
          <w:lang w:val="fr-FR"/>
        </w:rPr>
        <w:t>Dans sa résolution</w:t>
      </w:r>
      <w:r w:rsidR="00D07F86" w:rsidRPr="00266D27">
        <w:rPr>
          <w:noProof/>
          <w:lang w:val="fr-FR"/>
        </w:rPr>
        <w:t> </w:t>
      </w:r>
      <w:r w:rsidRPr="00266D27">
        <w:rPr>
          <w:noProof/>
          <w:lang w:val="fr-FR"/>
        </w:rPr>
        <w:t>4/5 sur les infrastructures durables, l</w:t>
      </w:r>
      <w:r w:rsidR="00536C58" w:rsidRPr="00266D27">
        <w:rPr>
          <w:noProof/>
          <w:lang w:val="fr-FR"/>
        </w:rPr>
        <w:t>’</w:t>
      </w:r>
      <w:r w:rsidRPr="00266D27">
        <w:rPr>
          <w:noProof/>
          <w:lang w:val="fr-FR"/>
        </w:rPr>
        <w:t>Assemblée des Nations Unies pour l</w:t>
      </w:r>
      <w:r w:rsidR="00536C58" w:rsidRPr="00266D27">
        <w:rPr>
          <w:noProof/>
          <w:lang w:val="fr-FR"/>
        </w:rPr>
        <w:t>’</w:t>
      </w:r>
      <w:r w:rsidRPr="00266D27">
        <w:rPr>
          <w:noProof/>
          <w:lang w:val="fr-FR"/>
        </w:rPr>
        <w:t>environnement du Programme des Nations Unies pour l</w:t>
      </w:r>
      <w:r w:rsidR="00536C58" w:rsidRPr="00266D27">
        <w:rPr>
          <w:noProof/>
          <w:lang w:val="fr-FR"/>
        </w:rPr>
        <w:t>’</w:t>
      </w:r>
      <w:r w:rsidRPr="00266D27">
        <w:rPr>
          <w:noProof/>
          <w:lang w:val="fr-FR"/>
        </w:rPr>
        <w:t xml:space="preserve">environnement (PNUE) a prié la Directrice exécutive de veiller à ce que </w:t>
      </w:r>
      <w:r w:rsidR="002F4520" w:rsidRPr="00266D27">
        <w:rPr>
          <w:noProof/>
          <w:lang w:val="fr-FR"/>
        </w:rPr>
        <w:t xml:space="preserve">le PNUE </w:t>
      </w:r>
      <w:r w:rsidRPr="00266D27">
        <w:rPr>
          <w:noProof/>
          <w:lang w:val="fr-FR"/>
        </w:rPr>
        <w:t>appuie l</w:t>
      </w:r>
      <w:r w:rsidR="00BF5FDD" w:rsidRPr="00266D27">
        <w:rPr>
          <w:noProof/>
          <w:lang w:val="fr-FR"/>
        </w:rPr>
        <w:t xml:space="preserve">e développement </w:t>
      </w:r>
      <w:r w:rsidRPr="00266D27">
        <w:rPr>
          <w:noProof/>
          <w:lang w:val="fr-FR"/>
        </w:rPr>
        <w:t>d</w:t>
      </w:r>
      <w:r w:rsidR="00536C58" w:rsidRPr="00266D27">
        <w:rPr>
          <w:noProof/>
          <w:lang w:val="fr-FR"/>
        </w:rPr>
        <w:t>’</w:t>
      </w:r>
      <w:r w:rsidRPr="00266D27">
        <w:rPr>
          <w:noProof/>
          <w:lang w:val="fr-FR"/>
        </w:rPr>
        <w:t>infrastructures durables afin de concrétiser les objectifs et les cibles du Programme de développement durable à l</w:t>
      </w:r>
      <w:r w:rsidR="00536C58" w:rsidRPr="00266D27">
        <w:rPr>
          <w:noProof/>
          <w:lang w:val="fr-FR"/>
        </w:rPr>
        <w:t>’</w:t>
      </w:r>
      <w:r w:rsidRPr="00266D27">
        <w:rPr>
          <w:noProof/>
          <w:lang w:val="fr-FR"/>
        </w:rPr>
        <w:t>horizon</w:t>
      </w:r>
      <w:r w:rsidR="00125827" w:rsidRPr="00266D27">
        <w:rPr>
          <w:noProof/>
          <w:lang w:val="fr-FR"/>
        </w:rPr>
        <w:t> </w:t>
      </w:r>
      <w:r w:rsidRPr="00266D27">
        <w:rPr>
          <w:noProof/>
          <w:lang w:val="fr-FR"/>
        </w:rPr>
        <w:t>2030. Cet</w:t>
      </w:r>
      <w:r w:rsidR="00F56AF2" w:rsidRPr="00266D27">
        <w:rPr>
          <w:noProof/>
          <w:lang w:val="fr-FR"/>
        </w:rPr>
        <w:t> </w:t>
      </w:r>
      <w:r w:rsidRPr="00266D27">
        <w:rPr>
          <w:noProof/>
          <w:lang w:val="fr-FR"/>
        </w:rPr>
        <w:t>appui devait comprendre la promotion des directives et meilleures pratiques existantes</w:t>
      </w:r>
      <w:r w:rsidR="00536C58" w:rsidRPr="00266D27">
        <w:rPr>
          <w:noProof/>
          <w:lang w:val="fr-FR"/>
        </w:rPr>
        <w:t> ;</w:t>
      </w:r>
      <w:r w:rsidRPr="00266D27">
        <w:rPr>
          <w:noProof/>
          <w:lang w:val="fr-FR"/>
        </w:rPr>
        <w:t xml:space="preserve"> l</w:t>
      </w:r>
      <w:r w:rsidR="00536C58" w:rsidRPr="00266D27">
        <w:rPr>
          <w:noProof/>
          <w:lang w:val="fr-FR"/>
        </w:rPr>
        <w:t>’</w:t>
      </w:r>
      <w:r w:rsidRPr="00266D27">
        <w:rPr>
          <w:noProof/>
          <w:lang w:val="fr-FR"/>
        </w:rPr>
        <w:t>appui à</w:t>
      </w:r>
      <w:r w:rsidR="00F90D6F" w:rsidRPr="00266D27">
        <w:rPr>
          <w:noProof/>
          <w:lang w:val="fr-FR"/>
        </w:rPr>
        <w:t> </w:t>
      </w:r>
      <w:r w:rsidRPr="00266D27">
        <w:rPr>
          <w:noProof/>
          <w:lang w:val="fr-FR"/>
        </w:rPr>
        <w:t>des plateformes de dialogue multipartites</w:t>
      </w:r>
      <w:r w:rsidR="00536C58" w:rsidRPr="00266D27">
        <w:rPr>
          <w:noProof/>
          <w:lang w:val="fr-FR"/>
        </w:rPr>
        <w:t> ;</w:t>
      </w:r>
      <w:r w:rsidRPr="00266D27">
        <w:rPr>
          <w:noProof/>
          <w:lang w:val="fr-FR"/>
        </w:rPr>
        <w:t xml:space="preserve"> la création et le renforcement des partenariats</w:t>
      </w:r>
      <w:r w:rsidR="00536C58" w:rsidRPr="00266D27">
        <w:rPr>
          <w:noProof/>
          <w:lang w:val="fr-FR"/>
        </w:rPr>
        <w:t> ;</w:t>
      </w:r>
      <w:r w:rsidRPr="00266D27">
        <w:rPr>
          <w:noProof/>
          <w:lang w:val="fr-FR"/>
        </w:rPr>
        <w:t xml:space="preserve"> le</w:t>
      </w:r>
      <w:r w:rsidR="005E02C1" w:rsidRPr="00266D27">
        <w:rPr>
          <w:noProof/>
          <w:lang w:val="fr-FR"/>
        </w:rPr>
        <w:t> </w:t>
      </w:r>
      <w:r w:rsidRPr="00266D27">
        <w:rPr>
          <w:noProof/>
          <w:lang w:val="fr-FR"/>
        </w:rPr>
        <w:t>renforcement de la capacité des décideurs et autres parties prenantes d</w:t>
      </w:r>
      <w:r w:rsidR="00536C58" w:rsidRPr="00266D27">
        <w:rPr>
          <w:noProof/>
          <w:lang w:val="fr-FR"/>
        </w:rPr>
        <w:t>’</w:t>
      </w:r>
      <w:r w:rsidRPr="00266D27">
        <w:rPr>
          <w:noProof/>
          <w:lang w:val="fr-FR"/>
        </w:rPr>
        <w:t>utiliser des données, connaissances, outils, méthodes et autres mécanismes pour faire une place à l</w:t>
      </w:r>
      <w:r w:rsidR="00536C58" w:rsidRPr="00266D27">
        <w:rPr>
          <w:noProof/>
          <w:lang w:val="fr-FR"/>
        </w:rPr>
        <w:t>’</w:t>
      </w:r>
      <w:r w:rsidRPr="00266D27">
        <w:rPr>
          <w:noProof/>
          <w:lang w:val="fr-FR"/>
        </w:rPr>
        <w:t>infrastructure durable dans les stratégies de développement et les stratégies commerciales</w:t>
      </w:r>
      <w:r w:rsidR="00536C58" w:rsidRPr="00266D27">
        <w:rPr>
          <w:noProof/>
          <w:lang w:val="fr-FR"/>
        </w:rPr>
        <w:t> ;</w:t>
      </w:r>
      <w:r w:rsidRPr="00266D27">
        <w:rPr>
          <w:noProof/>
          <w:lang w:val="fr-FR"/>
        </w:rPr>
        <w:t xml:space="preserve"> </w:t>
      </w:r>
      <w:r w:rsidR="0088469E" w:rsidRPr="00266D27">
        <w:rPr>
          <w:noProof/>
          <w:lang w:val="fr-FR"/>
        </w:rPr>
        <w:t>et le renforcement</w:t>
      </w:r>
      <w:r w:rsidRPr="00266D27">
        <w:rPr>
          <w:noProof/>
          <w:lang w:val="fr-FR"/>
        </w:rPr>
        <w:t xml:space="preserve"> </w:t>
      </w:r>
      <w:r w:rsidR="0088469E" w:rsidRPr="00266D27">
        <w:rPr>
          <w:noProof/>
          <w:lang w:val="fr-FR"/>
        </w:rPr>
        <w:t>d</w:t>
      </w:r>
      <w:r w:rsidRPr="00266D27">
        <w:rPr>
          <w:noProof/>
          <w:lang w:val="fr-FR"/>
        </w:rPr>
        <w:t>es</w:t>
      </w:r>
      <w:r w:rsidR="00F90D6F" w:rsidRPr="00266D27">
        <w:rPr>
          <w:noProof/>
          <w:lang w:val="fr-FR"/>
        </w:rPr>
        <w:t> </w:t>
      </w:r>
      <w:r w:rsidRPr="00266D27">
        <w:rPr>
          <w:noProof/>
          <w:lang w:val="fr-FR"/>
        </w:rPr>
        <w:t>partenariats public-privé pour faciliter les investissements privés dans l</w:t>
      </w:r>
      <w:r w:rsidR="00536C58" w:rsidRPr="00266D27">
        <w:rPr>
          <w:noProof/>
          <w:lang w:val="fr-FR"/>
        </w:rPr>
        <w:t>’</w:t>
      </w:r>
      <w:r w:rsidRPr="00266D27">
        <w:rPr>
          <w:noProof/>
          <w:lang w:val="fr-FR"/>
        </w:rPr>
        <w:t>infrastructure durable.</w:t>
      </w:r>
    </w:p>
    <w:p w14:paraId="6F12D502" w14:textId="070AA70A" w:rsidR="0078186C" w:rsidRPr="00266D27" w:rsidRDefault="006A4C0A" w:rsidP="000968D3">
      <w:pPr>
        <w:pStyle w:val="Normalnumber"/>
        <w:rPr>
          <w:rFonts w:eastAsia="MS Mincho"/>
          <w:noProof/>
          <w:color w:val="000000" w:themeColor="text1"/>
          <w:lang w:val="fr-FR"/>
        </w:rPr>
      </w:pPr>
      <w:r w:rsidRPr="00266D27">
        <w:rPr>
          <w:noProof/>
          <w:lang w:val="fr-FR"/>
        </w:rPr>
        <w:t>Dans la même résolution, l</w:t>
      </w:r>
      <w:r w:rsidR="00536C58" w:rsidRPr="00266D27">
        <w:rPr>
          <w:noProof/>
          <w:lang w:val="fr-FR"/>
        </w:rPr>
        <w:t>’</w:t>
      </w:r>
      <w:r w:rsidRPr="00266D27">
        <w:rPr>
          <w:noProof/>
          <w:lang w:val="fr-FR"/>
        </w:rPr>
        <w:t>Assemblée pour l</w:t>
      </w:r>
      <w:r w:rsidR="00536C58" w:rsidRPr="00266D27">
        <w:rPr>
          <w:noProof/>
          <w:lang w:val="fr-FR"/>
        </w:rPr>
        <w:t>’</w:t>
      </w:r>
      <w:r w:rsidRPr="00266D27">
        <w:rPr>
          <w:noProof/>
          <w:lang w:val="fr-FR"/>
        </w:rPr>
        <w:t>environnement a également prié la</w:t>
      </w:r>
      <w:r w:rsidR="00F90D6F" w:rsidRPr="00266D27">
        <w:rPr>
          <w:noProof/>
          <w:lang w:val="fr-FR"/>
        </w:rPr>
        <w:t> </w:t>
      </w:r>
      <w:r w:rsidRPr="00266D27">
        <w:rPr>
          <w:noProof/>
          <w:lang w:val="fr-FR"/>
        </w:rPr>
        <w:t>Directrice</w:t>
      </w:r>
      <w:r w:rsidR="00F90D6F" w:rsidRPr="00266D27">
        <w:rPr>
          <w:noProof/>
          <w:lang w:val="fr-FR"/>
        </w:rPr>
        <w:t> </w:t>
      </w:r>
      <w:r w:rsidRPr="00266D27">
        <w:rPr>
          <w:noProof/>
          <w:lang w:val="fr-FR"/>
        </w:rPr>
        <w:t>exécutive d</w:t>
      </w:r>
      <w:r w:rsidR="00536C58" w:rsidRPr="00266D27">
        <w:rPr>
          <w:noProof/>
          <w:lang w:val="fr-FR"/>
        </w:rPr>
        <w:t>’</w:t>
      </w:r>
      <w:r w:rsidRPr="00266D27">
        <w:rPr>
          <w:noProof/>
          <w:lang w:val="fr-FR"/>
        </w:rPr>
        <w:t>établir, en s</w:t>
      </w:r>
      <w:r w:rsidR="00536C58" w:rsidRPr="00266D27">
        <w:rPr>
          <w:noProof/>
          <w:lang w:val="fr-FR"/>
        </w:rPr>
        <w:t>’</w:t>
      </w:r>
      <w:r w:rsidRPr="00266D27">
        <w:rPr>
          <w:noProof/>
          <w:lang w:val="fr-FR"/>
        </w:rPr>
        <w:t>appuyant sur les travaux des commissions régionales et d</w:t>
      </w:r>
      <w:r w:rsidR="00536C58" w:rsidRPr="00266D27">
        <w:rPr>
          <w:noProof/>
          <w:lang w:val="fr-FR"/>
        </w:rPr>
        <w:t>’</w:t>
      </w:r>
      <w:r w:rsidRPr="00266D27">
        <w:rPr>
          <w:noProof/>
          <w:lang w:val="fr-FR"/>
        </w:rPr>
        <w:t>autres organes compétents des Nations Unies, un rapport de synthèse sur les meilleures pratiques qui se</w:t>
      </w:r>
      <w:r w:rsidR="00F90D6F" w:rsidRPr="00266D27">
        <w:rPr>
          <w:noProof/>
          <w:lang w:val="fr-FR"/>
        </w:rPr>
        <w:t> </w:t>
      </w:r>
      <w:r w:rsidRPr="00266D27">
        <w:rPr>
          <w:noProof/>
          <w:lang w:val="fr-FR"/>
        </w:rPr>
        <w:t>fonde sur les initiatives existantes et recense les lacunes dans les connaissances, en vue d</w:t>
      </w:r>
      <w:r w:rsidR="00536C58" w:rsidRPr="00266D27">
        <w:rPr>
          <w:noProof/>
          <w:lang w:val="fr-FR"/>
        </w:rPr>
        <w:t>’</w:t>
      </w:r>
      <w:r w:rsidRPr="00266D27">
        <w:rPr>
          <w:noProof/>
          <w:lang w:val="fr-FR"/>
        </w:rPr>
        <w:t>aider les</w:t>
      </w:r>
      <w:r w:rsidR="00F90D6F" w:rsidRPr="00266D27">
        <w:rPr>
          <w:noProof/>
          <w:lang w:val="fr-FR"/>
        </w:rPr>
        <w:t> </w:t>
      </w:r>
      <w:r w:rsidRPr="00266D27">
        <w:rPr>
          <w:noProof/>
          <w:lang w:val="fr-FR"/>
        </w:rPr>
        <w:t>États membres à</w:t>
      </w:r>
      <w:r w:rsidR="00063D10" w:rsidRPr="00266D27">
        <w:rPr>
          <w:noProof/>
          <w:lang w:val="fr-FR"/>
        </w:rPr>
        <w:t> </w:t>
      </w:r>
      <w:r w:rsidRPr="00266D27">
        <w:rPr>
          <w:noProof/>
          <w:lang w:val="fr-FR"/>
        </w:rPr>
        <w:t>promouvoir et à accroître la durabilité de leurs infrastructures, et de lui présenter ce rapport à sa cinquième session.</w:t>
      </w:r>
    </w:p>
    <w:p w14:paraId="4082A9F5" w14:textId="163A505A" w:rsidR="0078186C" w:rsidRPr="00266D27" w:rsidRDefault="008B6BFE" w:rsidP="000968D3">
      <w:pPr>
        <w:pStyle w:val="Normalnumber"/>
        <w:rPr>
          <w:rFonts w:eastAsia="MS Mincho"/>
          <w:noProof/>
          <w:color w:val="000000" w:themeColor="text1"/>
          <w:lang w:val="fr-FR"/>
        </w:rPr>
      </w:pPr>
      <w:r w:rsidRPr="00266D27">
        <w:rPr>
          <w:noProof/>
          <w:lang w:val="fr-FR"/>
        </w:rPr>
        <w:t>Le présent rapport rend compte des efforts déployés par le PNUE pour mettre en œuvre la</w:t>
      </w:r>
      <w:r w:rsidR="00F90D6F" w:rsidRPr="00266D27">
        <w:rPr>
          <w:noProof/>
          <w:lang w:val="fr-FR"/>
        </w:rPr>
        <w:t> </w:t>
      </w:r>
      <w:r w:rsidRPr="00266D27">
        <w:rPr>
          <w:noProof/>
          <w:lang w:val="fr-FR"/>
        </w:rPr>
        <w:t>résolution. Parmi ces efforts, on compte a) la sensibilisation à l</w:t>
      </w:r>
      <w:r w:rsidR="00536C58" w:rsidRPr="00266D27">
        <w:rPr>
          <w:noProof/>
          <w:lang w:val="fr-FR"/>
        </w:rPr>
        <w:t>’</w:t>
      </w:r>
      <w:r w:rsidRPr="00266D27">
        <w:rPr>
          <w:noProof/>
          <w:lang w:val="fr-FR"/>
        </w:rPr>
        <w:t>importance des infrastructures en vue d</w:t>
      </w:r>
      <w:r w:rsidR="00536C58" w:rsidRPr="00266D27">
        <w:rPr>
          <w:noProof/>
          <w:lang w:val="fr-FR"/>
        </w:rPr>
        <w:t>’</w:t>
      </w:r>
      <w:r w:rsidRPr="00266D27">
        <w:rPr>
          <w:noProof/>
          <w:lang w:val="fr-FR"/>
        </w:rPr>
        <w:t>un développement durable et le traitement distinct de cette question dans le cadre du programme politique mondial</w:t>
      </w:r>
      <w:r w:rsidR="00536C58" w:rsidRPr="00266D27">
        <w:rPr>
          <w:noProof/>
          <w:lang w:val="fr-FR"/>
        </w:rPr>
        <w:t> ;</w:t>
      </w:r>
      <w:r w:rsidRPr="00266D27">
        <w:rPr>
          <w:noProof/>
          <w:lang w:val="fr-FR"/>
        </w:rPr>
        <w:t xml:space="preserve"> b) l</w:t>
      </w:r>
      <w:r w:rsidR="00536C58" w:rsidRPr="00266D27">
        <w:rPr>
          <w:noProof/>
          <w:lang w:val="fr-FR"/>
        </w:rPr>
        <w:t>’</w:t>
      </w:r>
      <w:r w:rsidRPr="00266D27">
        <w:rPr>
          <w:noProof/>
          <w:lang w:val="fr-FR"/>
        </w:rPr>
        <w:t>élaboration de directives normatives et techniques, de connaissances et d</w:t>
      </w:r>
      <w:r w:rsidR="00536C58" w:rsidRPr="00266D27">
        <w:rPr>
          <w:noProof/>
          <w:lang w:val="fr-FR"/>
        </w:rPr>
        <w:t>’</w:t>
      </w:r>
      <w:r w:rsidRPr="00266D27">
        <w:rPr>
          <w:noProof/>
          <w:lang w:val="fr-FR"/>
        </w:rPr>
        <w:t>outils relatifs à des approches intégrées en matière d</w:t>
      </w:r>
      <w:r w:rsidR="00536C58" w:rsidRPr="00266D27">
        <w:rPr>
          <w:noProof/>
          <w:lang w:val="fr-FR"/>
        </w:rPr>
        <w:t>’</w:t>
      </w:r>
      <w:r w:rsidRPr="00266D27">
        <w:rPr>
          <w:noProof/>
          <w:lang w:val="fr-FR"/>
        </w:rPr>
        <w:t>infrastructures durables et la promotion des directives, connaissances et outils existants</w:t>
      </w:r>
      <w:r w:rsidR="00536C58" w:rsidRPr="00266D27">
        <w:rPr>
          <w:noProof/>
          <w:lang w:val="fr-FR"/>
        </w:rPr>
        <w:t> ;</w:t>
      </w:r>
      <w:r w:rsidRPr="00266D27">
        <w:rPr>
          <w:noProof/>
          <w:lang w:val="fr-FR"/>
        </w:rPr>
        <w:t xml:space="preserve"> et c) la mobilisation d</w:t>
      </w:r>
      <w:r w:rsidR="00536C58" w:rsidRPr="00266D27">
        <w:rPr>
          <w:noProof/>
          <w:lang w:val="fr-FR"/>
        </w:rPr>
        <w:t>’</w:t>
      </w:r>
      <w:r w:rsidRPr="00266D27">
        <w:rPr>
          <w:noProof/>
          <w:lang w:val="fr-FR"/>
        </w:rPr>
        <w:t xml:space="preserve">un appui international en vue de renforcer </w:t>
      </w:r>
      <w:r w:rsidRPr="00266D27">
        <w:rPr>
          <w:noProof/>
          <w:lang w:val="fr-FR"/>
        </w:rPr>
        <w:lastRenderedPageBreak/>
        <w:t>les</w:t>
      </w:r>
      <w:r w:rsidR="00F90D6F" w:rsidRPr="00266D27">
        <w:rPr>
          <w:noProof/>
          <w:lang w:val="fr-FR"/>
        </w:rPr>
        <w:t> </w:t>
      </w:r>
      <w:r w:rsidRPr="00266D27">
        <w:rPr>
          <w:noProof/>
          <w:lang w:val="fr-FR"/>
        </w:rPr>
        <w:t>capacités techniques et institutionnelles des pays à adopter des approches intégrées en matière de</w:t>
      </w:r>
      <w:r w:rsidR="00F90D6F" w:rsidRPr="00266D27">
        <w:rPr>
          <w:noProof/>
          <w:lang w:val="fr-FR"/>
        </w:rPr>
        <w:t> </w:t>
      </w:r>
      <w:r w:rsidRPr="00266D27">
        <w:rPr>
          <w:noProof/>
          <w:lang w:val="fr-FR"/>
        </w:rPr>
        <w:t>planification et d</w:t>
      </w:r>
      <w:r w:rsidR="00C43617" w:rsidRPr="00266D27">
        <w:rPr>
          <w:noProof/>
          <w:lang w:val="fr-FR"/>
        </w:rPr>
        <w:t xml:space="preserve">e développement </w:t>
      </w:r>
      <w:r w:rsidRPr="00266D27">
        <w:rPr>
          <w:noProof/>
          <w:lang w:val="fr-FR"/>
        </w:rPr>
        <w:t>d</w:t>
      </w:r>
      <w:r w:rsidR="00536C58" w:rsidRPr="00266D27">
        <w:rPr>
          <w:noProof/>
          <w:lang w:val="fr-FR"/>
        </w:rPr>
        <w:t>’</w:t>
      </w:r>
      <w:r w:rsidRPr="00266D27">
        <w:rPr>
          <w:noProof/>
          <w:lang w:val="fr-FR"/>
        </w:rPr>
        <w:t>infrastructures durables à l</w:t>
      </w:r>
      <w:r w:rsidR="00536C58" w:rsidRPr="00266D27">
        <w:rPr>
          <w:noProof/>
          <w:lang w:val="fr-FR"/>
        </w:rPr>
        <w:t>’</w:t>
      </w:r>
      <w:r w:rsidRPr="00266D27">
        <w:rPr>
          <w:noProof/>
          <w:lang w:val="fr-FR"/>
        </w:rPr>
        <w:t>appui de leurs objectifs de</w:t>
      </w:r>
      <w:r w:rsidR="00F90D6F" w:rsidRPr="00266D27">
        <w:rPr>
          <w:noProof/>
          <w:lang w:val="fr-FR"/>
        </w:rPr>
        <w:t> </w:t>
      </w:r>
      <w:r w:rsidRPr="00266D27">
        <w:rPr>
          <w:noProof/>
          <w:lang w:val="fr-FR"/>
        </w:rPr>
        <w:t>développement nationaux.</w:t>
      </w:r>
    </w:p>
    <w:p w14:paraId="0CDBA648" w14:textId="56993AD0" w:rsidR="00916E6A" w:rsidRPr="00266D27" w:rsidRDefault="003C00A0" w:rsidP="00CB403D">
      <w:pPr>
        <w:pStyle w:val="CH1"/>
        <w:rPr>
          <w:noProof/>
          <w:lang w:val="fr-FR"/>
        </w:rPr>
      </w:pPr>
      <w:r w:rsidRPr="00266D27">
        <w:rPr>
          <w:noProof/>
          <w:lang w:val="fr-FR"/>
        </w:rPr>
        <w:tab/>
      </w:r>
      <w:r w:rsidR="007C1F89" w:rsidRPr="00266D27">
        <w:rPr>
          <w:noProof/>
          <w:lang w:val="fr-FR"/>
        </w:rPr>
        <w:t>I.</w:t>
      </w:r>
      <w:r w:rsidR="007C1F89" w:rsidRPr="00266D27">
        <w:rPr>
          <w:noProof/>
          <w:lang w:val="fr-FR"/>
        </w:rPr>
        <w:tab/>
      </w:r>
      <w:r w:rsidR="00916E6A" w:rsidRPr="00266D27">
        <w:rPr>
          <w:noProof/>
          <w:lang w:val="fr-FR"/>
        </w:rPr>
        <w:t>Progrès accomplis dans l</w:t>
      </w:r>
      <w:r w:rsidR="00536C58" w:rsidRPr="00266D27">
        <w:rPr>
          <w:noProof/>
          <w:lang w:val="fr-FR"/>
        </w:rPr>
        <w:t>’</w:t>
      </w:r>
      <w:r w:rsidR="00916E6A" w:rsidRPr="00266D27">
        <w:rPr>
          <w:noProof/>
          <w:lang w:val="fr-FR"/>
        </w:rPr>
        <w:t>application de la résolution</w:t>
      </w:r>
      <w:r w:rsidR="00B557D8" w:rsidRPr="00266D27">
        <w:rPr>
          <w:noProof/>
          <w:lang w:val="fr-FR"/>
        </w:rPr>
        <w:t> </w:t>
      </w:r>
      <w:r w:rsidR="00916E6A" w:rsidRPr="00266D27">
        <w:rPr>
          <w:noProof/>
          <w:lang w:val="fr-FR"/>
        </w:rPr>
        <w:t xml:space="preserve">4/5 </w:t>
      </w:r>
    </w:p>
    <w:p w14:paraId="6186CA6E" w14:textId="33A5A95F" w:rsidR="00C83D89" w:rsidRPr="00266D27" w:rsidRDefault="00C83D89" w:rsidP="000968D3">
      <w:pPr>
        <w:pStyle w:val="Normalnumber"/>
        <w:rPr>
          <w:noProof/>
          <w:color w:val="000000" w:themeColor="text1"/>
          <w:lang w:val="fr-FR"/>
        </w:rPr>
      </w:pPr>
      <w:r w:rsidRPr="00266D27">
        <w:rPr>
          <w:noProof/>
          <w:lang w:val="fr-FR"/>
        </w:rPr>
        <w:t xml:space="preserve">Les infrastructures durables </w:t>
      </w:r>
      <w:r w:rsidR="00420C23" w:rsidRPr="00266D27">
        <w:rPr>
          <w:noProof/>
          <w:lang w:val="fr-FR"/>
        </w:rPr>
        <w:t xml:space="preserve">sont </w:t>
      </w:r>
      <w:r w:rsidRPr="00266D27">
        <w:rPr>
          <w:noProof/>
          <w:lang w:val="fr-FR"/>
        </w:rPr>
        <w:t>au cœur des 17</w:t>
      </w:r>
      <w:r w:rsidR="00D07F86" w:rsidRPr="00266D27">
        <w:rPr>
          <w:noProof/>
          <w:lang w:val="fr-FR"/>
        </w:rPr>
        <w:t> </w:t>
      </w:r>
      <w:r w:rsidRPr="00266D27">
        <w:rPr>
          <w:noProof/>
          <w:lang w:val="fr-FR"/>
        </w:rPr>
        <w:t>objectifs de développement durable et ont</w:t>
      </w:r>
      <w:r w:rsidR="004F3D44" w:rsidRPr="00266D27">
        <w:rPr>
          <w:noProof/>
          <w:lang w:val="fr-FR"/>
        </w:rPr>
        <w:t> </w:t>
      </w:r>
      <w:r w:rsidRPr="00266D27">
        <w:rPr>
          <w:noProof/>
          <w:lang w:val="fr-FR"/>
        </w:rPr>
        <w:t>une</w:t>
      </w:r>
      <w:r w:rsidR="004F3D44" w:rsidRPr="00266D27">
        <w:rPr>
          <w:noProof/>
          <w:lang w:val="fr-FR"/>
        </w:rPr>
        <w:t> </w:t>
      </w:r>
      <w:r w:rsidRPr="00266D27">
        <w:rPr>
          <w:noProof/>
          <w:lang w:val="fr-FR"/>
        </w:rPr>
        <w:t>incidence sur 92 % des 169</w:t>
      </w:r>
      <w:r w:rsidR="00D07F86" w:rsidRPr="00266D27">
        <w:rPr>
          <w:noProof/>
          <w:lang w:val="fr-FR"/>
        </w:rPr>
        <w:t> </w:t>
      </w:r>
      <w:r w:rsidRPr="00266D27">
        <w:rPr>
          <w:noProof/>
          <w:lang w:val="fr-FR"/>
        </w:rPr>
        <w:t>cibles. L</w:t>
      </w:r>
      <w:r w:rsidR="00536C58" w:rsidRPr="00266D27">
        <w:rPr>
          <w:noProof/>
          <w:lang w:val="fr-FR"/>
        </w:rPr>
        <w:t>’</w:t>
      </w:r>
      <w:r w:rsidRPr="00266D27">
        <w:rPr>
          <w:noProof/>
          <w:lang w:val="fr-FR"/>
        </w:rPr>
        <w:t>importance de systèmes d</w:t>
      </w:r>
      <w:r w:rsidR="00536C58" w:rsidRPr="00266D27">
        <w:rPr>
          <w:noProof/>
          <w:lang w:val="fr-FR"/>
        </w:rPr>
        <w:t>’</w:t>
      </w:r>
      <w:r w:rsidRPr="00266D27">
        <w:rPr>
          <w:noProof/>
          <w:lang w:val="fr-FR"/>
        </w:rPr>
        <w:t>infrastructure durables et</w:t>
      </w:r>
      <w:r w:rsidR="004F3D44" w:rsidRPr="00266D27">
        <w:rPr>
          <w:noProof/>
          <w:lang w:val="fr-FR"/>
        </w:rPr>
        <w:t> </w:t>
      </w:r>
      <w:r w:rsidRPr="00266D27">
        <w:rPr>
          <w:noProof/>
          <w:lang w:val="fr-FR"/>
        </w:rPr>
        <w:t xml:space="preserve">résilients a été mise en lumière par la </w:t>
      </w:r>
      <w:r w:rsidR="00FE149F" w:rsidRPr="00266D27">
        <w:rPr>
          <w:noProof/>
          <w:lang w:val="fr-FR"/>
        </w:rPr>
        <w:t xml:space="preserve">crise due </w:t>
      </w:r>
      <w:r w:rsidR="00223F18" w:rsidRPr="00266D27">
        <w:rPr>
          <w:noProof/>
          <w:lang w:val="fr-FR"/>
        </w:rPr>
        <w:t xml:space="preserve">à la </w:t>
      </w:r>
      <w:r w:rsidRPr="00266D27">
        <w:rPr>
          <w:noProof/>
          <w:lang w:val="fr-FR"/>
        </w:rPr>
        <w:t xml:space="preserve">maladie à coronavirus (COVID-19) et de tels systèmes sont essentiels à la réalisation des plans de relance verte. </w:t>
      </w:r>
    </w:p>
    <w:p w14:paraId="0B10D999" w14:textId="09D76839" w:rsidR="00C83D89" w:rsidRPr="00266D27" w:rsidRDefault="00C83D89" w:rsidP="000968D3">
      <w:pPr>
        <w:pStyle w:val="Normalnumber"/>
        <w:rPr>
          <w:rFonts w:eastAsia="MS Mincho"/>
          <w:noProof/>
          <w:color w:val="000000" w:themeColor="text1"/>
          <w:lang w:val="fr-FR"/>
        </w:rPr>
      </w:pPr>
      <w:r w:rsidRPr="00266D27">
        <w:rPr>
          <w:noProof/>
          <w:lang w:val="fr-FR"/>
        </w:rPr>
        <w:t>Les efforts</w:t>
      </w:r>
      <w:r w:rsidR="00EB3D44" w:rsidRPr="00266D27">
        <w:rPr>
          <w:noProof/>
          <w:lang w:val="fr-FR"/>
        </w:rPr>
        <w:t xml:space="preserve"> </w:t>
      </w:r>
      <w:r w:rsidR="00223F18" w:rsidRPr="00266D27">
        <w:rPr>
          <w:noProof/>
          <w:lang w:val="fr-FR"/>
        </w:rPr>
        <w:t xml:space="preserve">déployés </w:t>
      </w:r>
      <w:r w:rsidRPr="00266D27">
        <w:rPr>
          <w:noProof/>
          <w:lang w:val="fr-FR"/>
        </w:rPr>
        <w:t>pour mettre en œuvre la résolution contribuent à l</w:t>
      </w:r>
      <w:r w:rsidR="00536C58" w:rsidRPr="00266D27">
        <w:rPr>
          <w:noProof/>
          <w:lang w:val="fr-FR"/>
        </w:rPr>
        <w:t>’</w:t>
      </w:r>
      <w:r w:rsidRPr="00266D27">
        <w:rPr>
          <w:noProof/>
          <w:lang w:val="fr-FR"/>
        </w:rPr>
        <w:t>indicateur i) de la</w:t>
      </w:r>
      <w:r w:rsidR="00F90D6F" w:rsidRPr="00266D27">
        <w:rPr>
          <w:noProof/>
          <w:lang w:val="fr-FR"/>
        </w:rPr>
        <w:t> </w:t>
      </w:r>
      <w:r w:rsidRPr="00266D27">
        <w:rPr>
          <w:noProof/>
          <w:lang w:val="fr-FR"/>
        </w:rPr>
        <w:t>réalisation escomptée a) du sous-programme</w:t>
      </w:r>
      <w:r w:rsidR="00C958CF" w:rsidRPr="00266D27">
        <w:rPr>
          <w:noProof/>
          <w:lang w:val="fr-FR"/>
        </w:rPr>
        <w:t> </w:t>
      </w:r>
      <w:r w:rsidRPr="00266D27">
        <w:rPr>
          <w:noProof/>
          <w:lang w:val="fr-FR"/>
        </w:rPr>
        <w:t>6 du PNUE relatif à l</w:t>
      </w:r>
      <w:r w:rsidR="00536C58" w:rsidRPr="00266D27">
        <w:rPr>
          <w:noProof/>
          <w:lang w:val="fr-FR"/>
        </w:rPr>
        <w:t>’</w:t>
      </w:r>
      <w:r w:rsidRPr="00266D27">
        <w:rPr>
          <w:noProof/>
          <w:lang w:val="fr-FR"/>
        </w:rPr>
        <w:t>utilisation rationnelle des</w:t>
      </w:r>
      <w:r w:rsidR="00F90D6F" w:rsidRPr="00266D27">
        <w:rPr>
          <w:noProof/>
          <w:lang w:val="fr-FR"/>
        </w:rPr>
        <w:t> </w:t>
      </w:r>
      <w:r w:rsidRPr="00266D27">
        <w:rPr>
          <w:noProof/>
          <w:lang w:val="fr-FR"/>
        </w:rPr>
        <w:t xml:space="preserve">ressources. Environ 335 000 dollars </w:t>
      </w:r>
      <w:r w:rsidR="00D66A15" w:rsidRPr="00266D27">
        <w:rPr>
          <w:noProof/>
          <w:lang w:val="fr-FR"/>
        </w:rPr>
        <w:t>issus des</w:t>
      </w:r>
      <w:r w:rsidRPr="00266D27">
        <w:rPr>
          <w:noProof/>
          <w:lang w:val="fr-FR"/>
        </w:rPr>
        <w:t xml:space="preserve"> ressources du Fonds pour l</w:t>
      </w:r>
      <w:r w:rsidR="00536C58" w:rsidRPr="00266D27">
        <w:rPr>
          <w:noProof/>
          <w:lang w:val="fr-FR"/>
        </w:rPr>
        <w:t>’</w:t>
      </w:r>
      <w:r w:rsidRPr="00266D27">
        <w:rPr>
          <w:noProof/>
          <w:lang w:val="fr-FR"/>
        </w:rPr>
        <w:t>environnement ont servi à financer les activités décrites dans le présent rapport. Quelque 3,1 millions de dollars de ressources extrabudgétaires supplémentaires ont été mobilisés afin d</w:t>
      </w:r>
      <w:r w:rsidR="00536C58" w:rsidRPr="00266D27">
        <w:rPr>
          <w:noProof/>
          <w:lang w:val="fr-FR"/>
        </w:rPr>
        <w:t>’</w:t>
      </w:r>
      <w:r w:rsidRPr="00266D27">
        <w:rPr>
          <w:noProof/>
          <w:lang w:val="fr-FR"/>
        </w:rPr>
        <w:t xml:space="preserve">appuyer la mise en œuvre de la résolution, en finançant les activités susmentionnées </w:t>
      </w:r>
      <w:r w:rsidR="00CC2B32" w:rsidRPr="00266D27">
        <w:rPr>
          <w:noProof/>
          <w:lang w:val="fr-FR"/>
        </w:rPr>
        <w:t>et</w:t>
      </w:r>
      <w:r w:rsidRPr="00266D27">
        <w:rPr>
          <w:noProof/>
          <w:lang w:val="fr-FR"/>
        </w:rPr>
        <w:t xml:space="preserve"> des activités connexes en cours qui se dérouleront jusqu</w:t>
      </w:r>
      <w:r w:rsidR="00536C58" w:rsidRPr="00266D27">
        <w:rPr>
          <w:noProof/>
          <w:lang w:val="fr-FR"/>
        </w:rPr>
        <w:t>’</w:t>
      </w:r>
      <w:r w:rsidRPr="00266D27">
        <w:rPr>
          <w:noProof/>
          <w:lang w:val="fr-FR"/>
        </w:rPr>
        <w:t>à</w:t>
      </w:r>
      <w:r w:rsidR="00F90D6F" w:rsidRPr="00266D27">
        <w:rPr>
          <w:noProof/>
          <w:lang w:val="fr-FR"/>
        </w:rPr>
        <w:t> </w:t>
      </w:r>
      <w:r w:rsidRPr="00266D27">
        <w:rPr>
          <w:noProof/>
          <w:lang w:val="fr-FR"/>
        </w:rPr>
        <w:t>la fin de 2021.</w:t>
      </w:r>
      <w:bookmarkStart w:id="0" w:name="_Hlk56697532"/>
      <w:bookmarkEnd w:id="0"/>
    </w:p>
    <w:p w14:paraId="20786AD2" w14:textId="31614304" w:rsidR="00C83D89" w:rsidRPr="00266D27" w:rsidRDefault="003C00A0" w:rsidP="007C1F89">
      <w:pPr>
        <w:pStyle w:val="CH2"/>
        <w:ind w:left="0" w:firstLine="0"/>
        <w:rPr>
          <w:noProof/>
          <w:lang w:val="fr-FR"/>
        </w:rPr>
      </w:pPr>
      <w:r w:rsidRPr="00266D27">
        <w:rPr>
          <w:noProof/>
          <w:lang w:val="fr-FR"/>
        </w:rPr>
        <w:tab/>
      </w:r>
      <w:r w:rsidR="007C1F89" w:rsidRPr="00266D27">
        <w:rPr>
          <w:noProof/>
          <w:lang w:val="fr-FR"/>
        </w:rPr>
        <w:t>A.</w:t>
      </w:r>
      <w:r w:rsidR="007C1F89" w:rsidRPr="00266D27">
        <w:rPr>
          <w:noProof/>
          <w:lang w:val="fr-FR"/>
        </w:rPr>
        <w:tab/>
      </w:r>
      <w:r w:rsidR="00916E6A" w:rsidRPr="00266D27">
        <w:rPr>
          <w:noProof/>
          <w:lang w:val="fr-FR"/>
        </w:rPr>
        <w:t>État des lieux et analyse des lacunes</w:t>
      </w:r>
    </w:p>
    <w:p w14:paraId="46A6C285" w14:textId="3F876522" w:rsidR="00C83D89" w:rsidRPr="00266D27" w:rsidRDefault="00DF0A04" w:rsidP="000968D3">
      <w:pPr>
        <w:pStyle w:val="Normalnumber"/>
        <w:rPr>
          <w:rFonts w:eastAsia="MS Mincho"/>
          <w:i/>
          <w:iCs/>
          <w:noProof/>
          <w:color w:val="000000" w:themeColor="text1"/>
          <w:lang w:val="fr-FR"/>
        </w:rPr>
      </w:pPr>
      <w:r w:rsidRPr="00266D27">
        <w:rPr>
          <w:noProof/>
          <w:lang w:val="fr-FR"/>
        </w:rPr>
        <w:t>La mise en œuvre par le PNUE de la résolution a débuté par l</w:t>
      </w:r>
      <w:r w:rsidR="00304F8D" w:rsidRPr="00266D27">
        <w:rPr>
          <w:noProof/>
          <w:lang w:val="fr-FR"/>
        </w:rPr>
        <w:t xml:space="preserve">’établissement </w:t>
      </w:r>
      <w:r w:rsidRPr="00266D27">
        <w:rPr>
          <w:noProof/>
          <w:lang w:val="fr-FR"/>
        </w:rPr>
        <w:t>d</w:t>
      </w:r>
      <w:r w:rsidR="00536C58" w:rsidRPr="00266D27">
        <w:rPr>
          <w:noProof/>
          <w:lang w:val="fr-FR"/>
        </w:rPr>
        <w:t>’</w:t>
      </w:r>
      <w:r w:rsidRPr="00266D27">
        <w:rPr>
          <w:noProof/>
          <w:lang w:val="fr-FR"/>
        </w:rPr>
        <w:t>un état des lieux des approches, connaissances et outils existants qui visent à renforcer la durabilité des infrastructures. Les résultats de l</w:t>
      </w:r>
      <w:r w:rsidR="00536C58" w:rsidRPr="00266D27">
        <w:rPr>
          <w:noProof/>
          <w:lang w:val="fr-FR"/>
        </w:rPr>
        <w:t>’</w:t>
      </w:r>
      <w:r w:rsidRPr="00266D27">
        <w:rPr>
          <w:noProof/>
          <w:lang w:val="fr-FR"/>
        </w:rPr>
        <w:t xml:space="preserve">état des lieux ont été publiés en avril 2019 dans le rapport du PNUE intitulé </w:t>
      </w:r>
      <w:r w:rsidRPr="00266D27">
        <w:rPr>
          <w:i/>
          <w:iCs/>
          <w:noProof/>
          <w:lang w:val="fr-FR"/>
        </w:rPr>
        <w:t>Integrated Approaches to Sustainable Infrastructure</w:t>
      </w:r>
      <w:r w:rsidRPr="00266D27">
        <w:rPr>
          <w:noProof/>
          <w:lang w:val="fr-FR"/>
        </w:rPr>
        <w:t xml:space="preserve"> (</w:t>
      </w:r>
      <w:r w:rsidR="00665DDE" w:rsidRPr="00266D27">
        <w:rPr>
          <w:noProof/>
          <w:lang w:val="fr-FR"/>
        </w:rPr>
        <w:t>A</w:t>
      </w:r>
      <w:r w:rsidRPr="00266D27">
        <w:rPr>
          <w:noProof/>
          <w:lang w:val="fr-FR"/>
        </w:rPr>
        <w:t>pproches intégrées en matière d</w:t>
      </w:r>
      <w:r w:rsidR="00536C58" w:rsidRPr="00266D27">
        <w:rPr>
          <w:noProof/>
          <w:lang w:val="fr-FR"/>
        </w:rPr>
        <w:t>’</w:t>
      </w:r>
      <w:r w:rsidRPr="00266D27">
        <w:rPr>
          <w:noProof/>
          <w:lang w:val="fr-FR"/>
        </w:rPr>
        <w:t>infrastructures durables).</w:t>
      </w:r>
    </w:p>
    <w:p w14:paraId="0681460E" w14:textId="71445DA0" w:rsidR="00C83D89" w:rsidRPr="00266D27" w:rsidRDefault="005C72D8" w:rsidP="000968D3">
      <w:pPr>
        <w:pStyle w:val="Normalnumber"/>
        <w:rPr>
          <w:rFonts w:eastAsia="MS Mincho"/>
          <w:noProof/>
          <w:color w:val="000000" w:themeColor="text1"/>
          <w:lang w:val="fr-FR"/>
        </w:rPr>
      </w:pPr>
      <w:r w:rsidRPr="00266D27">
        <w:rPr>
          <w:noProof/>
          <w:lang w:val="fr-FR"/>
        </w:rPr>
        <w:t>Dans ce rapport, le PNUE a conclu qu</w:t>
      </w:r>
      <w:r w:rsidR="00536C58" w:rsidRPr="00266D27">
        <w:rPr>
          <w:noProof/>
          <w:lang w:val="fr-FR"/>
        </w:rPr>
        <w:t>’</w:t>
      </w:r>
      <w:r w:rsidRPr="00266D27">
        <w:rPr>
          <w:noProof/>
          <w:lang w:val="fr-FR"/>
        </w:rPr>
        <w:t>en dépit de l</w:t>
      </w:r>
      <w:r w:rsidR="00536C58" w:rsidRPr="00266D27">
        <w:rPr>
          <w:noProof/>
          <w:lang w:val="fr-FR"/>
        </w:rPr>
        <w:t>’</w:t>
      </w:r>
      <w:r w:rsidRPr="00266D27">
        <w:rPr>
          <w:noProof/>
          <w:lang w:val="fr-FR"/>
        </w:rPr>
        <w:t>existence de directives et d</w:t>
      </w:r>
      <w:r w:rsidR="00536C58" w:rsidRPr="00266D27">
        <w:rPr>
          <w:noProof/>
          <w:lang w:val="fr-FR"/>
        </w:rPr>
        <w:t>’</w:t>
      </w:r>
      <w:r w:rsidRPr="00266D27">
        <w:rPr>
          <w:noProof/>
          <w:lang w:val="fr-FR"/>
        </w:rPr>
        <w:t>outils pour tenir compte de la durabilité dans le développement des infrastructures, d</w:t>
      </w:r>
      <w:r w:rsidR="00536C58" w:rsidRPr="00266D27">
        <w:rPr>
          <w:noProof/>
          <w:lang w:val="fr-FR"/>
        </w:rPr>
        <w:t>’</w:t>
      </w:r>
      <w:r w:rsidRPr="00266D27">
        <w:rPr>
          <w:noProof/>
          <w:lang w:val="fr-FR"/>
        </w:rPr>
        <w:t>importantes lacunes contribuaient au développement d</w:t>
      </w:r>
      <w:r w:rsidR="00536C58" w:rsidRPr="00266D27">
        <w:rPr>
          <w:noProof/>
          <w:lang w:val="fr-FR"/>
        </w:rPr>
        <w:t>’</w:t>
      </w:r>
      <w:r w:rsidRPr="00266D27">
        <w:rPr>
          <w:noProof/>
          <w:lang w:val="fr-FR"/>
        </w:rPr>
        <w:t xml:space="preserve">infrastructures non durables. </w:t>
      </w:r>
      <w:r w:rsidR="00AB5A50" w:rsidRPr="00266D27">
        <w:rPr>
          <w:noProof/>
          <w:lang w:val="fr-FR"/>
        </w:rPr>
        <w:t>Tout d’abord,</w:t>
      </w:r>
      <w:r w:rsidRPr="00266D27">
        <w:rPr>
          <w:noProof/>
          <w:lang w:val="fr-FR"/>
        </w:rPr>
        <w:t xml:space="preserve"> la majorité des directives et des outils traitent de la durabilité à l</w:t>
      </w:r>
      <w:r w:rsidR="00536C58" w:rsidRPr="00266D27">
        <w:rPr>
          <w:noProof/>
          <w:lang w:val="fr-FR"/>
        </w:rPr>
        <w:t>’</w:t>
      </w:r>
      <w:r w:rsidRPr="00266D27">
        <w:rPr>
          <w:noProof/>
          <w:lang w:val="fr-FR"/>
        </w:rPr>
        <w:t>échelle d</w:t>
      </w:r>
      <w:r w:rsidR="00CC2B32" w:rsidRPr="00266D27">
        <w:rPr>
          <w:noProof/>
          <w:lang w:val="fr-FR"/>
        </w:rPr>
        <w:t>u</w:t>
      </w:r>
      <w:r w:rsidRPr="00266D27">
        <w:rPr>
          <w:noProof/>
          <w:lang w:val="fr-FR"/>
        </w:rPr>
        <w:t xml:space="preserve"> projet, ce qui limite les possibilités d</w:t>
      </w:r>
      <w:r w:rsidR="00536C58" w:rsidRPr="00266D27">
        <w:rPr>
          <w:noProof/>
          <w:lang w:val="fr-FR"/>
        </w:rPr>
        <w:t>’</w:t>
      </w:r>
      <w:r w:rsidRPr="00266D27">
        <w:rPr>
          <w:noProof/>
          <w:lang w:val="fr-FR"/>
        </w:rPr>
        <w:t>incidence positive, les</w:t>
      </w:r>
      <w:r w:rsidR="00F90D6F" w:rsidRPr="00266D27">
        <w:rPr>
          <w:noProof/>
          <w:lang w:val="fr-FR"/>
        </w:rPr>
        <w:t> </w:t>
      </w:r>
      <w:r w:rsidRPr="00266D27">
        <w:rPr>
          <w:noProof/>
          <w:lang w:val="fr-FR"/>
        </w:rPr>
        <w:t>décisions importantes ayant à ce stade déjà été prises concernant les constructions à entreprendre et leur emplacement. Ensuite, la durabilité est souvent conçue de manière restreinte, en mettant fortement l</w:t>
      </w:r>
      <w:r w:rsidR="00536C58" w:rsidRPr="00266D27">
        <w:rPr>
          <w:noProof/>
          <w:lang w:val="fr-FR"/>
        </w:rPr>
        <w:t>’</w:t>
      </w:r>
      <w:r w:rsidRPr="00266D27">
        <w:rPr>
          <w:noProof/>
          <w:lang w:val="fr-FR"/>
        </w:rPr>
        <w:t>accent sur le climat sans prêter suffisamment attention à d</w:t>
      </w:r>
      <w:r w:rsidR="00536C58" w:rsidRPr="00266D27">
        <w:rPr>
          <w:noProof/>
          <w:lang w:val="fr-FR"/>
        </w:rPr>
        <w:t>’</w:t>
      </w:r>
      <w:r w:rsidRPr="00266D27">
        <w:rPr>
          <w:noProof/>
          <w:lang w:val="fr-FR"/>
        </w:rPr>
        <w:t>autres aspects, tels que la biodiversité ou l</w:t>
      </w:r>
      <w:r w:rsidR="00536C58" w:rsidRPr="00266D27">
        <w:rPr>
          <w:noProof/>
          <w:lang w:val="fr-FR"/>
        </w:rPr>
        <w:t>’</w:t>
      </w:r>
      <w:r w:rsidRPr="00266D27">
        <w:rPr>
          <w:noProof/>
          <w:lang w:val="fr-FR"/>
        </w:rPr>
        <w:t>inclusivité. Enfin, s</w:t>
      </w:r>
      <w:r w:rsidR="00536C58" w:rsidRPr="00266D27">
        <w:rPr>
          <w:noProof/>
          <w:lang w:val="fr-FR"/>
        </w:rPr>
        <w:t>’</w:t>
      </w:r>
      <w:r w:rsidRPr="00266D27">
        <w:rPr>
          <w:noProof/>
          <w:lang w:val="fr-FR"/>
        </w:rPr>
        <w:t>agissant du financement d</w:t>
      </w:r>
      <w:r w:rsidR="00536C58" w:rsidRPr="00266D27">
        <w:rPr>
          <w:noProof/>
          <w:lang w:val="fr-FR"/>
        </w:rPr>
        <w:t>’</w:t>
      </w:r>
      <w:r w:rsidRPr="00266D27">
        <w:rPr>
          <w:noProof/>
          <w:lang w:val="fr-FR"/>
        </w:rPr>
        <w:t>infrastructures durables, il existe une tendance à mettre l</w:t>
      </w:r>
      <w:r w:rsidR="00536C58" w:rsidRPr="00266D27">
        <w:rPr>
          <w:noProof/>
          <w:lang w:val="fr-FR"/>
        </w:rPr>
        <w:t>’</w:t>
      </w:r>
      <w:r w:rsidRPr="00266D27">
        <w:rPr>
          <w:noProof/>
          <w:lang w:val="fr-FR"/>
        </w:rPr>
        <w:t>accent sur la quantité des investissements requis dans les infrastructures (par exemple, l</w:t>
      </w:r>
      <w:r w:rsidR="00536C58" w:rsidRPr="00266D27">
        <w:rPr>
          <w:noProof/>
          <w:lang w:val="fr-FR"/>
        </w:rPr>
        <w:t>’</w:t>
      </w:r>
      <w:r w:rsidRPr="00266D27">
        <w:rPr>
          <w:noProof/>
          <w:lang w:val="fr-FR"/>
        </w:rPr>
        <w:t>accent est mis sur le fait de « combler le manque d</w:t>
      </w:r>
      <w:r w:rsidR="00536C58" w:rsidRPr="00266D27">
        <w:rPr>
          <w:noProof/>
          <w:lang w:val="fr-FR"/>
        </w:rPr>
        <w:t>’</w:t>
      </w:r>
      <w:r w:rsidRPr="00266D27">
        <w:rPr>
          <w:noProof/>
          <w:lang w:val="fr-FR"/>
        </w:rPr>
        <w:t xml:space="preserve">investissements dans les </w:t>
      </w:r>
      <w:r w:rsidR="00C67024" w:rsidRPr="00266D27">
        <w:rPr>
          <w:noProof/>
          <w:lang w:val="fr-FR"/>
        </w:rPr>
        <w:t>infrastructures</w:t>
      </w:r>
      <w:r w:rsidRPr="00266D27">
        <w:rPr>
          <w:noProof/>
          <w:lang w:val="fr-FR"/>
        </w:rPr>
        <w:t xml:space="preserve"> ») plutôt que sur leur qualité (par exemple, la durabilité et la conformité aux besoins en matière de services). </w:t>
      </w:r>
    </w:p>
    <w:p w14:paraId="2869437B" w14:textId="54204351" w:rsidR="00C83D89" w:rsidRPr="00266D27" w:rsidRDefault="00532011" w:rsidP="000968D3">
      <w:pPr>
        <w:pStyle w:val="Normalnumber"/>
        <w:rPr>
          <w:rFonts w:eastAsia="MS Mincho"/>
          <w:noProof/>
          <w:color w:val="000000" w:themeColor="text1"/>
          <w:lang w:val="fr-FR"/>
        </w:rPr>
      </w:pPr>
      <w:r w:rsidRPr="00266D27">
        <w:rPr>
          <w:noProof/>
          <w:lang w:val="fr-FR"/>
        </w:rPr>
        <w:t>Le rapport proposait d</w:t>
      </w:r>
      <w:r w:rsidR="00536C58" w:rsidRPr="00266D27">
        <w:rPr>
          <w:noProof/>
          <w:lang w:val="fr-FR"/>
        </w:rPr>
        <w:t>’</w:t>
      </w:r>
      <w:r w:rsidRPr="00266D27">
        <w:rPr>
          <w:noProof/>
          <w:lang w:val="fr-FR"/>
        </w:rPr>
        <w:t>aborder ces lacunes au moyen d</w:t>
      </w:r>
      <w:r w:rsidR="00536C58" w:rsidRPr="00266D27">
        <w:rPr>
          <w:noProof/>
          <w:lang w:val="fr-FR"/>
        </w:rPr>
        <w:t>’</w:t>
      </w:r>
      <w:r w:rsidRPr="00266D27">
        <w:rPr>
          <w:noProof/>
          <w:lang w:val="fr-FR"/>
        </w:rPr>
        <w:t>« approches intégrées » qui a) tiennent compte de la durabilité le plus en amont possible dans le cycle de vie de l</w:t>
      </w:r>
      <w:r w:rsidR="00536C58" w:rsidRPr="00266D27">
        <w:rPr>
          <w:noProof/>
          <w:lang w:val="fr-FR"/>
        </w:rPr>
        <w:t>’</w:t>
      </w:r>
      <w:r w:rsidRPr="00266D27">
        <w:rPr>
          <w:noProof/>
          <w:lang w:val="fr-FR"/>
        </w:rPr>
        <w:t xml:space="preserve">infrastructure, lorsque davantage de solutions pour renforcer </w:t>
      </w:r>
      <w:r w:rsidR="00CC2B32" w:rsidRPr="00266D27">
        <w:rPr>
          <w:noProof/>
          <w:lang w:val="fr-FR"/>
        </w:rPr>
        <w:t>s</w:t>
      </w:r>
      <w:r w:rsidRPr="00266D27">
        <w:rPr>
          <w:noProof/>
          <w:lang w:val="fr-FR"/>
        </w:rPr>
        <w:t>a durabilité sont encore envisageables d</w:t>
      </w:r>
      <w:r w:rsidR="00536C58" w:rsidRPr="00266D27">
        <w:rPr>
          <w:noProof/>
          <w:lang w:val="fr-FR"/>
        </w:rPr>
        <w:t>’</w:t>
      </w:r>
      <w:r w:rsidRPr="00266D27">
        <w:rPr>
          <w:noProof/>
          <w:lang w:val="fr-FR"/>
        </w:rPr>
        <w:t>un point de vue politique, technique et économique</w:t>
      </w:r>
      <w:r w:rsidR="00536C58" w:rsidRPr="00266D27">
        <w:rPr>
          <w:noProof/>
          <w:lang w:val="fr-FR"/>
        </w:rPr>
        <w:t> ;</w:t>
      </w:r>
      <w:r w:rsidRPr="00266D27">
        <w:rPr>
          <w:noProof/>
          <w:lang w:val="fr-FR"/>
        </w:rPr>
        <w:t xml:space="preserve"> b) prennent en compte les liens entre différents systèmes d</w:t>
      </w:r>
      <w:r w:rsidR="00536C58" w:rsidRPr="00266D27">
        <w:rPr>
          <w:noProof/>
          <w:lang w:val="fr-FR"/>
        </w:rPr>
        <w:t>’</w:t>
      </w:r>
      <w:r w:rsidRPr="00266D27">
        <w:rPr>
          <w:noProof/>
          <w:lang w:val="fr-FR"/>
        </w:rPr>
        <w:t>infrastructures dans divers secteurs et emplacements, ainsi que les effets cumulés en matière de durabilité environnementale, sociale et économique sur l</w:t>
      </w:r>
      <w:r w:rsidR="00536C58" w:rsidRPr="00266D27">
        <w:rPr>
          <w:noProof/>
          <w:lang w:val="fr-FR"/>
        </w:rPr>
        <w:t>’</w:t>
      </w:r>
      <w:r w:rsidRPr="00266D27">
        <w:rPr>
          <w:noProof/>
          <w:lang w:val="fr-FR"/>
        </w:rPr>
        <w:t>ensemble du cycle de vie de l</w:t>
      </w:r>
      <w:r w:rsidR="00536C58" w:rsidRPr="00266D27">
        <w:rPr>
          <w:noProof/>
          <w:lang w:val="fr-FR"/>
        </w:rPr>
        <w:t>’</w:t>
      </w:r>
      <w:r w:rsidRPr="00266D27">
        <w:rPr>
          <w:noProof/>
          <w:lang w:val="fr-FR"/>
        </w:rPr>
        <w:t>infrastructure</w:t>
      </w:r>
      <w:r w:rsidR="00536C58" w:rsidRPr="00266D27">
        <w:rPr>
          <w:noProof/>
          <w:lang w:val="fr-FR"/>
        </w:rPr>
        <w:t> ;</w:t>
      </w:r>
      <w:r w:rsidRPr="00266D27">
        <w:rPr>
          <w:noProof/>
          <w:lang w:val="fr-FR"/>
        </w:rPr>
        <w:t xml:space="preserve"> et c) mettent en place des institutions, politiques et procédures permettant la prise de telles mesures et incitant à leur mise en œuvre. </w:t>
      </w:r>
    </w:p>
    <w:p w14:paraId="694E8898" w14:textId="7C354FB2" w:rsidR="00C83D89" w:rsidRPr="00266D27" w:rsidRDefault="003C00A0" w:rsidP="00916E6A">
      <w:pPr>
        <w:pStyle w:val="CH2"/>
        <w:rPr>
          <w:noProof/>
          <w:lang w:val="fr-FR"/>
        </w:rPr>
      </w:pPr>
      <w:r w:rsidRPr="00266D27">
        <w:rPr>
          <w:noProof/>
          <w:lang w:val="fr-FR"/>
        </w:rPr>
        <w:tab/>
      </w:r>
      <w:r w:rsidR="00916E6A" w:rsidRPr="00266D27">
        <w:rPr>
          <w:noProof/>
          <w:lang w:val="fr-FR"/>
        </w:rPr>
        <w:t>B.</w:t>
      </w:r>
      <w:r w:rsidR="007C1F89" w:rsidRPr="00266D27">
        <w:rPr>
          <w:noProof/>
          <w:lang w:val="fr-FR"/>
        </w:rPr>
        <w:tab/>
      </w:r>
      <w:r w:rsidR="00916E6A" w:rsidRPr="00266D27">
        <w:rPr>
          <w:bCs/>
          <w:noProof/>
          <w:lang w:val="fr-FR"/>
        </w:rPr>
        <w:t>Partenariat sur les infrastructures durables</w:t>
      </w:r>
    </w:p>
    <w:p w14:paraId="04DB10EE" w14:textId="63207411" w:rsidR="00C83D89" w:rsidRPr="00266D27" w:rsidRDefault="00C83D89" w:rsidP="000968D3">
      <w:pPr>
        <w:pStyle w:val="Normalnumber"/>
        <w:rPr>
          <w:rFonts w:eastAsia="MS Mincho"/>
          <w:noProof/>
          <w:color w:val="000000" w:themeColor="text1"/>
          <w:lang w:val="fr-FR"/>
        </w:rPr>
      </w:pPr>
      <w:r w:rsidRPr="00266D27">
        <w:rPr>
          <w:noProof/>
          <w:lang w:val="fr-FR"/>
        </w:rPr>
        <w:t>Le PNUE s</w:t>
      </w:r>
      <w:r w:rsidR="00536C58" w:rsidRPr="00266D27">
        <w:rPr>
          <w:noProof/>
          <w:lang w:val="fr-FR"/>
        </w:rPr>
        <w:t>’</w:t>
      </w:r>
      <w:r w:rsidRPr="00266D27">
        <w:rPr>
          <w:noProof/>
          <w:lang w:val="fr-FR"/>
        </w:rPr>
        <w:t xml:space="preserve">efforce de combler </w:t>
      </w:r>
      <w:r w:rsidR="00B05BA3" w:rsidRPr="00266D27">
        <w:rPr>
          <w:noProof/>
          <w:lang w:val="fr-FR"/>
        </w:rPr>
        <w:t>l</w:t>
      </w:r>
      <w:r w:rsidRPr="00266D27">
        <w:rPr>
          <w:noProof/>
          <w:lang w:val="fr-FR"/>
        </w:rPr>
        <w:t>es lacunes par le biais du Partenariat sur les infrastructures durables, un réseau de plus de 30</w:t>
      </w:r>
      <w:r w:rsidR="007B59B8" w:rsidRPr="00266D27">
        <w:rPr>
          <w:noProof/>
          <w:lang w:val="fr-FR"/>
        </w:rPr>
        <w:t> </w:t>
      </w:r>
      <w:r w:rsidRPr="00266D27">
        <w:rPr>
          <w:noProof/>
          <w:lang w:val="fr-FR"/>
        </w:rPr>
        <w:t>institutions, parmi lesquelles se trouvent des organisations internationales, des banques multilatérales de développement, des organisations non gouvernementales, des groupes de réflexion, des universités, des associations professionnelles et des</w:t>
      </w:r>
      <w:r w:rsidR="00F90D6F" w:rsidRPr="00266D27">
        <w:rPr>
          <w:noProof/>
          <w:lang w:val="fr-FR"/>
        </w:rPr>
        <w:t> </w:t>
      </w:r>
      <w:r w:rsidR="00C67024" w:rsidRPr="00266D27">
        <w:rPr>
          <w:noProof/>
          <w:lang w:val="fr-FR"/>
        </w:rPr>
        <w:t>gouvernements</w:t>
      </w:r>
      <w:r w:rsidRPr="00266D27">
        <w:rPr>
          <w:noProof/>
          <w:lang w:val="fr-FR"/>
        </w:rPr>
        <w:t>. Le Partenariat vise à a) sensibiliser l</w:t>
      </w:r>
      <w:r w:rsidR="00536C58" w:rsidRPr="00266D27">
        <w:rPr>
          <w:noProof/>
          <w:lang w:val="fr-FR"/>
        </w:rPr>
        <w:t>’</w:t>
      </w:r>
      <w:r w:rsidRPr="00266D27">
        <w:rPr>
          <w:noProof/>
          <w:lang w:val="fr-FR"/>
        </w:rPr>
        <w:t>opinion à l</w:t>
      </w:r>
      <w:r w:rsidR="00536C58" w:rsidRPr="00266D27">
        <w:rPr>
          <w:noProof/>
          <w:lang w:val="fr-FR"/>
        </w:rPr>
        <w:t>’</w:t>
      </w:r>
      <w:r w:rsidRPr="00266D27">
        <w:rPr>
          <w:noProof/>
          <w:lang w:val="fr-FR"/>
        </w:rPr>
        <w:t>importance des infrastructures en vue d</w:t>
      </w:r>
      <w:r w:rsidR="00536C58" w:rsidRPr="00266D27">
        <w:rPr>
          <w:noProof/>
          <w:lang w:val="fr-FR"/>
        </w:rPr>
        <w:t>’</w:t>
      </w:r>
      <w:r w:rsidRPr="00266D27">
        <w:rPr>
          <w:noProof/>
          <w:lang w:val="fr-FR"/>
        </w:rPr>
        <w:t>un développement durable</w:t>
      </w:r>
      <w:r w:rsidR="00536C58" w:rsidRPr="00266D27">
        <w:rPr>
          <w:noProof/>
          <w:lang w:val="fr-FR"/>
        </w:rPr>
        <w:t> ;</w:t>
      </w:r>
      <w:r w:rsidRPr="00266D27">
        <w:rPr>
          <w:noProof/>
          <w:lang w:val="fr-FR"/>
        </w:rPr>
        <w:t xml:space="preserve"> b) élaborer des directives normatives et techniques, des</w:t>
      </w:r>
      <w:r w:rsidR="00F90D6F" w:rsidRPr="00266D27">
        <w:rPr>
          <w:noProof/>
          <w:lang w:val="fr-FR"/>
        </w:rPr>
        <w:t> </w:t>
      </w:r>
      <w:r w:rsidRPr="00266D27">
        <w:rPr>
          <w:noProof/>
          <w:lang w:val="fr-FR"/>
        </w:rPr>
        <w:t>connaissances et des outils relatifs à des approches intégrées en matière d</w:t>
      </w:r>
      <w:r w:rsidR="00536C58" w:rsidRPr="00266D27">
        <w:rPr>
          <w:noProof/>
          <w:lang w:val="fr-FR"/>
        </w:rPr>
        <w:t>’</w:t>
      </w:r>
      <w:r w:rsidRPr="00266D27">
        <w:rPr>
          <w:noProof/>
          <w:lang w:val="fr-FR"/>
        </w:rPr>
        <w:t>infrastructures durables et promouvoir les directives, connaissances et outils existants</w:t>
      </w:r>
      <w:r w:rsidR="00536C58" w:rsidRPr="00266D27">
        <w:rPr>
          <w:noProof/>
          <w:lang w:val="fr-FR"/>
        </w:rPr>
        <w:t> ;</w:t>
      </w:r>
      <w:r w:rsidRPr="00266D27">
        <w:rPr>
          <w:noProof/>
          <w:lang w:val="fr-FR"/>
        </w:rPr>
        <w:t xml:space="preserve"> et c) mobiliser un appui international en vue de renforcer les capacités techniques et institutionnelles des pays à adopter des approches intégrées en matière d</w:t>
      </w:r>
      <w:r w:rsidR="00536C58" w:rsidRPr="00266D27">
        <w:rPr>
          <w:noProof/>
          <w:lang w:val="fr-FR"/>
        </w:rPr>
        <w:t>’</w:t>
      </w:r>
      <w:r w:rsidRPr="00266D27">
        <w:rPr>
          <w:noProof/>
          <w:lang w:val="fr-FR"/>
        </w:rPr>
        <w:t>infrastructures durables.</w:t>
      </w:r>
    </w:p>
    <w:p w14:paraId="6325288A" w14:textId="62DDAC96" w:rsidR="00C83D89" w:rsidRPr="00266D27" w:rsidRDefault="003C00A0" w:rsidP="00F90D6F">
      <w:pPr>
        <w:pStyle w:val="CH2"/>
        <w:rPr>
          <w:noProof/>
          <w:lang w:val="fr-FR"/>
        </w:rPr>
      </w:pPr>
      <w:r w:rsidRPr="00266D27">
        <w:rPr>
          <w:noProof/>
          <w:lang w:val="fr-FR"/>
        </w:rPr>
        <w:lastRenderedPageBreak/>
        <w:tab/>
      </w:r>
      <w:r w:rsidR="002A50DE" w:rsidRPr="00266D27">
        <w:rPr>
          <w:noProof/>
          <w:lang w:val="fr-FR"/>
        </w:rPr>
        <w:t>C.</w:t>
      </w:r>
      <w:r w:rsidR="007C1F89" w:rsidRPr="00266D27">
        <w:rPr>
          <w:noProof/>
          <w:lang w:val="fr-FR"/>
        </w:rPr>
        <w:tab/>
      </w:r>
      <w:r w:rsidR="002A50DE" w:rsidRPr="00266D27">
        <w:rPr>
          <w:bCs/>
          <w:noProof/>
          <w:lang w:val="fr-FR"/>
        </w:rPr>
        <w:t>Cadre d</w:t>
      </w:r>
      <w:r w:rsidR="00536C58" w:rsidRPr="00266D27">
        <w:rPr>
          <w:bCs/>
          <w:noProof/>
          <w:lang w:val="fr-FR"/>
        </w:rPr>
        <w:t>’</w:t>
      </w:r>
      <w:r w:rsidR="002A50DE" w:rsidRPr="00266D27">
        <w:rPr>
          <w:bCs/>
          <w:noProof/>
          <w:lang w:val="fr-FR"/>
        </w:rPr>
        <w:t>orientation sur les bonnes pratiques en matière d</w:t>
      </w:r>
      <w:r w:rsidR="00536C58" w:rsidRPr="00266D27">
        <w:rPr>
          <w:bCs/>
          <w:noProof/>
          <w:lang w:val="fr-FR"/>
        </w:rPr>
        <w:t>’</w:t>
      </w:r>
      <w:r w:rsidR="002A50DE" w:rsidRPr="00266D27">
        <w:rPr>
          <w:bCs/>
          <w:noProof/>
          <w:lang w:val="fr-FR"/>
        </w:rPr>
        <w:t>infrastructure</w:t>
      </w:r>
      <w:r w:rsidR="00F90D6F" w:rsidRPr="00266D27">
        <w:rPr>
          <w:bCs/>
          <w:noProof/>
          <w:lang w:val="fr-FR"/>
        </w:rPr>
        <w:t>s</w:t>
      </w:r>
      <w:r w:rsidR="00091D22" w:rsidRPr="00266D27">
        <w:rPr>
          <w:bCs/>
          <w:noProof/>
          <w:lang w:val="fr-FR"/>
        </w:rPr>
        <w:t xml:space="preserve"> </w:t>
      </w:r>
      <w:r w:rsidR="002A50DE" w:rsidRPr="00266D27">
        <w:rPr>
          <w:bCs/>
          <w:noProof/>
          <w:lang w:val="fr-FR"/>
        </w:rPr>
        <w:t>durables</w:t>
      </w:r>
    </w:p>
    <w:p w14:paraId="23912B2C" w14:textId="6701DF4D" w:rsidR="00C83D89" w:rsidRPr="00266D27" w:rsidRDefault="00C83D89" w:rsidP="000968D3">
      <w:pPr>
        <w:pStyle w:val="Normalnumber"/>
        <w:rPr>
          <w:noProof/>
          <w:color w:val="000000" w:themeColor="text1"/>
          <w:lang w:val="fr-FR"/>
        </w:rPr>
      </w:pPr>
      <w:r w:rsidRPr="00266D27">
        <w:rPr>
          <w:noProof/>
          <w:lang w:val="fr-FR"/>
        </w:rPr>
        <w:t>Avec l</w:t>
      </w:r>
      <w:r w:rsidR="00536C58" w:rsidRPr="00266D27">
        <w:rPr>
          <w:noProof/>
          <w:lang w:val="fr-FR"/>
        </w:rPr>
        <w:t>’</w:t>
      </w:r>
      <w:r w:rsidRPr="00266D27">
        <w:rPr>
          <w:noProof/>
          <w:lang w:val="fr-FR"/>
        </w:rPr>
        <w:t>appui financier du Fonds pour l</w:t>
      </w:r>
      <w:r w:rsidR="00536C58" w:rsidRPr="00266D27">
        <w:rPr>
          <w:noProof/>
          <w:lang w:val="fr-FR"/>
        </w:rPr>
        <w:t>’</w:t>
      </w:r>
      <w:r w:rsidRPr="00266D27">
        <w:rPr>
          <w:noProof/>
          <w:lang w:val="fr-FR"/>
        </w:rPr>
        <w:t>environnement mondial</w:t>
      </w:r>
      <w:r w:rsidR="001E3707" w:rsidRPr="00266D27">
        <w:rPr>
          <w:noProof/>
          <w:lang w:val="fr-FR"/>
        </w:rPr>
        <w:t xml:space="preserve"> (FEM)</w:t>
      </w:r>
      <w:r w:rsidRPr="00266D27">
        <w:rPr>
          <w:noProof/>
          <w:lang w:val="fr-FR"/>
        </w:rPr>
        <w:t>, le PNUE est à la tête d</w:t>
      </w:r>
      <w:r w:rsidR="00536C58" w:rsidRPr="00266D27">
        <w:rPr>
          <w:noProof/>
          <w:lang w:val="fr-FR"/>
        </w:rPr>
        <w:t>’</w:t>
      </w:r>
      <w:r w:rsidRPr="00266D27">
        <w:rPr>
          <w:noProof/>
          <w:lang w:val="fr-FR"/>
        </w:rPr>
        <w:t>un groupe de travail d</w:t>
      </w:r>
      <w:r w:rsidR="00536C58" w:rsidRPr="00266D27">
        <w:rPr>
          <w:noProof/>
          <w:lang w:val="fr-FR"/>
        </w:rPr>
        <w:t>’</w:t>
      </w:r>
      <w:r w:rsidRPr="00266D27">
        <w:rPr>
          <w:noProof/>
          <w:lang w:val="fr-FR"/>
        </w:rPr>
        <w:t>experts composé de membres du Partenariat sur les infrastructures durables et</w:t>
      </w:r>
      <w:r w:rsidR="00F90D6F" w:rsidRPr="00266D27">
        <w:rPr>
          <w:noProof/>
          <w:lang w:val="fr-FR"/>
        </w:rPr>
        <w:t> </w:t>
      </w:r>
      <w:r w:rsidRPr="00266D27">
        <w:rPr>
          <w:noProof/>
          <w:lang w:val="fr-FR"/>
        </w:rPr>
        <w:t xml:space="preserve">chargé de traiter les lacunes recensées dans le rapport </w:t>
      </w:r>
      <w:r w:rsidRPr="00266D27">
        <w:rPr>
          <w:i/>
          <w:iCs/>
          <w:noProof/>
          <w:lang w:val="fr-FR"/>
        </w:rPr>
        <w:t>Integrated Approaches to Sustainable Infrastructure</w:t>
      </w:r>
      <w:r w:rsidRPr="00266D27">
        <w:rPr>
          <w:noProof/>
          <w:lang w:val="fr-FR"/>
        </w:rPr>
        <w:t xml:space="preserve"> en élaborant un Cadre d</w:t>
      </w:r>
      <w:r w:rsidR="00536C58" w:rsidRPr="00266D27">
        <w:rPr>
          <w:noProof/>
          <w:lang w:val="fr-FR"/>
        </w:rPr>
        <w:t>’</w:t>
      </w:r>
      <w:r w:rsidRPr="00266D27">
        <w:rPr>
          <w:noProof/>
          <w:lang w:val="fr-FR"/>
        </w:rPr>
        <w:t>orientation consolidé, simplifié et applicable partout dans le</w:t>
      </w:r>
      <w:r w:rsidR="00F90D6F" w:rsidRPr="00266D27">
        <w:rPr>
          <w:noProof/>
          <w:lang w:val="fr-FR"/>
        </w:rPr>
        <w:t> </w:t>
      </w:r>
      <w:r w:rsidRPr="00266D27">
        <w:rPr>
          <w:noProof/>
          <w:lang w:val="fr-FR"/>
        </w:rPr>
        <w:t>monde sur les bonnes pratiques en matière d</w:t>
      </w:r>
      <w:r w:rsidR="00536C58" w:rsidRPr="00266D27">
        <w:rPr>
          <w:noProof/>
          <w:lang w:val="fr-FR"/>
        </w:rPr>
        <w:t>’</w:t>
      </w:r>
      <w:r w:rsidRPr="00266D27">
        <w:rPr>
          <w:noProof/>
          <w:lang w:val="fr-FR"/>
        </w:rPr>
        <w:t>infrastructures durables, à l</w:t>
      </w:r>
      <w:r w:rsidR="00536C58" w:rsidRPr="00266D27">
        <w:rPr>
          <w:noProof/>
          <w:lang w:val="fr-FR"/>
        </w:rPr>
        <w:t>’</w:t>
      </w:r>
      <w:r w:rsidRPr="00266D27">
        <w:rPr>
          <w:noProof/>
          <w:lang w:val="fr-FR"/>
        </w:rPr>
        <w:t>intention des décideurs de</w:t>
      </w:r>
      <w:r w:rsidR="00F90D6F" w:rsidRPr="00266D27">
        <w:rPr>
          <w:noProof/>
          <w:lang w:val="fr-FR"/>
        </w:rPr>
        <w:t> </w:t>
      </w:r>
      <w:r w:rsidRPr="00266D27">
        <w:rPr>
          <w:noProof/>
          <w:lang w:val="fr-FR"/>
        </w:rPr>
        <w:t>haut niveau au sein des gouvernements. Le Cadre comprend 10</w:t>
      </w:r>
      <w:r w:rsidR="00FB4E51" w:rsidRPr="00266D27">
        <w:rPr>
          <w:noProof/>
          <w:lang w:val="fr-FR"/>
        </w:rPr>
        <w:t> </w:t>
      </w:r>
      <w:r w:rsidRPr="00266D27">
        <w:rPr>
          <w:noProof/>
          <w:lang w:val="fr-FR"/>
        </w:rPr>
        <w:t xml:space="preserve">principes qui sous-tendent </w:t>
      </w:r>
      <w:r w:rsidR="001E3707" w:rsidRPr="00266D27">
        <w:rPr>
          <w:noProof/>
          <w:lang w:val="fr-FR"/>
        </w:rPr>
        <w:t>l</w:t>
      </w:r>
      <w:r w:rsidRPr="00266D27">
        <w:rPr>
          <w:noProof/>
          <w:lang w:val="fr-FR"/>
        </w:rPr>
        <w:t>es</w:t>
      </w:r>
      <w:r w:rsidR="00F90D6F" w:rsidRPr="00266D27">
        <w:rPr>
          <w:noProof/>
          <w:lang w:val="fr-FR"/>
        </w:rPr>
        <w:t> </w:t>
      </w:r>
      <w:r w:rsidRPr="00266D27">
        <w:rPr>
          <w:noProof/>
          <w:lang w:val="fr-FR"/>
        </w:rPr>
        <w:t xml:space="preserve">approches intégrées au niveau des systèmes et axées sur les besoins en matière de planification et de développement des infrastructures et sera </w:t>
      </w:r>
      <w:r w:rsidR="001E3707" w:rsidRPr="00266D27">
        <w:rPr>
          <w:noProof/>
          <w:lang w:val="fr-FR"/>
        </w:rPr>
        <w:t>inauguré</w:t>
      </w:r>
      <w:r w:rsidRPr="00266D27">
        <w:rPr>
          <w:noProof/>
          <w:lang w:val="fr-FR"/>
        </w:rPr>
        <w:t xml:space="preserve"> à la cinquième session de l</w:t>
      </w:r>
      <w:r w:rsidR="00536C58" w:rsidRPr="00266D27">
        <w:rPr>
          <w:noProof/>
          <w:lang w:val="fr-FR"/>
        </w:rPr>
        <w:t>’</w:t>
      </w:r>
      <w:r w:rsidRPr="00266D27">
        <w:rPr>
          <w:noProof/>
          <w:lang w:val="fr-FR"/>
        </w:rPr>
        <w:t>Assemblée pour l</w:t>
      </w:r>
      <w:r w:rsidR="00536C58" w:rsidRPr="00266D27">
        <w:rPr>
          <w:noProof/>
          <w:lang w:val="fr-FR"/>
        </w:rPr>
        <w:t>’</w:t>
      </w:r>
      <w:r w:rsidRPr="00266D27">
        <w:rPr>
          <w:noProof/>
          <w:lang w:val="fr-FR"/>
        </w:rPr>
        <w:t>environnement.</w:t>
      </w:r>
    </w:p>
    <w:p w14:paraId="13320630" w14:textId="1D0C4B40" w:rsidR="00C83D89" w:rsidRPr="00266D27" w:rsidRDefault="00C83D89" w:rsidP="000968D3">
      <w:pPr>
        <w:pStyle w:val="Normalnumber"/>
        <w:rPr>
          <w:rFonts w:eastAsia="Arial"/>
          <w:noProof/>
          <w:lang w:val="fr-FR"/>
        </w:rPr>
      </w:pPr>
      <w:r w:rsidRPr="00266D27">
        <w:rPr>
          <w:noProof/>
          <w:lang w:val="fr-FR"/>
        </w:rPr>
        <w:t xml:space="preserve">En mai 2020, une version préliminaire du </w:t>
      </w:r>
      <w:r w:rsidR="004C3D4E" w:rsidRPr="00266D27">
        <w:rPr>
          <w:noProof/>
          <w:lang w:val="fr-FR"/>
        </w:rPr>
        <w:t>C</w:t>
      </w:r>
      <w:r w:rsidRPr="00266D27">
        <w:rPr>
          <w:noProof/>
          <w:lang w:val="fr-FR"/>
        </w:rPr>
        <w:t xml:space="preserve">adre a été communiquée aux experts internationaux et aux États membres, pour examen. </w:t>
      </w:r>
      <w:r w:rsidR="004C3D4E" w:rsidRPr="00266D27">
        <w:rPr>
          <w:noProof/>
          <w:lang w:val="fr-FR"/>
        </w:rPr>
        <w:t>L</w:t>
      </w:r>
      <w:r w:rsidR="00536C58" w:rsidRPr="00266D27">
        <w:rPr>
          <w:noProof/>
          <w:lang w:val="fr-FR"/>
        </w:rPr>
        <w:t>’</w:t>
      </w:r>
      <w:r w:rsidRPr="00266D27">
        <w:rPr>
          <w:noProof/>
          <w:lang w:val="fr-FR"/>
        </w:rPr>
        <w:t xml:space="preserve">examen par les pairs et </w:t>
      </w:r>
      <w:r w:rsidR="004C3D4E" w:rsidRPr="00266D27">
        <w:rPr>
          <w:noProof/>
          <w:lang w:val="fr-FR"/>
        </w:rPr>
        <w:t xml:space="preserve">la procédure </w:t>
      </w:r>
      <w:r w:rsidRPr="00266D27">
        <w:rPr>
          <w:noProof/>
          <w:lang w:val="fr-FR"/>
        </w:rPr>
        <w:t>de consultation des parties prenantes, bénéficiant de l</w:t>
      </w:r>
      <w:r w:rsidR="00536C58" w:rsidRPr="00266D27">
        <w:rPr>
          <w:noProof/>
          <w:lang w:val="fr-FR"/>
        </w:rPr>
        <w:t>’</w:t>
      </w:r>
      <w:r w:rsidRPr="00266D27">
        <w:rPr>
          <w:noProof/>
          <w:lang w:val="fr-FR"/>
        </w:rPr>
        <w:t xml:space="preserve">appui financier du Gouvernement suisse, </w:t>
      </w:r>
      <w:r w:rsidR="004C3D4E" w:rsidRPr="00266D27">
        <w:rPr>
          <w:noProof/>
          <w:lang w:val="fr-FR"/>
        </w:rPr>
        <w:t>ont</w:t>
      </w:r>
      <w:r w:rsidR="004B521E" w:rsidRPr="00266D27">
        <w:rPr>
          <w:noProof/>
          <w:lang w:val="fr-FR"/>
        </w:rPr>
        <w:t> </w:t>
      </w:r>
      <w:r w:rsidRPr="00266D27">
        <w:rPr>
          <w:noProof/>
          <w:lang w:val="fr-FR"/>
        </w:rPr>
        <w:t>consisté en sept consultations régionales organisées en ligne qui ont réuni 72</w:t>
      </w:r>
      <w:r w:rsidR="00957852" w:rsidRPr="00266D27">
        <w:rPr>
          <w:noProof/>
          <w:lang w:val="fr-FR"/>
        </w:rPr>
        <w:t> </w:t>
      </w:r>
      <w:r w:rsidRPr="00266D27">
        <w:rPr>
          <w:noProof/>
          <w:lang w:val="fr-FR"/>
        </w:rPr>
        <w:t>pays et les représentants d</w:t>
      </w:r>
      <w:r w:rsidR="00536C58" w:rsidRPr="00266D27">
        <w:rPr>
          <w:noProof/>
          <w:lang w:val="fr-FR"/>
        </w:rPr>
        <w:t>’</w:t>
      </w:r>
      <w:r w:rsidRPr="00266D27">
        <w:rPr>
          <w:noProof/>
          <w:lang w:val="fr-FR"/>
        </w:rPr>
        <w:t>un large éventail d</w:t>
      </w:r>
      <w:r w:rsidR="00536C58" w:rsidRPr="00266D27">
        <w:rPr>
          <w:noProof/>
          <w:lang w:val="fr-FR"/>
        </w:rPr>
        <w:t>’</w:t>
      </w:r>
      <w:r w:rsidRPr="00266D27">
        <w:rPr>
          <w:noProof/>
          <w:lang w:val="fr-FR"/>
        </w:rPr>
        <w:t>organisations multilatérales. L</w:t>
      </w:r>
      <w:r w:rsidR="00536C58" w:rsidRPr="00266D27">
        <w:rPr>
          <w:noProof/>
          <w:lang w:val="fr-FR"/>
        </w:rPr>
        <w:t>’</w:t>
      </w:r>
      <w:r w:rsidRPr="00266D27">
        <w:rPr>
          <w:noProof/>
          <w:lang w:val="fr-FR"/>
        </w:rPr>
        <w:t>objectif des consultations était d</w:t>
      </w:r>
      <w:r w:rsidR="00536C58" w:rsidRPr="00266D27">
        <w:rPr>
          <w:noProof/>
          <w:lang w:val="fr-FR"/>
        </w:rPr>
        <w:t>’</w:t>
      </w:r>
      <w:r w:rsidRPr="00266D27">
        <w:rPr>
          <w:noProof/>
          <w:lang w:val="fr-FR"/>
        </w:rPr>
        <w:t xml:space="preserve">informer les participants au sujet du projet de </w:t>
      </w:r>
      <w:r w:rsidR="004C3D4E" w:rsidRPr="00266D27">
        <w:rPr>
          <w:noProof/>
          <w:lang w:val="fr-FR"/>
        </w:rPr>
        <w:t>C</w:t>
      </w:r>
      <w:r w:rsidRPr="00266D27">
        <w:rPr>
          <w:noProof/>
          <w:lang w:val="fr-FR"/>
        </w:rPr>
        <w:t>adre, de collecter des informations en retour et de</w:t>
      </w:r>
      <w:r w:rsidR="00E73E27" w:rsidRPr="00266D27">
        <w:rPr>
          <w:noProof/>
          <w:lang w:val="fr-FR"/>
        </w:rPr>
        <w:t> </w:t>
      </w:r>
      <w:r w:rsidRPr="00266D27">
        <w:rPr>
          <w:noProof/>
          <w:lang w:val="fr-FR"/>
        </w:rPr>
        <w:t>donner aux pays la possibilité d</w:t>
      </w:r>
      <w:r w:rsidR="00536C58" w:rsidRPr="00266D27">
        <w:rPr>
          <w:noProof/>
          <w:lang w:val="fr-FR"/>
        </w:rPr>
        <w:t>’</w:t>
      </w:r>
      <w:r w:rsidRPr="00266D27">
        <w:rPr>
          <w:noProof/>
          <w:lang w:val="fr-FR"/>
        </w:rPr>
        <w:t>échanger leurs expériences concernant la mise en œuvre de la résolution</w:t>
      </w:r>
      <w:r w:rsidR="003B6617" w:rsidRPr="00266D27">
        <w:rPr>
          <w:noProof/>
          <w:lang w:val="fr-FR"/>
        </w:rPr>
        <w:t> </w:t>
      </w:r>
      <w:r w:rsidRPr="00266D27">
        <w:rPr>
          <w:noProof/>
          <w:lang w:val="fr-FR"/>
        </w:rPr>
        <w:t>4/5 et les infrastructures durables en général, ainsi que d</w:t>
      </w:r>
      <w:r w:rsidR="00536C58" w:rsidRPr="00266D27">
        <w:rPr>
          <w:noProof/>
          <w:lang w:val="fr-FR"/>
        </w:rPr>
        <w:t>’</w:t>
      </w:r>
      <w:r w:rsidRPr="00266D27">
        <w:rPr>
          <w:noProof/>
          <w:lang w:val="fr-FR"/>
        </w:rPr>
        <w:t>envisager des activités pour poursuivre la mise en œuvre de la résolution et appliquer les mesures de suivi qui pourraient être prises à la cinquième session de l</w:t>
      </w:r>
      <w:r w:rsidR="00536C58" w:rsidRPr="00266D27">
        <w:rPr>
          <w:noProof/>
          <w:lang w:val="fr-FR"/>
        </w:rPr>
        <w:t>’</w:t>
      </w:r>
      <w:r w:rsidRPr="00266D27">
        <w:rPr>
          <w:noProof/>
          <w:lang w:val="fr-FR"/>
        </w:rPr>
        <w:t>Assemblée pour l</w:t>
      </w:r>
      <w:r w:rsidR="00536C58" w:rsidRPr="00266D27">
        <w:rPr>
          <w:noProof/>
          <w:lang w:val="fr-FR"/>
        </w:rPr>
        <w:t>’</w:t>
      </w:r>
      <w:r w:rsidRPr="00266D27">
        <w:rPr>
          <w:noProof/>
          <w:lang w:val="fr-FR"/>
        </w:rPr>
        <w:t>environnement. En marge des consultations, un</w:t>
      </w:r>
      <w:r w:rsidR="00293036" w:rsidRPr="00266D27">
        <w:rPr>
          <w:noProof/>
          <w:lang w:val="fr-FR"/>
        </w:rPr>
        <w:t> </w:t>
      </w:r>
      <w:r w:rsidRPr="00266D27">
        <w:rPr>
          <w:noProof/>
          <w:lang w:val="fr-FR"/>
        </w:rPr>
        <w:t>questionnaire a recueilli 62</w:t>
      </w:r>
      <w:r w:rsidR="003B6617" w:rsidRPr="00266D27">
        <w:rPr>
          <w:noProof/>
          <w:lang w:val="fr-FR"/>
        </w:rPr>
        <w:t> </w:t>
      </w:r>
      <w:r w:rsidRPr="00266D27">
        <w:rPr>
          <w:noProof/>
          <w:lang w:val="fr-FR"/>
        </w:rPr>
        <w:t>réponses auprès de 39</w:t>
      </w:r>
      <w:r w:rsidR="003B6617" w:rsidRPr="00266D27">
        <w:rPr>
          <w:noProof/>
          <w:lang w:val="fr-FR"/>
        </w:rPr>
        <w:t> </w:t>
      </w:r>
      <w:r w:rsidRPr="00266D27">
        <w:rPr>
          <w:noProof/>
          <w:lang w:val="fr-FR"/>
        </w:rPr>
        <w:t>pays et 32</w:t>
      </w:r>
      <w:r w:rsidR="003B6617" w:rsidRPr="00266D27">
        <w:rPr>
          <w:noProof/>
          <w:lang w:val="fr-FR"/>
        </w:rPr>
        <w:t> </w:t>
      </w:r>
      <w:r w:rsidRPr="00266D27">
        <w:rPr>
          <w:noProof/>
          <w:lang w:val="fr-FR"/>
        </w:rPr>
        <w:t xml:space="preserve">experts internationaux ont mené </w:t>
      </w:r>
      <w:r w:rsidR="004C3D4E" w:rsidRPr="00266D27">
        <w:rPr>
          <w:noProof/>
          <w:lang w:val="fr-FR"/>
        </w:rPr>
        <w:t>l’e</w:t>
      </w:r>
      <w:r w:rsidRPr="00266D27">
        <w:rPr>
          <w:noProof/>
          <w:lang w:val="fr-FR"/>
        </w:rPr>
        <w:t xml:space="preserve">xamen par les pairs du projet de </w:t>
      </w:r>
      <w:r w:rsidR="004C3D4E" w:rsidRPr="00266D27">
        <w:rPr>
          <w:noProof/>
          <w:lang w:val="fr-FR"/>
        </w:rPr>
        <w:t>C</w:t>
      </w:r>
      <w:r w:rsidRPr="00266D27">
        <w:rPr>
          <w:noProof/>
          <w:lang w:val="fr-FR"/>
        </w:rPr>
        <w:t>adre.</w:t>
      </w:r>
    </w:p>
    <w:p w14:paraId="012412B1" w14:textId="4DE07C17" w:rsidR="00C83D89" w:rsidRPr="00266D27" w:rsidRDefault="00C83D89" w:rsidP="000968D3">
      <w:pPr>
        <w:pStyle w:val="Normalnumber"/>
        <w:rPr>
          <w:noProof/>
          <w:color w:val="000000" w:themeColor="text1"/>
          <w:lang w:val="fr-FR"/>
        </w:rPr>
      </w:pPr>
      <w:r w:rsidRPr="00266D27">
        <w:rPr>
          <w:noProof/>
          <w:lang w:val="fr-FR"/>
        </w:rPr>
        <w:t>Le Cadre d</w:t>
      </w:r>
      <w:r w:rsidR="00536C58" w:rsidRPr="00266D27">
        <w:rPr>
          <w:noProof/>
          <w:lang w:val="fr-FR"/>
        </w:rPr>
        <w:t>’</w:t>
      </w:r>
      <w:r w:rsidRPr="00266D27">
        <w:rPr>
          <w:noProof/>
          <w:lang w:val="fr-FR"/>
        </w:rPr>
        <w:t>orientation sur les bonnes pratiques en matière d</w:t>
      </w:r>
      <w:r w:rsidR="00536C58" w:rsidRPr="00266D27">
        <w:rPr>
          <w:noProof/>
          <w:lang w:val="fr-FR"/>
        </w:rPr>
        <w:t>’</w:t>
      </w:r>
      <w:r w:rsidRPr="00266D27">
        <w:rPr>
          <w:noProof/>
          <w:lang w:val="fr-FR"/>
        </w:rPr>
        <w:t>infrastructures durables s</w:t>
      </w:r>
      <w:r w:rsidR="00536C58" w:rsidRPr="00266D27">
        <w:rPr>
          <w:noProof/>
          <w:lang w:val="fr-FR"/>
        </w:rPr>
        <w:t>’</w:t>
      </w:r>
      <w:r w:rsidRPr="00266D27">
        <w:rPr>
          <w:noProof/>
          <w:lang w:val="fr-FR"/>
        </w:rPr>
        <w:t>accompagne de deux produits supplémentaires. Le premier est un recueil d</w:t>
      </w:r>
      <w:r w:rsidR="00536C58" w:rsidRPr="00266D27">
        <w:rPr>
          <w:noProof/>
          <w:lang w:val="fr-FR"/>
        </w:rPr>
        <w:t>’</w:t>
      </w:r>
      <w:r w:rsidRPr="00266D27">
        <w:rPr>
          <w:noProof/>
          <w:lang w:val="fr-FR"/>
        </w:rPr>
        <w:t>études de cas s</w:t>
      </w:r>
      <w:r w:rsidR="00536C58" w:rsidRPr="00266D27">
        <w:rPr>
          <w:noProof/>
          <w:lang w:val="fr-FR"/>
        </w:rPr>
        <w:t>’</w:t>
      </w:r>
      <w:r w:rsidRPr="00266D27">
        <w:rPr>
          <w:noProof/>
          <w:lang w:val="fr-FR"/>
        </w:rPr>
        <w:t xml:space="preserve">appuyant sur les expériences des États membres </w:t>
      </w:r>
      <w:r w:rsidR="007E7778" w:rsidRPr="00266D27">
        <w:rPr>
          <w:noProof/>
          <w:lang w:val="fr-FR"/>
        </w:rPr>
        <w:t>dans</w:t>
      </w:r>
      <w:r w:rsidRPr="00266D27">
        <w:rPr>
          <w:noProof/>
          <w:lang w:val="fr-FR"/>
        </w:rPr>
        <w:t xml:space="preserve"> la mise en place d</w:t>
      </w:r>
      <w:r w:rsidR="00536C58" w:rsidRPr="00266D27">
        <w:rPr>
          <w:noProof/>
          <w:lang w:val="fr-FR"/>
        </w:rPr>
        <w:t>’</w:t>
      </w:r>
      <w:r w:rsidRPr="00266D27">
        <w:rPr>
          <w:noProof/>
          <w:lang w:val="fr-FR"/>
        </w:rPr>
        <w:t>infrastructures durables. Bénéficiant de l</w:t>
      </w:r>
      <w:r w:rsidR="00536C58" w:rsidRPr="00266D27">
        <w:rPr>
          <w:noProof/>
          <w:lang w:val="fr-FR"/>
        </w:rPr>
        <w:t>’</w:t>
      </w:r>
      <w:r w:rsidRPr="00266D27">
        <w:rPr>
          <w:noProof/>
          <w:lang w:val="fr-FR"/>
        </w:rPr>
        <w:t>appui financier du Gouvernement suisse et du Partenariat pour l</w:t>
      </w:r>
      <w:r w:rsidR="00536C58" w:rsidRPr="00266D27">
        <w:rPr>
          <w:noProof/>
          <w:lang w:val="fr-FR"/>
        </w:rPr>
        <w:t>’</w:t>
      </w:r>
      <w:r w:rsidRPr="00266D27">
        <w:rPr>
          <w:noProof/>
          <w:lang w:val="fr-FR"/>
        </w:rPr>
        <w:t>action en faveur d</w:t>
      </w:r>
      <w:r w:rsidR="00536C58" w:rsidRPr="00266D27">
        <w:rPr>
          <w:noProof/>
          <w:lang w:val="fr-FR"/>
        </w:rPr>
        <w:t>’</w:t>
      </w:r>
      <w:r w:rsidRPr="00266D27">
        <w:rPr>
          <w:noProof/>
          <w:lang w:val="fr-FR"/>
        </w:rPr>
        <w:t>une économie verte et élaborée en coopération avec des membres du Partenariat sur les infrastructures durables, cette</w:t>
      </w:r>
      <w:r w:rsidR="0006440B" w:rsidRPr="00266D27">
        <w:rPr>
          <w:noProof/>
          <w:lang w:val="fr-FR"/>
        </w:rPr>
        <w:t> </w:t>
      </w:r>
      <w:r w:rsidRPr="00266D27">
        <w:rPr>
          <w:noProof/>
          <w:lang w:val="fr-FR"/>
        </w:rPr>
        <w:t>publication réunira des études de cas provenant de 10</w:t>
      </w:r>
      <w:r w:rsidR="003B6617" w:rsidRPr="00266D27">
        <w:rPr>
          <w:noProof/>
          <w:lang w:val="fr-FR"/>
        </w:rPr>
        <w:t> </w:t>
      </w:r>
      <w:r w:rsidRPr="00266D27">
        <w:rPr>
          <w:noProof/>
          <w:lang w:val="fr-FR"/>
        </w:rPr>
        <w:t>pays différents (Afghanistan, Autriche, Chili, Équateur, Iran</w:t>
      </w:r>
      <w:r w:rsidR="00F33F50" w:rsidRPr="00266D27">
        <w:rPr>
          <w:noProof/>
          <w:lang w:val="fr-FR"/>
        </w:rPr>
        <w:t xml:space="preserve"> </w:t>
      </w:r>
      <w:r w:rsidR="00212328" w:rsidRPr="00266D27">
        <w:rPr>
          <w:noProof/>
          <w:lang w:val="fr-FR"/>
        </w:rPr>
        <w:t>(R</w:t>
      </w:r>
      <w:r w:rsidR="00F33F50" w:rsidRPr="00266D27">
        <w:rPr>
          <w:noProof/>
          <w:lang w:val="fr-FR"/>
        </w:rPr>
        <w:t>épublique islamique</w:t>
      </w:r>
      <w:r w:rsidR="00212328" w:rsidRPr="00266D27">
        <w:rPr>
          <w:noProof/>
          <w:lang w:val="fr-FR"/>
        </w:rPr>
        <w:t xml:space="preserve"> d’)</w:t>
      </w:r>
      <w:r w:rsidRPr="00266D27">
        <w:rPr>
          <w:noProof/>
          <w:lang w:val="fr-FR"/>
        </w:rPr>
        <w:t>, Malawi, Mongolie, Sainte-Lucie, Singapour et Zimbabwe) pour chacun des 10</w:t>
      </w:r>
      <w:r w:rsidR="003B6617" w:rsidRPr="00266D27">
        <w:rPr>
          <w:noProof/>
          <w:lang w:val="fr-FR"/>
        </w:rPr>
        <w:t> </w:t>
      </w:r>
      <w:r w:rsidRPr="00266D27">
        <w:rPr>
          <w:noProof/>
          <w:lang w:val="fr-FR"/>
        </w:rPr>
        <w:t>principes consignés dans le Cadre. Le deuxième produit est un pôle de connaissances faisant fond sur le Sustainable Infrastructure Tool Navigator (navigateur de recherche d</w:t>
      </w:r>
      <w:r w:rsidR="00536C58" w:rsidRPr="00266D27">
        <w:rPr>
          <w:noProof/>
          <w:lang w:val="fr-FR"/>
        </w:rPr>
        <w:t>’</w:t>
      </w:r>
      <w:r w:rsidRPr="00266D27">
        <w:rPr>
          <w:noProof/>
          <w:lang w:val="fr-FR"/>
        </w:rPr>
        <w:t>outils en matière d</w:t>
      </w:r>
      <w:r w:rsidR="00536C58" w:rsidRPr="00266D27">
        <w:rPr>
          <w:noProof/>
          <w:lang w:val="fr-FR"/>
        </w:rPr>
        <w:t>’</w:t>
      </w:r>
      <w:r w:rsidRPr="00266D27">
        <w:rPr>
          <w:noProof/>
          <w:lang w:val="fr-FR"/>
        </w:rPr>
        <w:t>infrastructures durables) créé par l</w:t>
      </w:r>
      <w:r w:rsidR="00536C58" w:rsidRPr="00266D27">
        <w:rPr>
          <w:noProof/>
          <w:lang w:val="fr-FR"/>
        </w:rPr>
        <w:t>’</w:t>
      </w:r>
      <w:r w:rsidRPr="00266D27">
        <w:rPr>
          <w:noProof/>
          <w:lang w:val="fr-FR"/>
        </w:rPr>
        <w:t>Agence allemande de coopération internationale, avec laquelle le PNUE</w:t>
      </w:r>
      <w:r w:rsidR="00C67024" w:rsidRPr="00266D27">
        <w:rPr>
          <w:noProof/>
          <w:lang w:val="fr-FR"/>
        </w:rPr>
        <w:t xml:space="preserve"> </w:t>
      </w:r>
      <w:r w:rsidRPr="00266D27">
        <w:rPr>
          <w:noProof/>
          <w:lang w:val="fr-FR"/>
        </w:rPr>
        <w:t>a noué un partenariat visant à étendre la portée du navigateur.</w:t>
      </w:r>
    </w:p>
    <w:p w14:paraId="5FEDCD11" w14:textId="78988698" w:rsidR="00C83D89" w:rsidRPr="00266D27" w:rsidRDefault="003C00A0" w:rsidP="002A50DE">
      <w:pPr>
        <w:pStyle w:val="CH2"/>
        <w:rPr>
          <w:noProof/>
          <w:lang w:val="fr-FR"/>
        </w:rPr>
      </w:pPr>
      <w:r w:rsidRPr="00266D27">
        <w:rPr>
          <w:noProof/>
          <w:lang w:val="fr-FR"/>
        </w:rPr>
        <w:tab/>
      </w:r>
      <w:r w:rsidR="002A50DE" w:rsidRPr="00266D27">
        <w:rPr>
          <w:noProof/>
          <w:lang w:val="fr-FR"/>
        </w:rPr>
        <w:t>D.</w:t>
      </w:r>
      <w:r w:rsidR="002A50DE" w:rsidRPr="00266D27">
        <w:rPr>
          <w:noProof/>
          <w:lang w:val="fr-FR"/>
        </w:rPr>
        <w:tab/>
      </w:r>
      <w:r w:rsidR="002A50DE" w:rsidRPr="00266D27">
        <w:rPr>
          <w:bCs/>
          <w:noProof/>
          <w:lang w:val="fr-FR"/>
        </w:rPr>
        <w:t>Production et échange de connaissances</w:t>
      </w:r>
    </w:p>
    <w:p w14:paraId="40E0EAEE" w14:textId="423A4F23" w:rsidR="00C83D89" w:rsidRPr="00266D27" w:rsidRDefault="00C83D89" w:rsidP="000968D3">
      <w:pPr>
        <w:pStyle w:val="Normalnumber"/>
        <w:rPr>
          <w:noProof/>
          <w:lang w:val="fr-FR"/>
        </w:rPr>
      </w:pPr>
      <w:r w:rsidRPr="00266D27">
        <w:rPr>
          <w:noProof/>
          <w:lang w:val="fr-FR"/>
        </w:rPr>
        <w:t>Le PNUE a collaboré avec des partenaires pour accueillir des manifestations et publier des</w:t>
      </w:r>
      <w:r w:rsidR="00F90D6F" w:rsidRPr="00266D27">
        <w:rPr>
          <w:noProof/>
          <w:lang w:val="fr-FR"/>
        </w:rPr>
        <w:t> </w:t>
      </w:r>
      <w:r w:rsidRPr="00266D27">
        <w:rPr>
          <w:noProof/>
          <w:lang w:val="fr-FR"/>
        </w:rPr>
        <w:t>supports de connaissances sur divers aspects des infrastructures durables, y compris l</w:t>
      </w:r>
      <w:r w:rsidR="00536C58" w:rsidRPr="00266D27">
        <w:rPr>
          <w:noProof/>
          <w:lang w:val="fr-FR"/>
        </w:rPr>
        <w:t>’</w:t>
      </w:r>
      <w:r w:rsidRPr="00266D27">
        <w:rPr>
          <w:noProof/>
          <w:lang w:val="fr-FR"/>
        </w:rPr>
        <w:t>inclusi</w:t>
      </w:r>
      <w:r w:rsidR="00C60880" w:rsidRPr="00266D27">
        <w:rPr>
          <w:noProof/>
          <w:lang w:val="fr-FR"/>
        </w:rPr>
        <w:t xml:space="preserve">on </w:t>
      </w:r>
      <w:r w:rsidRPr="00266D27">
        <w:rPr>
          <w:noProof/>
          <w:lang w:val="fr-FR"/>
        </w:rPr>
        <w:t>sociale, le climat, la biodiversité, les infrastructures d</w:t>
      </w:r>
      <w:r w:rsidR="00536C58" w:rsidRPr="00266D27">
        <w:rPr>
          <w:noProof/>
          <w:lang w:val="fr-FR"/>
        </w:rPr>
        <w:t>’</w:t>
      </w:r>
      <w:r w:rsidRPr="00266D27">
        <w:rPr>
          <w:noProof/>
          <w:lang w:val="fr-FR"/>
        </w:rPr>
        <w:t>utilisation rationnelle des ressources, les</w:t>
      </w:r>
      <w:r w:rsidR="008E5481" w:rsidRPr="00266D27">
        <w:rPr>
          <w:noProof/>
          <w:lang w:val="fr-FR"/>
        </w:rPr>
        <w:t> </w:t>
      </w:r>
      <w:r w:rsidRPr="00266D27">
        <w:rPr>
          <w:noProof/>
          <w:lang w:val="fr-FR"/>
        </w:rPr>
        <w:t>pratiques durables de passation des marchés publics, le rôle du secteur privé, l</w:t>
      </w:r>
      <w:r w:rsidR="00536C58" w:rsidRPr="00266D27">
        <w:rPr>
          <w:noProof/>
          <w:lang w:val="fr-FR"/>
        </w:rPr>
        <w:t>’</w:t>
      </w:r>
      <w:r w:rsidRPr="00266D27">
        <w:rPr>
          <w:noProof/>
          <w:lang w:val="fr-FR"/>
        </w:rPr>
        <w:t>intégration d</w:t>
      </w:r>
      <w:r w:rsidR="00536C58" w:rsidRPr="00266D27">
        <w:rPr>
          <w:noProof/>
          <w:lang w:val="fr-FR"/>
        </w:rPr>
        <w:t>’</w:t>
      </w:r>
      <w:r w:rsidRPr="00266D27">
        <w:rPr>
          <w:noProof/>
          <w:lang w:val="fr-FR"/>
        </w:rPr>
        <w:t xml:space="preserve">infrastructures vertes, bleues et grises et le rôle des infrastructures durables dans </w:t>
      </w:r>
      <w:r w:rsidR="00FA00D6" w:rsidRPr="00266D27">
        <w:rPr>
          <w:noProof/>
          <w:lang w:val="fr-FR"/>
        </w:rPr>
        <w:t>la</w:t>
      </w:r>
      <w:r w:rsidRPr="00266D27">
        <w:rPr>
          <w:noProof/>
          <w:lang w:val="fr-FR"/>
        </w:rPr>
        <w:t xml:space="preserve"> relance verte après la pandémie de COVID-19. À l</w:t>
      </w:r>
      <w:r w:rsidR="00536C58" w:rsidRPr="00266D27">
        <w:rPr>
          <w:noProof/>
          <w:lang w:val="fr-FR"/>
        </w:rPr>
        <w:t>’</w:t>
      </w:r>
      <w:r w:rsidRPr="00266D27">
        <w:rPr>
          <w:noProof/>
          <w:lang w:val="fr-FR"/>
        </w:rPr>
        <w:t>échelle des villes, le PNUE a élaboré les Integrated Guidelines for Sustainable Neighbourhood Design (directives intégrées pour la conception de quartiers durables), qui se sont inspirées des conclusions du rapport du Groupe international d</w:t>
      </w:r>
      <w:r w:rsidR="00536C58" w:rsidRPr="00266D27">
        <w:rPr>
          <w:noProof/>
          <w:lang w:val="fr-FR"/>
        </w:rPr>
        <w:t>’</w:t>
      </w:r>
      <w:r w:rsidRPr="00266D27">
        <w:rPr>
          <w:noProof/>
          <w:lang w:val="fr-FR"/>
        </w:rPr>
        <w:t xml:space="preserve">experts sur les ressources, intitulé </w:t>
      </w:r>
      <w:r w:rsidRPr="00266D27">
        <w:rPr>
          <w:i/>
          <w:iCs/>
          <w:noProof/>
          <w:lang w:val="fr-FR"/>
        </w:rPr>
        <w:t>Le Poids des villes,</w:t>
      </w:r>
      <w:r w:rsidRPr="00266D27">
        <w:rPr>
          <w:noProof/>
          <w:lang w:val="fr-FR"/>
        </w:rPr>
        <w:t xml:space="preserve"> pour guider les opportunités de mise à profit du climat et de réduction de l</w:t>
      </w:r>
      <w:r w:rsidR="00536C58" w:rsidRPr="00266D27">
        <w:rPr>
          <w:noProof/>
          <w:lang w:val="fr-FR"/>
        </w:rPr>
        <w:t>’</w:t>
      </w:r>
      <w:r w:rsidRPr="00266D27">
        <w:rPr>
          <w:noProof/>
          <w:lang w:val="fr-FR"/>
        </w:rPr>
        <w:t xml:space="preserve">utilisation des ressources. </w:t>
      </w:r>
    </w:p>
    <w:p w14:paraId="0FA18508" w14:textId="08DFFE3B" w:rsidR="00C83D89" w:rsidRPr="00266D27" w:rsidRDefault="003C00A0" w:rsidP="002A50DE">
      <w:pPr>
        <w:pStyle w:val="CH2"/>
        <w:rPr>
          <w:noProof/>
          <w:lang w:val="fr-FR"/>
        </w:rPr>
      </w:pPr>
      <w:r w:rsidRPr="00266D27">
        <w:rPr>
          <w:noProof/>
          <w:lang w:val="fr-FR"/>
        </w:rPr>
        <w:tab/>
      </w:r>
      <w:r w:rsidR="002A50DE" w:rsidRPr="00266D27">
        <w:rPr>
          <w:noProof/>
          <w:lang w:val="fr-FR"/>
        </w:rPr>
        <w:t>E.</w:t>
      </w:r>
      <w:r w:rsidR="007C1F89" w:rsidRPr="00266D27">
        <w:rPr>
          <w:noProof/>
          <w:lang w:val="fr-FR"/>
        </w:rPr>
        <w:tab/>
      </w:r>
      <w:r w:rsidR="002A50DE" w:rsidRPr="00266D27">
        <w:rPr>
          <w:bCs/>
          <w:noProof/>
          <w:lang w:val="fr-FR"/>
        </w:rPr>
        <w:t>Renforcement des capacités et appui aux pays</w:t>
      </w:r>
    </w:p>
    <w:p w14:paraId="42792BD8" w14:textId="4F5B3E6C" w:rsidR="00C83D89" w:rsidRPr="00266D27" w:rsidRDefault="00C83D89" w:rsidP="000968D3">
      <w:pPr>
        <w:pStyle w:val="Normalnumber"/>
        <w:rPr>
          <w:rFonts w:eastAsia="MS Mincho"/>
          <w:noProof/>
          <w:color w:val="000000" w:themeColor="text1"/>
          <w:lang w:val="fr-FR"/>
        </w:rPr>
      </w:pPr>
      <w:r w:rsidRPr="00266D27">
        <w:rPr>
          <w:noProof/>
          <w:lang w:val="fr-FR"/>
        </w:rPr>
        <w:t>Depuis septembre 2019, grâce à l</w:t>
      </w:r>
      <w:r w:rsidR="00536C58" w:rsidRPr="00266D27">
        <w:rPr>
          <w:noProof/>
          <w:lang w:val="fr-FR"/>
        </w:rPr>
        <w:t>’</w:t>
      </w:r>
      <w:r w:rsidRPr="00266D27">
        <w:rPr>
          <w:noProof/>
          <w:lang w:val="fr-FR"/>
        </w:rPr>
        <w:t>appui financier fourni par le FEM, le PNUE collabore avec le</w:t>
      </w:r>
      <w:r w:rsidR="00F90D6F" w:rsidRPr="00266D27">
        <w:rPr>
          <w:noProof/>
          <w:lang w:val="fr-FR"/>
        </w:rPr>
        <w:t> </w:t>
      </w:r>
      <w:r w:rsidRPr="00266D27">
        <w:rPr>
          <w:noProof/>
          <w:lang w:val="fr-FR"/>
        </w:rPr>
        <w:t>Centre mondial de surveillance pour la conservation pour évaluer l</w:t>
      </w:r>
      <w:r w:rsidR="00536C58" w:rsidRPr="00266D27">
        <w:rPr>
          <w:noProof/>
          <w:lang w:val="fr-FR"/>
        </w:rPr>
        <w:t>’</w:t>
      </w:r>
      <w:r w:rsidRPr="00266D27">
        <w:rPr>
          <w:noProof/>
          <w:lang w:val="fr-FR"/>
        </w:rPr>
        <w:t>incidence environnementale, sociale et économique du développement des infrastructures à l</w:t>
      </w:r>
      <w:r w:rsidR="00536C58" w:rsidRPr="00266D27">
        <w:rPr>
          <w:noProof/>
          <w:lang w:val="fr-FR"/>
        </w:rPr>
        <w:t>’</w:t>
      </w:r>
      <w:r w:rsidRPr="00266D27">
        <w:rPr>
          <w:noProof/>
          <w:lang w:val="fr-FR"/>
        </w:rPr>
        <w:t>échelle mondiale. L</w:t>
      </w:r>
      <w:r w:rsidR="00536C58" w:rsidRPr="00266D27">
        <w:rPr>
          <w:noProof/>
          <w:lang w:val="fr-FR"/>
        </w:rPr>
        <w:t>’</w:t>
      </w:r>
      <w:r w:rsidRPr="00266D27">
        <w:rPr>
          <w:noProof/>
          <w:lang w:val="fr-FR"/>
        </w:rPr>
        <w:t>évaluation s</w:t>
      </w:r>
      <w:r w:rsidR="00536C58" w:rsidRPr="00266D27">
        <w:rPr>
          <w:noProof/>
          <w:lang w:val="fr-FR"/>
        </w:rPr>
        <w:t>’</w:t>
      </w:r>
      <w:r w:rsidRPr="00266D27">
        <w:rPr>
          <w:noProof/>
          <w:lang w:val="fr-FR"/>
        </w:rPr>
        <w:t>achèvera en août 2021. Parallèlement, la méthode de l</w:t>
      </w:r>
      <w:r w:rsidR="00536C58" w:rsidRPr="00266D27">
        <w:rPr>
          <w:noProof/>
          <w:lang w:val="fr-FR"/>
        </w:rPr>
        <w:t>’</w:t>
      </w:r>
      <w:r w:rsidRPr="00266D27">
        <w:rPr>
          <w:noProof/>
          <w:lang w:val="fr-FR"/>
        </w:rPr>
        <w:t>évaluation est en passe d</w:t>
      </w:r>
      <w:r w:rsidR="00536C58" w:rsidRPr="00266D27">
        <w:rPr>
          <w:noProof/>
          <w:lang w:val="fr-FR"/>
        </w:rPr>
        <w:t>’</w:t>
      </w:r>
      <w:r w:rsidRPr="00266D27">
        <w:rPr>
          <w:noProof/>
          <w:lang w:val="fr-FR"/>
        </w:rPr>
        <w:t>être adaptée en vue de son application à l</w:t>
      </w:r>
      <w:r w:rsidR="00536C58" w:rsidRPr="00266D27">
        <w:rPr>
          <w:noProof/>
          <w:lang w:val="fr-FR"/>
        </w:rPr>
        <w:t>’</w:t>
      </w:r>
      <w:r w:rsidRPr="00266D27">
        <w:rPr>
          <w:noProof/>
          <w:lang w:val="fr-FR"/>
        </w:rPr>
        <w:t>échelle nationale et sera mise à l</w:t>
      </w:r>
      <w:r w:rsidR="00536C58" w:rsidRPr="00266D27">
        <w:rPr>
          <w:noProof/>
          <w:lang w:val="fr-FR"/>
        </w:rPr>
        <w:t>’</w:t>
      </w:r>
      <w:r w:rsidRPr="00266D27">
        <w:rPr>
          <w:noProof/>
          <w:lang w:val="fr-FR"/>
        </w:rPr>
        <w:t>essai en Mongolie durant la première moitié de</w:t>
      </w:r>
      <w:r w:rsidR="00F90D6F" w:rsidRPr="00266D27">
        <w:rPr>
          <w:noProof/>
          <w:lang w:val="fr-FR"/>
        </w:rPr>
        <w:t> </w:t>
      </w:r>
      <w:r w:rsidRPr="00266D27">
        <w:rPr>
          <w:noProof/>
          <w:lang w:val="fr-FR"/>
        </w:rPr>
        <w:t>2021, afin d</w:t>
      </w:r>
      <w:r w:rsidR="00536C58" w:rsidRPr="00266D27">
        <w:rPr>
          <w:noProof/>
          <w:lang w:val="fr-FR"/>
        </w:rPr>
        <w:t>’</w:t>
      </w:r>
      <w:r w:rsidRPr="00266D27">
        <w:rPr>
          <w:noProof/>
          <w:lang w:val="fr-FR"/>
        </w:rPr>
        <w:t xml:space="preserve">évaluer la durabilité du secteur des transports dans le pays. </w:t>
      </w:r>
    </w:p>
    <w:p w14:paraId="3D93D031" w14:textId="33A8E461" w:rsidR="00C83D89" w:rsidRPr="00266D27" w:rsidRDefault="00C83D89" w:rsidP="000968D3">
      <w:pPr>
        <w:pStyle w:val="Normalnumber"/>
        <w:rPr>
          <w:rFonts w:eastAsia="MS Mincho"/>
          <w:noProof/>
          <w:color w:val="000000" w:themeColor="text1"/>
          <w:lang w:val="fr-FR"/>
        </w:rPr>
      </w:pPr>
      <w:r w:rsidRPr="00266D27">
        <w:rPr>
          <w:noProof/>
          <w:lang w:val="fr-FR"/>
        </w:rPr>
        <w:t>Au Ghana, le PNUE collabore avec le Centre mondial pour l</w:t>
      </w:r>
      <w:r w:rsidR="00536C58" w:rsidRPr="00266D27">
        <w:rPr>
          <w:noProof/>
          <w:lang w:val="fr-FR"/>
        </w:rPr>
        <w:t>’</w:t>
      </w:r>
      <w:r w:rsidRPr="00266D27">
        <w:rPr>
          <w:noProof/>
          <w:lang w:val="fr-FR"/>
        </w:rPr>
        <w:t>adaptation, l</w:t>
      </w:r>
      <w:r w:rsidR="00536C58" w:rsidRPr="00266D27">
        <w:rPr>
          <w:noProof/>
          <w:lang w:val="fr-FR"/>
        </w:rPr>
        <w:t>’</w:t>
      </w:r>
      <w:r w:rsidRPr="00266D27">
        <w:rPr>
          <w:noProof/>
          <w:lang w:val="fr-FR"/>
        </w:rPr>
        <w:t>Université d</w:t>
      </w:r>
      <w:r w:rsidR="00536C58" w:rsidRPr="00266D27">
        <w:rPr>
          <w:noProof/>
          <w:lang w:val="fr-FR"/>
        </w:rPr>
        <w:t>’</w:t>
      </w:r>
      <w:r w:rsidRPr="00266D27">
        <w:rPr>
          <w:noProof/>
          <w:lang w:val="fr-FR"/>
        </w:rPr>
        <w:t>Oxford, le Bureau des Nations Unies pour les services d</w:t>
      </w:r>
      <w:r w:rsidR="00536C58" w:rsidRPr="00266D27">
        <w:rPr>
          <w:noProof/>
          <w:lang w:val="fr-FR"/>
        </w:rPr>
        <w:t>’</w:t>
      </w:r>
      <w:r w:rsidRPr="00266D27">
        <w:rPr>
          <w:noProof/>
          <w:lang w:val="fr-FR"/>
        </w:rPr>
        <w:t>appui aux projets et le Gouvernement ghanéen dans le</w:t>
      </w:r>
      <w:r w:rsidR="00F90D6F" w:rsidRPr="00266D27">
        <w:rPr>
          <w:noProof/>
          <w:lang w:val="fr-FR"/>
        </w:rPr>
        <w:t> </w:t>
      </w:r>
      <w:r w:rsidRPr="00266D27">
        <w:rPr>
          <w:noProof/>
          <w:lang w:val="fr-FR"/>
        </w:rPr>
        <w:t>cadre d</w:t>
      </w:r>
      <w:r w:rsidR="00536C58" w:rsidRPr="00266D27">
        <w:rPr>
          <w:noProof/>
          <w:lang w:val="fr-FR"/>
        </w:rPr>
        <w:t>’</w:t>
      </w:r>
      <w:r w:rsidRPr="00266D27">
        <w:rPr>
          <w:noProof/>
          <w:lang w:val="fr-FR"/>
        </w:rPr>
        <w:t>un projet de la Commission mondiale sur l</w:t>
      </w:r>
      <w:r w:rsidR="00536C58" w:rsidRPr="00266D27">
        <w:rPr>
          <w:noProof/>
          <w:lang w:val="fr-FR"/>
        </w:rPr>
        <w:t>’</w:t>
      </w:r>
      <w:r w:rsidRPr="00266D27">
        <w:rPr>
          <w:noProof/>
          <w:lang w:val="fr-FR"/>
        </w:rPr>
        <w:t>adaptation visant à mener une évaluation intégrée des environnements favorables, bâtis et naturels. L</w:t>
      </w:r>
      <w:r w:rsidR="00536C58" w:rsidRPr="00266D27">
        <w:rPr>
          <w:noProof/>
          <w:lang w:val="fr-FR"/>
        </w:rPr>
        <w:t>’</w:t>
      </w:r>
      <w:r w:rsidRPr="00266D27">
        <w:rPr>
          <w:noProof/>
          <w:lang w:val="fr-FR"/>
        </w:rPr>
        <w:t xml:space="preserve">évaluation viendra </w:t>
      </w:r>
      <w:r w:rsidR="003B58B9" w:rsidRPr="00266D27">
        <w:rPr>
          <w:noProof/>
          <w:lang w:val="fr-FR"/>
        </w:rPr>
        <w:t xml:space="preserve">étayer </w:t>
      </w:r>
      <w:r w:rsidRPr="00266D27">
        <w:rPr>
          <w:noProof/>
          <w:lang w:val="fr-FR"/>
        </w:rPr>
        <w:t>l</w:t>
      </w:r>
      <w:r w:rsidR="00536C58" w:rsidRPr="00266D27">
        <w:rPr>
          <w:noProof/>
          <w:lang w:val="fr-FR"/>
        </w:rPr>
        <w:t>’</w:t>
      </w:r>
      <w:r w:rsidRPr="00266D27">
        <w:rPr>
          <w:noProof/>
          <w:lang w:val="fr-FR"/>
        </w:rPr>
        <w:t>élaboration d</w:t>
      </w:r>
      <w:r w:rsidR="00536C58" w:rsidRPr="00266D27">
        <w:rPr>
          <w:noProof/>
          <w:lang w:val="fr-FR"/>
        </w:rPr>
        <w:t>’</w:t>
      </w:r>
      <w:r w:rsidRPr="00266D27">
        <w:rPr>
          <w:noProof/>
          <w:lang w:val="fr-FR"/>
        </w:rPr>
        <w:t>un plan national de renforcement de la résilience et de la durabilité des infrastructures dans les</w:t>
      </w:r>
      <w:r w:rsidR="00F90D6F" w:rsidRPr="00266D27">
        <w:rPr>
          <w:noProof/>
          <w:lang w:val="fr-FR"/>
        </w:rPr>
        <w:t> </w:t>
      </w:r>
      <w:r w:rsidRPr="00266D27">
        <w:rPr>
          <w:noProof/>
          <w:lang w:val="fr-FR"/>
        </w:rPr>
        <w:t>secteurs de l</w:t>
      </w:r>
      <w:r w:rsidR="00536C58" w:rsidRPr="00266D27">
        <w:rPr>
          <w:noProof/>
          <w:lang w:val="fr-FR"/>
        </w:rPr>
        <w:t>’</w:t>
      </w:r>
      <w:r w:rsidRPr="00266D27">
        <w:rPr>
          <w:noProof/>
          <w:lang w:val="fr-FR"/>
        </w:rPr>
        <w:t>eau, des transports et de l</w:t>
      </w:r>
      <w:r w:rsidR="00536C58" w:rsidRPr="00266D27">
        <w:rPr>
          <w:noProof/>
          <w:lang w:val="fr-FR"/>
        </w:rPr>
        <w:t>’</w:t>
      </w:r>
      <w:r w:rsidRPr="00266D27">
        <w:rPr>
          <w:noProof/>
          <w:lang w:val="fr-FR"/>
        </w:rPr>
        <w:t xml:space="preserve">énergie. Ce plan alimentera la révision des contributions </w:t>
      </w:r>
      <w:r w:rsidRPr="00266D27">
        <w:rPr>
          <w:noProof/>
          <w:lang w:val="fr-FR"/>
        </w:rPr>
        <w:lastRenderedPageBreak/>
        <w:t>déterminées au niveau national du Ghana au titre de l</w:t>
      </w:r>
      <w:r w:rsidR="00536C58" w:rsidRPr="00266D27">
        <w:rPr>
          <w:noProof/>
          <w:lang w:val="fr-FR"/>
        </w:rPr>
        <w:t>’</w:t>
      </w:r>
      <w:r w:rsidRPr="00266D27">
        <w:rPr>
          <w:noProof/>
          <w:lang w:val="fr-FR"/>
        </w:rPr>
        <w:t>Accord de Paris, ainsi que l</w:t>
      </w:r>
      <w:r w:rsidR="00536C58" w:rsidRPr="00266D27">
        <w:rPr>
          <w:noProof/>
          <w:lang w:val="fr-FR"/>
        </w:rPr>
        <w:t>’</w:t>
      </w:r>
      <w:r w:rsidRPr="00266D27">
        <w:rPr>
          <w:noProof/>
          <w:lang w:val="fr-FR"/>
        </w:rPr>
        <w:t>élaboration par le</w:t>
      </w:r>
      <w:r w:rsidR="00F90D6F" w:rsidRPr="00266D27">
        <w:rPr>
          <w:noProof/>
          <w:lang w:val="fr-FR"/>
        </w:rPr>
        <w:t> </w:t>
      </w:r>
      <w:r w:rsidRPr="00266D27">
        <w:rPr>
          <w:noProof/>
          <w:lang w:val="fr-FR"/>
        </w:rPr>
        <w:t>Ghana d</w:t>
      </w:r>
      <w:r w:rsidR="00536C58" w:rsidRPr="00266D27">
        <w:rPr>
          <w:noProof/>
          <w:lang w:val="fr-FR"/>
        </w:rPr>
        <w:t>’</w:t>
      </w:r>
      <w:r w:rsidRPr="00266D27">
        <w:rPr>
          <w:noProof/>
          <w:lang w:val="fr-FR"/>
        </w:rPr>
        <w:t>un plan d</w:t>
      </w:r>
      <w:r w:rsidR="00536C58" w:rsidRPr="00266D27">
        <w:rPr>
          <w:noProof/>
          <w:lang w:val="fr-FR"/>
        </w:rPr>
        <w:t>’</w:t>
      </w:r>
      <w:r w:rsidRPr="00266D27">
        <w:rPr>
          <w:noProof/>
          <w:lang w:val="fr-FR"/>
        </w:rPr>
        <w:t>action national pour l</w:t>
      </w:r>
      <w:r w:rsidR="00536C58" w:rsidRPr="00266D27">
        <w:rPr>
          <w:noProof/>
          <w:lang w:val="fr-FR"/>
        </w:rPr>
        <w:t>’</w:t>
      </w:r>
      <w:r w:rsidRPr="00266D27">
        <w:rPr>
          <w:noProof/>
          <w:lang w:val="fr-FR"/>
        </w:rPr>
        <w:t xml:space="preserve">adaptation face aux changements climatiques. </w:t>
      </w:r>
    </w:p>
    <w:p w14:paraId="6AA6AFA8" w14:textId="159E7AD1" w:rsidR="00C83D89" w:rsidRPr="00266D27" w:rsidRDefault="00C83D89" w:rsidP="000968D3">
      <w:pPr>
        <w:pStyle w:val="Normalnumber"/>
        <w:rPr>
          <w:rFonts w:eastAsia="MS Mincho"/>
          <w:noProof/>
          <w:color w:val="000000" w:themeColor="text1"/>
          <w:lang w:val="fr-FR"/>
        </w:rPr>
      </w:pPr>
      <w:r w:rsidRPr="00266D27">
        <w:rPr>
          <w:noProof/>
          <w:lang w:val="fr-FR"/>
        </w:rPr>
        <w:t>En collaboration avec des partenaires régionaux et grâce à l</w:t>
      </w:r>
      <w:r w:rsidR="00536C58" w:rsidRPr="00266D27">
        <w:rPr>
          <w:noProof/>
          <w:lang w:val="fr-FR"/>
        </w:rPr>
        <w:t>’</w:t>
      </w:r>
      <w:r w:rsidRPr="00266D27">
        <w:rPr>
          <w:noProof/>
          <w:lang w:val="fr-FR"/>
        </w:rPr>
        <w:t>appui financier accordé par le</w:t>
      </w:r>
      <w:r w:rsidR="00F90D6F" w:rsidRPr="00266D27">
        <w:rPr>
          <w:noProof/>
          <w:lang w:val="fr-FR"/>
        </w:rPr>
        <w:t> </w:t>
      </w:r>
      <w:r w:rsidRPr="00266D27">
        <w:rPr>
          <w:noProof/>
          <w:lang w:val="fr-FR"/>
        </w:rPr>
        <w:t xml:space="preserve">Gouvernement chinois, le PNUE a conçu trois ateliers </w:t>
      </w:r>
      <w:r w:rsidR="002A127D" w:rsidRPr="00266D27">
        <w:rPr>
          <w:noProof/>
          <w:lang w:val="fr-FR"/>
        </w:rPr>
        <w:t xml:space="preserve">régionaux </w:t>
      </w:r>
      <w:r w:rsidRPr="00266D27">
        <w:rPr>
          <w:noProof/>
          <w:lang w:val="fr-FR"/>
        </w:rPr>
        <w:t>de renforcement des capacités d</w:t>
      </w:r>
      <w:r w:rsidR="00536C58" w:rsidRPr="00266D27">
        <w:rPr>
          <w:noProof/>
          <w:lang w:val="fr-FR"/>
        </w:rPr>
        <w:t>’</w:t>
      </w:r>
      <w:r w:rsidRPr="00266D27">
        <w:rPr>
          <w:noProof/>
          <w:lang w:val="fr-FR"/>
        </w:rPr>
        <w:t>une</w:t>
      </w:r>
      <w:r w:rsidR="006D1A1D" w:rsidRPr="00266D27">
        <w:rPr>
          <w:noProof/>
          <w:lang w:val="fr-FR"/>
        </w:rPr>
        <w:t> </w:t>
      </w:r>
      <w:r w:rsidRPr="00266D27">
        <w:rPr>
          <w:noProof/>
          <w:lang w:val="fr-FR"/>
        </w:rPr>
        <w:t>durée d</w:t>
      </w:r>
      <w:r w:rsidR="005F381A" w:rsidRPr="00266D27">
        <w:rPr>
          <w:noProof/>
          <w:lang w:val="fr-FR"/>
        </w:rPr>
        <w:t xml:space="preserve">’une </w:t>
      </w:r>
      <w:r w:rsidRPr="00266D27">
        <w:rPr>
          <w:noProof/>
          <w:lang w:val="fr-FR"/>
        </w:rPr>
        <w:t>semaine à l</w:t>
      </w:r>
      <w:r w:rsidR="00536C58" w:rsidRPr="00266D27">
        <w:rPr>
          <w:noProof/>
          <w:lang w:val="fr-FR"/>
        </w:rPr>
        <w:t>’</w:t>
      </w:r>
      <w:r w:rsidRPr="00266D27">
        <w:rPr>
          <w:noProof/>
          <w:lang w:val="fr-FR"/>
        </w:rPr>
        <w:t>intention des décideurs en matière d</w:t>
      </w:r>
      <w:r w:rsidR="00536C58" w:rsidRPr="00266D27">
        <w:rPr>
          <w:noProof/>
          <w:lang w:val="fr-FR"/>
        </w:rPr>
        <w:t>’</w:t>
      </w:r>
      <w:r w:rsidRPr="00266D27">
        <w:rPr>
          <w:noProof/>
          <w:lang w:val="fr-FR"/>
        </w:rPr>
        <w:t>infrastructures durables. L</w:t>
      </w:r>
      <w:r w:rsidR="00536C58" w:rsidRPr="00266D27">
        <w:rPr>
          <w:noProof/>
          <w:lang w:val="fr-FR"/>
        </w:rPr>
        <w:t>’</w:t>
      </w:r>
      <w:r w:rsidRPr="00266D27">
        <w:rPr>
          <w:noProof/>
          <w:lang w:val="fr-FR"/>
        </w:rPr>
        <w:t>un</w:t>
      </w:r>
      <w:r w:rsidR="006D1A1D" w:rsidRPr="00266D27">
        <w:rPr>
          <w:noProof/>
          <w:lang w:val="fr-FR"/>
        </w:rPr>
        <w:t> </w:t>
      </w:r>
      <w:r w:rsidRPr="00266D27">
        <w:rPr>
          <w:noProof/>
          <w:lang w:val="fr-FR"/>
        </w:rPr>
        <w:t>des</w:t>
      </w:r>
      <w:r w:rsidR="006D1A1D" w:rsidRPr="00266D27">
        <w:rPr>
          <w:noProof/>
          <w:lang w:val="fr-FR"/>
        </w:rPr>
        <w:t> </w:t>
      </w:r>
      <w:r w:rsidRPr="00266D27">
        <w:rPr>
          <w:noProof/>
          <w:lang w:val="fr-FR"/>
        </w:rPr>
        <w:t>trois ateliers s</w:t>
      </w:r>
      <w:r w:rsidR="00536C58" w:rsidRPr="00266D27">
        <w:rPr>
          <w:noProof/>
          <w:lang w:val="fr-FR"/>
        </w:rPr>
        <w:t>’</w:t>
      </w:r>
      <w:r w:rsidR="00620BE8" w:rsidRPr="00266D27">
        <w:rPr>
          <w:noProof/>
          <w:lang w:val="fr-FR"/>
        </w:rPr>
        <w:t xml:space="preserve">est </w:t>
      </w:r>
      <w:r w:rsidRPr="00266D27">
        <w:rPr>
          <w:noProof/>
          <w:lang w:val="fr-FR"/>
        </w:rPr>
        <w:t>adress</w:t>
      </w:r>
      <w:r w:rsidR="00620BE8" w:rsidRPr="00266D27">
        <w:rPr>
          <w:noProof/>
          <w:lang w:val="fr-FR"/>
        </w:rPr>
        <w:t>é</w:t>
      </w:r>
      <w:r w:rsidRPr="00266D27">
        <w:rPr>
          <w:noProof/>
          <w:lang w:val="fr-FR"/>
        </w:rPr>
        <w:t xml:space="preserve"> aux décideurs des pays d</w:t>
      </w:r>
      <w:r w:rsidR="00536C58" w:rsidRPr="00266D27">
        <w:rPr>
          <w:noProof/>
          <w:lang w:val="fr-FR"/>
        </w:rPr>
        <w:t>’</w:t>
      </w:r>
      <w:r w:rsidRPr="00266D27">
        <w:rPr>
          <w:noProof/>
          <w:lang w:val="fr-FR"/>
        </w:rPr>
        <w:t>Asie centrale, tandis que les deux autres, qui visaient, respectivement, l</w:t>
      </w:r>
      <w:r w:rsidR="00536C58" w:rsidRPr="00266D27">
        <w:rPr>
          <w:noProof/>
          <w:lang w:val="fr-FR"/>
        </w:rPr>
        <w:t>’</w:t>
      </w:r>
      <w:r w:rsidRPr="00266D27">
        <w:rPr>
          <w:noProof/>
          <w:lang w:val="fr-FR"/>
        </w:rPr>
        <w:t>Asie du Sud-Est et l</w:t>
      </w:r>
      <w:r w:rsidR="00536C58" w:rsidRPr="00266D27">
        <w:rPr>
          <w:noProof/>
          <w:lang w:val="fr-FR"/>
        </w:rPr>
        <w:t>’</w:t>
      </w:r>
      <w:r w:rsidRPr="00266D27">
        <w:rPr>
          <w:noProof/>
          <w:lang w:val="fr-FR"/>
        </w:rPr>
        <w:t>Afrique et devaient se tenir en février et octobre</w:t>
      </w:r>
      <w:r w:rsidR="00F90D6F" w:rsidRPr="00266D27">
        <w:rPr>
          <w:noProof/>
          <w:lang w:val="fr-FR"/>
        </w:rPr>
        <w:t> </w:t>
      </w:r>
      <w:r w:rsidRPr="00266D27">
        <w:rPr>
          <w:noProof/>
          <w:lang w:val="fr-FR"/>
        </w:rPr>
        <w:t>2020, ont été mis en suspens jusqu</w:t>
      </w:r>
      <w:r w:rsidR="00536C58" w:rsidRPr="00266D27">
        <w:rPr>
          <w:noProof/>
          <w:lang w:val="fr-FR"/>
        </w:rPr>
        <w:t>’</w:t>
      </w:r>
      <w:r w:rsidRPr="00266D27">
        <w:rPr>
          <w:noProof/>
          <w:lang w:val="fr-FR"/>
        </w:rPr>
        <w:t>en 2021 en raison des restrictions liées à la pandémie de COVID-19. En collaboration avec l</w:t>
      </w:r>
      <w:r w:rsidR="00536C58" w:rsidRPr="00266D27">
        <w:rPr>
          <w:noProof/>
          <w:lang w:val="fr-FR"/>
        </w:rPr>
        <w:t>’</w:t>
      </w:r>
      <w:r w:rsidRPr="00266D27">
        <w:rPr>
          <w:noProof/>
          <w:lang w:val="fr-FR"/>
        </w:rPr>
        <w:t>Université Duke, le PNUE dirige l</w:t>
      </w:r>
      <w:r w:rsidR="00536C58" w:rsidRPr="00266D27">
        <w:rPr>
          <w:noProof/>
          <w:lang w:val="fr-FR"/>
        </w:rPr>
        <w:t>’</w:t>
      </w:r>
      <w:r w:rsidRPr="00266D27">
        <w:rPr>
          <w:noProof/>
          <w:lang w:val="fr-FR"/>
        </w:rPr>
        <w:t>élaboration d</w:t>
      </w:r>
      <w:r w:rsidR="00536C58" w:rsidRPr="00266D27">
        <w:rPr>
          <w:noProof/>
          <w:lang w:val="fr-FR"/>
        </w:rPr>
        <w:t>’</w:t>
      </w:r>
      <w:r w:rsidRPr="00266D27">
        <w:rPr>
          <w:noProof/>
          <w:lang w:val="fr-FR"/>
        </w:rPr>
        <w:t>une communauté apprenante en matière d</w:t>
      </w:r>
      <w:r w:rsidR="00536C58" w:rsidRPr="00266D27">
        <w:rPr>
          <w:noProof/>
          <w:lang w:val="fr-FR"/>
        </w:rPr>
        <w:t>’</w:t>
      </w:r>
      <w:r w:rsidRPr="00266D27">
        <w:rPr>
          <w:noProof/>
          <w:lang w:val="fr-FR"/>
        </w:rPr>
        <w:t>infrastructures durables, laquelle réunit à ce jour 20 autres organisations, afin</w:t>
      </w:r>
      <w:r w:rsidR="00BA3031" w:rsidRPr="00266D27">
        <w:rPr>
          <w:noProof/>
          <w:lang w:val="fr-FR"/>
        </w:rPr>
        <w:t> </w:t>
      </w:r>
      <w:r w:rsidRPr="00266D27">
        <w:rPr>
          <w:noProof/>
          <w:lang w:val="fr-FR"/>
        </w:rPr>
        <w:t>d</w:t>
      </w:r>
      <w:r w:rsidR="00536C58" w:rsidRPr="00266D27">
        <w:rPr>
          <w:noProof/>
          <w:lang w:val="fr-FR"/>
        </w:rPr>
        <w:t>’</w:t>
      </w:r>
      <w:r w:rsidRPr="00266D27">
        <w:rPr>
          <w:noProof/>
          <w:lang w:val="fr-FR"/>
        </w:rPr>
        <w:t>institutionnaliser et de mieux coordonner les efforts de renforcement des capacités.</w:t>
      </w:r>
    </w:p>
    <w:p w14:paraId="17ADA14A" w14:textId="0FC851B9" w:rsidR="00C83D89" w:rsidRPr="00266D27" w:rsidRDefault="00730626" w:rsidP="00730626">
      <w:pPr>
        <w:pStyle w:val="CH1"/>
        <w:rPr>
          <w:noProof/>
          <w:lang w:val="fr-FR"/>
        </w:rPr>
      </w:pPr>
      <w:r w:rsidRPr="00266D27">
        <w:rPr>
          <w:noProof/>
          <w:lang w:val="fr-FR"/>
        </w:rPr>
        <w:tab/>
      </w:r>
      <w:r w:rsidR="002A50DE" w:rsidRPr="00266D27">
        <w:rPr>
          <w:noProof/>
          <w:lang w:val="fr-FR"/>
        </w:rPr>
        <w:t>II.</w:t>
      </w:r>
      <w:r w:rsidR="002A50DE" w:rsidRPr="00266D27">
        <w:rPr>
          <w:noProof/>
          <w:lang w:val="fr-FR"/>
        </w:rPr>
        <w:tab/>
        <w:t>Enseignements tirés</w:t>
      </w:r>
    </w:p>
    <w:p w14:paraId="7B1164E1" w14:textId="7B6FA973" w:rsidR="00C83D89" w:rsidRPr="00266D27" w:rsidRDefault="00C83D89" w:rsidP="000968D3">
      <w:pPr>
        <w:pStyle w:val="Normalnumber"/>
        <w:rPr>
          <w:rFonts w:eastAsia="MS Mincho"/>
          <w:noProof/>
          <w:color w:val="000000" w:themeColor="text1"/>
          <w:lang w:val="fr-FR"/>
        </w:rPr>
      </w:pPr>
      <w:r w:rsidRPr="00266D27">
        <w:rPr>
          <w:noProof/>
          <w:lang w:val="fr-FR"/>
        </w:rPr>
        <w:t>Les vastes consultations relatives au Cadre d</w:t>
      </w:r>
      <w:r w:rsidR="00536C58" w:rsidRPr="00266D27">
        <w:rPr>
          <w:noProof/>
          <w:lang w:val="fr-FR"/>
        </w:rPr>
        <w:t>’</w:t>
      </w:r>
      <w:r w:rsidRPr="00266D27">
        <w:rPr>
          <w:noProof/>
          <w:lang w:val="fr-FR"/>
        </w:rPr>
        <w:t>orientation sur les bonnes pratiques en matière d</w:t>
      </w:r>
      <w:r w:rsidR="00536C58" w:rsidRPr="00266D27">
        <w:rPr>
          <w:noProof/>
          <w:lang w:val="fr-FR"/>
        </w:rPr>
        <w:t>’</w:t>
      </w:r>
      <w:r w:rsidRPr="00266D27">
        <w:rPr>
          <w:noProof/>
          <w:lang w:val="fr-FR"/>
        </w:rPr>
        <w:t>infrastructures durables mentionnées au paragraphe</w:t>
      </w:r>
      <w:r w:rsidR="00F85A5A" w:rsidRPr="00266D27">
        <w:rPr>
          <w:noProof/>
          <w:lang w:val="fr-FR"/>
        </w:rPr>
        <w:t> </w:t>
      </w:r>
      <w:r w:rsidRPr="00266D27">
        <w:rPr>
          <w:noProof/>
          <w:lang w:val="fr-FR"/>
        </w:rPr>
        <w:t>10 ci-dessus ont permis de tirer un certain nombre d</w:t>
      </w:r>
      <w:r w:rsidR="00536C58" w:rsidRPr="00266D27">
        <w:rPr>
          <w:noProof/>
          <w:lang w:val="fr-FR"/>
        </w:rPr>
        <w:t>’</w:t>
      </w:r>
      <w:r w:rsidRPr="00266D27">
        <w:rPr>
          <w:noProof/>
          <w:lang w:val="fr-FR"/>
        </w:rPr>
        <w:t xml:space="preserve">enseignements </w:t>
      </w:r>
      <w:r w:rsidR="00620BE8" w:rsidRPr="00266D27">
        <w:rPr>
          <w:noProof/>
          <w:lang w:val="fr-FR"/>
        </w:rPr>
        <w:t>en matière</w:t>
      </w:r>
      <w:r w:rsidRPr="00266D27">
        <w:rPr>
          <w:noProof/>
          <w:lang w:val="fr-FR"/>
        </w:rPr>
        <w:t xml:space="preserve"> </w:t>
      </w:r>
      <w:r w:rsidR="00620BE8" w:rsidRPr="00266D27">
        <w:rPr>
          <w:noProof/>
          <w:lang w:val="fr-FR"/>
        </w:rPr>
        <w:t>d’</w:t>
      </w:r>
      <w:r w:rsidRPr="00266D27">
        <w:rPr>
          <w:noProof/>
          <w:lang w:val="fr-FR"/>
        </w:rPr>
        <w:t>infrastructures durables, notamment les suivants</w:t>
      </w:r>
      <w:r w:rsidR="00536C58" w:rsidRPr="00266D27">
        <w:rPr>
          <w:noProof/>
          <w:lang w:val="fr-FR"/>
        </w:rPr>
        <w:t> :</w:t>
      </w:r>
      <w:r w:rsidRPr="00266D27">
        <w:rPr>
          <w:noProof/>
          <w:lang w:val="fr-FR"/>
        </w:rPr>
        <w:t xml:space="preserve"> </w:t>
      </w:r>
    </w:p>
    <w:p w14:paraId="6557F323" w14:textId="43FAA6AC" w:rsidR="00C83D89" w:rsidRPr="00266D27" w:rsidRDefault="00C83D89" w:rsidP="000968D3">
      <w:pPr>
        <w:pStyle w:val="Normalnumber"/>
        <w:numPr>
          <w:ilvl w:val="1"/>
          <w:numId w:val="4"/>
        </w:numPr>
        <w:rPr>
          <w:noProof/>
          <w:lang w:val="fr-FR"/>
        </w:rPr>
      </w:pPr>
      <w:r w:rsidRPr="00266D27">
        <w:rPr>
          <w:noProof/>
          <w:lang w:val="fr-FR"/>
        </w:rPr>
        <w:t xml:space="preserve">Le développement des infrastructures </w:t>
      </w:r>
      <w:r w:rsidR="007E7778" w:rsidRPr="00266D27">
        <w:rPr>
          <w:noProof/>
          <w:lang w:val="fr-FR"/>
        </w:rPr>
        <w:t>selon</w:t>
      </w:r>
      <w:r w:rsidRPr="00266D27">
        <w:rPr>
          <w:noProof/>
          <w:lang w:val="fr-FR"/>
        </w:rPr>
        <w:t xml:space="preserve"> une approche </w:t>
      </w:r>
      <w:r w:rsidR="007E7778" w:rsidRPr="00266D27">
        <w:rPr>
          <w:noProof/>
          <w:lang w:val="fr-FR"/>
        </w:rPr>
        <w:t>se cantonnant dans l</w:t>
      </w:r>
      <w:r w:rsidRPr="00266D27">
        <w:rPr>
          <w:noProof/>
          <w:lang w:val="fr-FR"/>
        </w:rPr>
        <w:t>e statu quo n</w:t>
      </w:r>
      <w:r w:rsidR="00536C58" w:rsidRPr="00266D27">
        <w:rPr>
          <w:noProof/>
          <w:lang w:val="fr-FR"/>
        </w:rPr>
        <w:t>’</w:t>
      </w:r>
      <w:r w:rsidRPr="00266D27">
        <w:rPr>
          <w:noProof/>
          <w:lang w:val="fr-FR"/>
        </w:rPr>
        <w:t>a pas permis la mise en place d</w:t>
      </w:r>
      <w:r w:rsidR="00536C58" w:rsidRPr="00266D27">
        <w:rPr>
          <w:noProof/>
          <w:lang w:val="fr-FR"/>
        </w:rPr>
        <w:t>’</w:t>
      </w:r>
      <w:r w:rsidRPr="00266D27">
        <w:rPr>
          <w:noProof/>
          <w:lang w:val="fr-FR"/>
        </w:rPr>
        <w:t>infrastructures durables à l</w:t>
      </w:r>
      <w:r w:rsidR="00536C58" w:rsidRPr="00266D27">
        <w:rPr>
          <w:noProof/>
          <w:lang w:val="fr-FR"/>
        </w:rPr>
        <w:t>’</w:t>
      </w:r>
      <w:r w:rsidRPr="00266D27">
        <w:rPr>
          <w:noProof/>
          <w:lang w:val="fr-FR"/>
        </w:rPr>
        <w:t>échelle requise pour atteindre les</w:t>
      </w:r>
      <w:r w:rsidR="00F90D6F" w:rsidRPr="00266D27">
        <w:rPr>
          <w:noProof/>
          <w:lang w:val="fr-FR"/>
        </w:rPr>
        <w:t> </w:t>
      </w:r>
      <w:r w:rsidRPr="00266D27">
        <w:rPr>
          <w:noProof/>
          <w:lang w:val="fr-FR"/>
        </w:rPr>
        <w:t>objectifs de développement durable. La durabilité est souvent prise en compte trop tard dans les</w:t>
      </w:r>
      <w:r w:rsidR="00F90D6F" w:rsidRPr="00266D27">
        <w:rPr>
          <w:noProof/>
          <w:lang w:val="fr-FR"/>
        </w:rPr>
        <w:t> </w:t>
      </w:r>
      <w:r w:rsidRPr="00266D27">
        <w:rPr>
          <w:noProof/>
          <w:lang w:val="fr-FR"/>
        </w:rPr>
        <w:t xml:space="preserve">projets, de manière superficielle et </w:t>
      </w:r>
      <w:r w:rsidR="007E7778" w:rsidRPr="00266D27">
        <w:rPr>
          <w:noProof/>
          <w:lang w:val="fr-FR"/>
        </w:rPr>
        <w:t>suivant</w:t>
      </w:r>
      <w:r w:rsidRPr="00266D27">
        <w:rPr>
          <w:noProof/>
          <w:lang w:val="fr-FR"/>
        </w:rPr>
        <w:t xml:space="preserve"> une approche au cas par cas. En guise de solution de remplacement, les approches mieux intégrées qui tiennent compte de tous les aspects de la durabilité aussi tôt que possible dans le cycle de vie des infrastructures, de façon à prendre en compte les liens existant entre différents systèmes d</w:t>
      </w:r>
      <w:r w:rsidR="00536C58" w:rsidRPr="00266D27">
        <w:rPr>
          <w:noProof/>
          <w:lang w:val="fr-FR"/>
        </w:rPr>
        <w:t>’</w:t>
      </w:r>
      <w:r w:rsidRPr="00266D27">
        <w:rPr>
          <w:noProof/>
          <w:lang w:val="fr-FR"/>
        </w:rPr>
        <w:t>infrastructures, y compris le milieu naturel, peuvent contribuer à l</w:t>
      </w:r>
      <w:r w:rsidR="00536C58" w:rsidRPr="00266D27">
        <w:rPr>
          <w:noProof/>
          <w:lang w:val="fr-FR"/>
        </w:rPr>
        <w:t>’</w:t>
      </w:r>
      <w:r w:rsidRPr="00266D27">
        <w:rPr>
          <w:noProof/>
          <w:lang w:val="fr-FR"/>
        </w:rPr>
        <w:t>obtention de résultats plus durables et efficaces. Lorsque les infrastructures sont jaugées en tant que « système de systèmes », il est possible d</w:t>
      </w:r>
      <w:r w:rsidR="00536C58" w:rsidRPr="00266D27">
        <w:rPr>
          <w:noProof/>
          <w:lang w:val="fr-FR"/>
        </w:rPr>
        <w:t>’</w:t>
      </w:r>
      <w:r w:rsidRPr="00266D27">
        <w:rPr>
          <w:noProof/>
          <w:lang w:val="fr-FR"/>
        </w:rPr>
        <w:t xml:space="preserve">équilibrer les compromis et les synergies entre différents projets et secteurs pour répartir plus efficacement les investissements dans les infrastructures, afin de fournir </w:t>
      </w:r>
      <w:r w:rsidR="00546844" w:rsidRPr="00266D27">
        <w:rPr>
          <w:noProof/>
          <w:lang w:val="fr-FR"/>
        </w:rPr>
        <w:t>l</w:t>
      </w:r>
      <w:r w:rsidRPr="00266D27">
        <w:rPr>
          <w:noProof/>
          <w:lang w:val="fr-FR"/>
        </w:rPr>
        <w:t xml:space="preserve">es services </w:t>
      </w:r>
      <w:r w:rsidR="00546844" w:rsidRPr="00266D27">
        <w:rPr>
          <w:noProof/>
          <w:lang w:val="fr-FR"/>
        </w:rPr>
        <w:t xml:space="preserve">attendus </w:t>
      </w:r>
      <w:r w:rsidRPr="00266D27">
        <w:rPr>
          <w:noProof/>
          <w:lang w:val="fr-FR"/>
        </w:rPr>
        <w:t>et d</w:t>
      </w:r>
      <w:r w:rsidR="00536C58" w:rsidRPr="00266D27">
        <w:rPr>
          <w:noProof/>
          <w:lang w:val="fr-FR"/>
        </w:rPr>
        <w:t>’</w:t>
      </w:r>
      <w:r w:rsidRPr="00266D27">
        <w:rPr>
          <w:noProof/>
          <w:lang w:val="fr-FR"/>
        </w:rPr>
        <w:t xml:space="preserve">atteindre </w:t>
      </w:r>
      <w:r w:rsidR="00620BE8" w:rsidRPr="00266D27">
        <w:rPr>
          <w:noProof/>
          <w:lang w:val="fr-FR"/>
        </w:rPr>
        <w:t>l</w:t>
      </w:r>
      <w:r w:rsidRPr="00266D27">
        <w:rPr>
          <w:noProof/>
          <w:lang w:val="fr-FR"/>
        </w:rPr>
        <w:t>es objectifs nationaux de développement durable. Il</w:t>
      </w:r>
      <w:r w:rsidR="00F90D6F" w:rsidRPr="00266D27">
        <w:rPr>
          <w:noProof/>
          <w:lang w:val="fr-FR"/>
        </w:rPr>
        <w:t> </w:t>
      </w:r>
      <w:r w:rsidRPr="00266D27">
        <w:rPr>
          <w:noProof/>
          <w:lang w:val="fr-FR"/>
        </w:rPr>
        <w:t>est</w:t>
      </w:r>
      <w:r w:rsidR="00F90D6F" w:rsidRPr="00266D27">
        <w:rPr>
          <w:noProof/>
          <w:lang w:val="fr-FR"/>
        </w:rPr>
        <w:t> </w:t>
      </w:r>
      <w:r w:rsidRPr="00266D27">
        <w:rPr>
          <w:noProof/>
          <w:lang w:val="fr-FR"/>
        </w:rPr>
        <w:t>possible de recenser et de pallier les risques plut tôt dans la procédure de planification, ce qui se</w:t>
      </w:r>
      <w:r w:rsidR="00F90D6F" w:rsidRPr="00266D27">
        <w:rPr>
          <w:noProof/>
          <w:lang w:val="fr-FR"/>
        </w:rPr>
        <w:t> </w:t>
      </w:r>
      <w:r w:rsidRPr="00266D27">
        <w:rPr>
          <w:noProof/>
          <w:lang w:val="fr-FR"/>
        </w:rPr>
        <w:t>traduit par des projets plus durables et conformes aux besoins et aux attentes des utilisateurs</w:t>
      </w:r>
      <w:r w:rsidR="00F90D6F" w:rsidRPr="00266D27">
        <w:rPr>
          <w:noProof/>
          <w:lang w:val="fr-FR"/>
        </w:rPr>
        <w:t> ;</w:t>
      </w:r>
    </w:p>
    <w:p w14:paraId="7A177907" w14:textId="0A6FC520" w:rsidR="00C83D89" w:rsidRPr="00266D27" w:rsidRDefault="00C83D89" w:rsidP="000968D3">
      <w:pPr>
        <w:pStyle w:val="Normalnumber"/>
        <w:numPr>
          <w:ilvl w:val="1"/>
          <w:numId w:val="4"/>
        </w:numPr>
        <w:rPr>
          <w:noProof/>
          <w:lang w:val="fr-FR"/>
        </w:rPr>
      </w:pPr>
      <w:r w:rsidRPr="00266D27">
        <w:rPr>
          <w:noProof/>
          <w:lang w:val="fr-FR"/>
        </w:rPr>
        <w:t>Il y a un manque de coordination parmi les principaux acteurs aux niveaux international et national. Il s</w:t>
      </w:r>
      <w:r w:rsidR="00536C58" w:rsidRPr="00266D27">
        <w:rPr>
          <w:noProof/>
          <w:lang w:val="fr-FR"/>
        </w:rPr>
        <w:t>’</w:t>
      </w:r>
      <w:r w:rsidRPr="00266D27">
        <w:rPr>
          <w:noProof/>
          <w:lang w:val="fr-FR"/>
        </w:rPr>
        <w:t>agit, au niveau international, des partenaires de développement qui travaillent sur la</w:t>
      </w:r>
      <w:r w:rsidR="00F90D6F" w:rsidRPr="00266D27">
        <w:rPr>
          <w:noProof/>
          <w:lang w:val="fr-FR"/>
        </w:rPr>
        <w:t> </w:t>
      </w:r>
      <w:r w:rsidRPr="00266D27">
        <w:rPr>
          <w:noProof/>
          <w:lang w:val="fr-FR"/>
        </w:rPr>
        <w:t xml:space="preserve">question des infrastructures durables, tels que les </w:t>
      </w:r>
      <w:r w:rsidR="002C1D9E" w:rsidRPr="00266D27">
        <w:rPr>
          <w:noProof/>
          <w:lang w:val="fr-FR"/>
        </w:rPr>
        <w:t>organismes d</w:t>
      </w:r>
      <w:r w:rsidRPr="00266D27">
        <w:rPr>
          <w:noProof/>
          <w:lang w:val="fr-FR"/>
        </w:rPr>
        <w:t>es Nations Unies, le Groupe des</w:t>
      </w:r>
      <w:r w:rsidR="00F90D6F" w:rsidRPr="00266D27">
        <w:rPr>
          <w:noProof/>
          <w:lang w:val="fr-FR"/>
        </w:rPr>
        <w:t> </w:t>
      </w:r>
      <w:r w:rsidRPr="00266D27">
        <w:rPr>
          <w:noProof/>
          <w:lang w:val="fr-FR"/>
        </w:rPr>
        <w:t>Vingt et les banques multilatérales de développement. Au niveau national, les difficultés concernent la coopération interministérielle et la gouvernance à plusieurs niveaux. À</w:t>
      </w:r>
      <w:r w:rsidR="00F90D6F" w:rsidRPr="00266D27">
        <w:rPr>
          <w:noProof/>
          <w:lang w:val="fr-FR"/>
        </w:rPr>
        <w:t> </w:t>
      </w:r>
      <w:r w:rsidRPr="00266D27">
        <w:rPr>
          <w:noProof/>
          <w:lang w:val="fr-FR"/>
        </w:rPr>
        <w:t>ces</w:t>
      </w:r>
      <w:r w:rsidR="00F90D6F" w:rsidRPr="00266D27">
        <w:rPr>
          <w:noProof/>
          <w:lang w:val="fr-FR"/>
        </w:rPr>
        <w:t> </w:t>
      </w:r>
      <w:r w:rsidRPr="00266D27">
        <w:rPr>
          <w:noProof/>
          <w:lang w:val="fr-FR"/>
        </w:rPr>
        <w:t>deux</w:t>
      </w:r>
      <w:r w:rsidR="00F90D6F" w:rsidRPr="00266D27">
        <w:rPr>
          <w:noProof/>
          <w:lang w:val="fr-FR"/>
        </w:rPr>
        <w:t> </w:t>
      </w:r>
      <w:r w:rsidRPr="00266D27">
        <w:rPr>
          <w:noProof/>
          <w:lang w:val="fr-FR"/>
        </w:rPr>
        <w:t>niveaux, la création conjointe avec les acteurs du secteur privé est également essentielle. Les acteurs internationaux, les gouvernements et les administrations locales doivent mettre en place des environnements institutionnels, politiques et réglementaires qui permettent la planification et la</w:t>
      </w:r>
      <w:r w:rsidR="00F90D6F" w:rsidRPr="00266D27">
        <w:rPr>
          <w:noProof/>
          <w:lang w:val="fr-FR"/>
        </w:rPr>
        <w:t> </w:t>
      </w:r>
      <w:r w:rsidRPr="00266D27">
        <w:rPr>
          <w:noProof/>
          <w:lang w:val="fr-FR"/>
        </w:rPr>
        <w:t>construction coordonnées et intégrées d</w:t>
      </w:r>
      <w:r w:rsidR="00536C58" w:rsidRPr="00266D27">
        <w:rPr>
          <w:noProof/>
          <w:lang w:val="fr-FR"/>
        </w:rPr>
        <w:t>’</w:t>
      </w:r>
      <w:r w:rsidRPr="00266D27">
        <w:rPr>
          <w:noProof/>
          <w:lang w:val="fr-FR"/>
        </w:rPr>
        <w:t>infrastructures durables</w:t>
      </w:r>
      <w:r w:rsidR="00F90D6F" w:rsidRPr="00266D27">
        <w:rPr>
          <w:noProof/>
          <w:lang w:val="fr-FR"/>
        </w:rPr>
        <w:t> ;</w:t>
      </w:r>
    </w:p>
    <w:p w14:paraId="718AF049" w14:textId="01CA4A22" w:rsidR="00C83D89" w:rsidRPr="00266D27" w:rsidRDefault="00C83D89" w:rsidP="000968D3">
      <w:pPr>
        <w:pStyle w:val="Normalnumber"/>
        <w:numPr>
          <w:ilvl w:val="1"/>
          <w:numId w:val="4"/>
        </w:numPr>
        <w:rPr>
          <w:noProof/>
          <w:lang w:val="fr-FR"/>
        </w:rPr>
      </w:pPr>
      <w:r w:rsidRPr="00266D27">
        <w:rPr>
          <w:noProof/>
          <w:lang w:val="fr-FR"/>
        </w:rPr>
        <w:t>Les investissements dans les infrastructures doivent faire face à de nombreuses crises, y</w:t>
      </w:r>
      <w:r w:rsidR="00F90D6F" w:rsidRPr="00266D27">
        <w:rPr>
          <w:noProof/>
          <w:lang w:val="fr-FR"/>
        </w:rPr>
        <w:t> </w:t>
      </w:r>
      <w:r w:rsidRPr="00266D27">
        <w:rPr>
          <w:noProof/>
          <w:lang w:val="fr-FR"/>
        </w:rPr>
        <w:t>compris les changements climatiques</w:t>
      </w:r>
      <w:r w:rsidR="008A5B55" w:rsidRPr="00266D27">
        <w:rPr>
          <w:noProof/>
          <w:lang w:val="fr-FR"/>
        </w:rPr>
        <w:t xml:space="preserve"> (s’agissant</w:t>
      </w:r>
      <w:r w:rsidRPr="00266D27">
        <w:rPr>
          <w:noProof/>
          <w:lang w:val="fr-FR"/>
        </w:rPr>
        <w:t xml:space="preserve"> d</w:t>
      </w:r>
      <w:r w:rsidR="00536C58" w:rsidRPr="00266D27">
        <w:rPr>
          <w:noProof/>
          <w:lang w:val="fr-FR"/>
        </w:rPr>
        <w:t>’</w:t>
      </w:r>
      <w:r w:rsidRPr="00266D27">
        <w:rPr>
          <w:noProof/>
          <w:lang w:val="fr-FR"/>
        </w:rPr>
        <w:t xml:space="preserve">atténuation </w:t>
      </w:r>
      <w:r w:rsidR="008A5B55" w:rsidRPr="00266D27">
        <w:rPr>
          <w:noProof/>
          <w:lang w:val="fr-FR"/>
        </w:rPr>
        <w:t xml:space="preserve">et </w:t>
      </w:r>
      <w:r w:rsidRPr="00266D27">
        <w:rPr>
          <w:noProof/>
          <w:lang w:val="fr-FR"/>
        </w:rPr>
        <w:t>d</w:t>
      </w:r>
      <w:r w:rsidR="00536C58" w:rsidRPr="00266D27">
        <w:rPr>
          <w:noProof/>
          <w:lang w:val="fr-FR"/>
        </w:rPr>
        <w:t>’</w:t>
      </w:r>
      <w:r w:rsidRPr="00266D27">
        <w:rPr>
          <w:noProof/>
          <w:lang w:val="fr-FR"/>
        </w:rPr>
        <w:t>adaptation</w:t>
      </w:r>
      <w:r w:rsidR="008A5B55" w:rsidRPr="00266D27">
        <w:rPr>
          <w:noProof/>
          <w:lang w:val="fr-FR"/>
        </w:rPr>
        <w:t>)</w:t>
      </w:r>
      <w:r w:rsidRPr="00266D27">
        <w:rPr>
          <w:noProof/>
          <w:lang w:val="fr-FR"/>
        </w:rPr>
        <w:t>, la surexploitation des ressources, la perte de biodiversité et la pollution.</w:t>
      </w:r>
      <w:r w:rsidR="00536C58" w:rsidRPr="00266D27">
        <w:rPr>
          <w:noProof/>
          <w:lang w:val="fr-FR"/>
        </w:rPr>
        <w:t xml:space="preserve"> </w:t>
      </w:r>
      <w:r w:rsidRPr="00266D27">
        <w:rPr>
          <w:noProof/>
          <w:lang w:val="fr-FR"/>
        </w:rPr>
        <w:t>Les solutions fondées sur la nature et les</w:t>
      </w:r>
      <w:r w:rsidR="00F90D6F" w:rsidRPr="00266D27">
        <w:rPr>
          <w:noProof/>
          <w:lang w:val="fr-FR"/>
        </w:rPr>
        <w:t> </w:t>
      </w:r>
      <w:r w:rsidRPr="00266D27">
        <w:rPr>
          <w:noProof/>
          <w:lang w:val="fr-FR"/>
        </w:rPr>
        <w:t>investissements dans les infrastructures naturelles jouent un rôle crucial pour relier ces questions</w:t>
      </w:r>
      <w:r w:rsidR="00F90D6F" w:rsidRPr="00266D27">
        <w:rPr>
          <w:noProof/>
          <w:lang w:val="fr-FR"/>
        </w:rPr>
        <w:t> ;</w:t>
      </w:r>
    </w:p>
    <w:p w14:paraId="7A310C57" w14:textId="72F674F7" w:rsidR="00C83D89" w:rsidRPr="00266D27" w:rsidRDefault="0095099F" w:rsidP="000968D3">
      <w:pPr>
        <w:pStyle w:val="Normalnumber"/>
        <w:numPr>
          <w:ilvl w:val="1"/>
          <w:numId w:val="4"/>
        </w:numPr>
        <w:rPr>
          <w:noProof/>
          <w:lang w:val="fr-FR"/>
        </w:rPr>
      </w:pPr>
      <w:r w:rsidRPr="00266D27">
        <w:rPr>
          <w:noProof/>
          <w:lang w:val="fr-FR"/>
        </w:rPr>
        <w:t>Aujourd’hui, d</w:t>
      </w:r>
      <w:r w:rsidR="00C83D89" w:rsidRPr="00266D27">
        <w:rPr>
          <w:noProof/>
          <w:lang w:val="fr-FR"/>
        </w:rPr>
        <w:t>ans la plupart des cas, le manque de directives et d</w:t>
      </w:r>
      <w:r w:rsidR="00536C58" w:rsidRPr="00266D27">
        <w:rPr>
          <w:noProof/>
          <w:lang w:val="fr-FR"/>
        </w:rPr>
        <w:t>’</w:t>
      </w:r>
      <w:r w:rsidR="00C83D89" w:rsidRPr="00266D27">
        <w:rPr>
          <w:noProof/>
          <w:lang w:val="fr-FR"/>
        </w:rPr>
        <w:t>outils n</w:t>
      </w:r>
      <w:r w:rsidR="00536C58" w:rsidRPr="00266D27">
        <w:rPr>
          <w:noProof/>
          <w:lang w:val="fr-FR"/>
        </w:rPr>
        <w:t>’</w:t>
      </w:r>
      <w:r w:rsidR="00C83D89" w:rsidRPr="00266D27">
        <w:rPr>
          <w:noProof/>
          <w:lang w:val="fr-FR"/>
        </w:rPr>
        <w:t>est pas le</w:t>
      </w:r>
      <w:r w:rsidR="00F90D6F" w:rsidRPr="00266D27">
        <w:rPr>
          <w:noProof/>
          <w:lang w:val="fr-FR"/>
        </w:rPr>
        <w:t> </w:t>
      </w:r>
      <w:r w:rsidR="00C83D89" w:rsidRPr="00266D27">
        <w:rPr>
          <w:noProof/>
          <w:lang w:val="fr-FR"/>
        </w:rPr>
        <w:t>principal obstacle à la mise en place d</w:t>
      </w:r>
      <w:r w:rsidR="00536C58" w:rsidRPr="00266D27">
        <w:rPr>
          <w:noProof/>
          <w:lang w:val="fr-FR"/>
        </w:rPr>
        <w:t>’</w:t>
      </w:r>
      <w:r w:rsidR="00C83D89" w:rsidRPr="00266D27">
        <w:rPr>
          <w:noProof/>
          <w:lang w:val="fr-FR"/>
        </w:rPr>
        <w:t>infrastructures durables</w:t>
      </w:r>
      <w:r w:rsidR="00536C58" w:rsidRPr="00266D27">
        <w:rPr>
          <w:noProof/>
          <w:lang w:val="fr-FR"/>
        </w:rPr>
        <w:t> ;</w:t>
      </w:r>
      <w:r w:rsidR="00C83D89" w:rsidRPr="00266D27">
        <w:rPr>
          <w:noProof/>
          <w:lang w:val="fr-FR"/>
        </w:rPr>
        <w:t xml:space="preserve"> la difficulté réside dans le manque de capacités à traiter la grande quantité d</w:t>
      </w:r>
      <w:r w:rsidR="00536C58" w:rsidRPr="00266D27">
        <w:rPr>
          <w:noProof/>
          <w:lang w:val="fr-FR"/>
        </w:rPr>
        <w:t>’</w:t>
      </w:r>
      <w:r w:rsidR="00C83D89" w:rsidRPr="00266D27">
        <w:rPr>
          <w:noProof/>
          <w:lang w:val="fr-FR"/>
        </w:rPr>
        <w:t>informations et d</w:t>
      </w:r>
      <w:r w:rsidR="00536C58" w:rsidRPr="00266D27">
        <w:rPr>
          <w:noProof/>
          <w:lang w:val="fr-FR"/>
        </w:rPr>
        <w:t>’</w:t>
      </w:r>
      <w:r w:rsidR="00C83D89" w:rsidRPr="00266D27">
        <w:rPr>
          <w:noProof/>
          <w:lang w:val="fr-FR"/>
        </w:rPr>
        <w:t>outils disponibles, à comprendre quand, comment et dans quel but les utiliser et par la suite à mettre en place les institutions, politiques et cadres de gouvernance (autrement dit, l</w:t>
      </w:r>
      <w:r w:rsidR="00536C58" w:rsidRPr="00266D27">
        <w:rPr>
          <w:noProof/>
          <w:lang w:val="fr-FR"/>
        </w:rPr>
        <w:t>’</w:t>
      </w:r>
      <w:r w:rsidR="00C83D89" w:rsidRPr="00266D27">
        <w:rPr>
          <w:noProof/>
          <w:lang w:val="fr-FR"/>
        </w:rPr>
        <w:t>environnement favorable) requis pour en tirer parti</w:t>
      </w:r>
      <w:r w:rsidR="00F90D6F" w:rsidRPr="00266D27">
        <w:rPr>
          <w:noProof/>
          <w:lang w:val="fr-FR"/>
        </w:rPr>
        <w:t> </w:t>
      </w:r>
      <w:r w:rsidR="00C83D89" w:rsidRPr="00266D27">
        <w:rPr>
          <w:noProof/>
          <w:lang w:val="fr-FR"/>
        </w:rPr>
        <w:t>efficacement</w:t>
      </w:r>
      <w:r w:rsidR="00F90D6F" w:rsidRPr="00266D27">
        <w:rPr>
          <w:noProof/>
          <w:lang w:val="fr-FR"/>
        </w:rPr>
        <w:t> ;</w:t>
      </w:r>
    </w:p>
    <w:p w14:paraId="46B34E21" w14:textId="4AC739A8" w:rsidR="00C83D89" w:rsidRPr="00266D27" w:rsidRDefault="00C83D89" w:rsidP="000968D3">
      <w:pPr>
        <w:pStyle w:val="Normalnumber"/>
        <w:numPr>
          <w:ilvl w:val="1"/>
          <w:numId w:val="4"/>
        </w:numPr>
        <w:rPr>
          <w:noProof/>
          <w:lang w:val="fr-FR"/>
        </w:rPr>
      </w:pPr>
      <w:r w:rsidRPr="00266D27">
        <w:rPr>
          <w:noProof/>
          <w:lang w:val="fr-FR"/>
        </w:rPr>
        <w:t>Il est indispensable que les activités de sensibilisation et les activités normatives menées au niveau mondial s</w:t>
      </w:r>
      <w:r w:rsidR="00536C58" w:rsidRPr="00266D27">
        <w:rPr>
          <w:noProof/>
          <w:lang w:val="fr-FR"/>
        </w:rPr>
        <w:t>’</w:t>
      </w:r>
      <w:r w:rsidRPr="00266D27">
        <w:rPr>
          <w:noProof/>
          <w:lang w:val="fr-FR"/>
        </w:rPr>
        <w:t>accompagnent d</w:t>
      </w:r>
      <w:r w:rsidR="00536C58" w:rsidRPr="00266D27">
        <w:rPr>
          <w:noProof/>
          <w:lang w:val="fr-FR"/>
        </w:rPr>
        <w:t>’</w:t>
      </w:r>
      <w:r w:rsidRPr="00266D27">
        <w:rPr>
          <w:noProof/>
          <w:lang w:val="fr-FR"/>
        </w:rPr>
        <w:t xml:space="preserve">un appui direct aux gouvernements et aux administrations </w:t>
      </w:r>
      <w:r w:rsidR="00C90F8A" w:rsidRPr="00266D27">
        <w:rPr>
          <w:noProof/>
          <w:lang w:val="fr-FR"/>
        </w:rPr>
        <w:t xml:space="preserve">infranationales </w:t>
      </w:r>
      <w:r w:rsidR="00340BA1" w:rsidRPr="00266D27">
        <w:rPr>
          <w:noProof/>
          <w:lang w:val="fr-FR"/>
        </w:rPr>
        <w:t>sous</w:t>
      </w:r>
      <w:r w:rsidRPr="00266D27">
        <w:rPr>
          <w:noProof/>
          <w:lang w:val="fr-FR"/>
        </w:rPr>
        <w:t xml:space="preserve"> la forme d</w:t>
      </w:r>
      <w:r w:rsidR="00536C58" w:rsidRPr="00266D27">
        <w:rPr>
          <w:noProof/>
          <w:lang w:val="fr-FR"/>
        </w:rPr>
        <w:t>’</w:t>
      </w:r>
      <w:r w:rsidRPr="00266D27">
        <w:rPr>
          <w:noProof/>
          <w:lang w:val="fr-FR"/>
        </w:rPr>
        <w:t>un échange des connaissances, d</w:t>
      </w:r>
      <w:r w:rsidR="00536C58" w:rsidRPr="00266D27">
        <w:rPr>
          <w:noProof/>
          <w:lang w:val="fr-FR"/>
        </w:rPr>
        <w:t>’</w:t>
      </w:r>
      <w:r w:rsidRPr="00266D27">
        <w:rPr>
          <w:noProof/>
          <w:lang w:val="fr-FR"/>
        </w:rPr>
        <w:t>un renforcement des capacités et d</w:t>
      </w:r>
      <w:r w:rsidR="00536C58" w:rsidRPr="00266D27">
        <w:rPr>
          <w:noProof/>
          <w:lang w:val="fr-FR"/>
        </w:rPr>
        <w:t>’</w:t>
      </w:r>
      <w:r w:rsidRPr="00266D27">
        <w:rPr>
          <w:noProof/>
          <w:lang w:val="fr-FR"/>
        </w:rPr>
        <w:t>une assistance technique, en mettant l</w:t>
      </w:r>
      <w:r w:rsidR="00536C58" w:rsidRPr="00266D27">
        <w:rPr>
          <w:noProof/>
          <w:lang w:val="fr-FR"/>
        </w:rPr>
        <w:t>’</w:t>
      </w:r>
      <w:r w:rsidRPr="00266D27">
        <w:rPr>
          <w:noProof/>
          <w:lang w:val="fr-FR"/>
        </w:rPr>
        <w:t>accent sur la pleine utilisation des outils existants. Il s</w:t>
      </w:r>
      <w:r w:rsidR="00536C58" w:rsidRPr="00266D27">
        <w:rPr>
          <w:noProof/>
          <w:lang w:val="fr-FR"/>
        </w:rPr>
        <w:t>’</w:t>
      </w:r>
      <w:r w:rsidRPr="00266D27">
        <w:rPr>
          <w:noProof/>
          <w:lang w:val="fr-FR"/>
        </w:rPr>
        <w:t>agit notamment de créer un « guichet unique » pour les supports de connaissances et les outils en matière d</w:t>
      </w:r>
      <w:r w:rsidR="00536C58" w:rsidRPr="00266D27">
        <w:rPr>
          <w:noProof/>
          <w:lang w:val="fr-FR"/>
        </w:rPr>
        <w:t>’</w:t>
      </w:r>
      <w:r w:rsidRPr="00266D27">
        <w:rPr>
          <w:noProof/>
          <w:lang w:val="fr-FR"/>
        </w:rPr>
        <w:t>infrastructures durables, y compris les études de cas qui indiquent aux utilisateurs quand, comment, où et dans quel but les produits et outils ont été utilisés et mettent en lumière les réussites et les</w:t>
      </w:r>
      <w:r w:rsidR="00F90D6F" w:rsidRPr="00266D27">
        <w:rPr>
          <w:noProof/>
          <w:lang w:val="fr-FR"/>
        </w:rPr>
        <w:t> </w:t>
      </w:r>
      <w:r w:rsidRPr="00266D27">
        <w:rPr>
          <w:noProof/>
          <w:lang w:val="fr-FR"/>
        </w:rPr>
        <w:t xml:space="preserve">enseignements tirés, ainsi que </w:t>
      </w:r>
      <w:r w:rsidR="00340BA1" w:rsidRPr="00266D27">
        <w:rPr>
          <w:noProof/>
          <w:lang w:val="fr-FR"/>
        </w:rPr>
        <w:t>de mener d</w:t>
      </w:r>
      <w:r w:rsidRPr="00266D27">
        <w:rPr>
          <w:noProof/>
          <w:lang w:val="fr-FR"/>
        </w:rPr>
        <w:t xml:space="preserve">es activités ciblées </w:t>
      </w:r>
      <w:r w:rsidR="00340BA1" w:rsidRPr="00266D27">
        <w:rPr>
          <w:noProof/>
          <w:lang w:val="fr-FR"/>
        </w:rPr>
        <w:t xml:space="preserve">et coordonnées </w:t>
      </w:r>
      <w:r w:rsidRPr="00266D27">
        <w:rPr>
          <w:noProof/>
          <w:lang w:val="fr-FR"/>
        </w:rPr>
        <w:t>de renforcement des</w:t>
      </w:r>
      <w:r w:rsidR="00F90D6F" w:rsidRPr="00266D27">
        <w:rPr>
          <w:noProof/>
          <w:lang w:val="fr-FR"/>
        </w:rPr>
        <w:t> </w:t>
      </w:r>
      <w:r w:rsidRPr="00266D27">
        <w:rPr>
          <w:noProof/>
          <w:lang w:val="fr-FR"/>
        </w:rPr>
        <w:t xml:space="preserve">capacités pour aider les gouvernements à adapter et </w:t>
      </w:r>
      <w:r w:rsidR="008A5B55" w:rsidRPr="00266D27">
        <w:rPr>
          <w:noProof/>
          <w:lang w:val="fr-FR"/>
        </w:rPr>
        <w:t xml:space="preserve">à </w:t>
      </w:r>
      <w:r w:rsidRPr="00266D27">
        <w:rPr>
          <w:noProof/>
          <w:lang w:val="fr-FR"/>
        </w:rPr>
        <w:t>appliquer les connaissances et outils pertinents dans divers contextes locaux</w:t>
      </w:r>
      <w:r w:rsidR="00F90D6F" w:rsidRPr="00266D27">
        <w:rPr>
          <w:noProof/>
          <w:lang w:val="fr-FR"/>
        </w:rPr>
        <w:t> ;</w:t>
      </w:r>
    </w:p>
    <w:p w14:paraId="67C930D0" w14:textId="4D64B281" w:rsidR="00C83D89" w:rsidRPr="00266D27" w:rsidRDefault="00C83D89" w:rsidP="000968D3">
      <w:pPr>
        <w:pStyle w:val="Normalnumber"/>
        <w:numPr>
          <w:ilvl w:val="1"/>
          <w:numId w:val="4"/>
        </w:numPr>
        <w:rPr>
          <w:noProof/>
          <w:lang w:val="fr-FR"/>
        </w:rPr>
      </w:pPr>
      <w:r w:rsidRPr="00266D27">
        <w:rPr>
          <w:noProof/>
          <w:lang w:val="fr-FR"/>
        </w:rPr>
        <w:lastRenderedPageBreak/>
        <w:t>Il existe un manque de financement des infrastructures durables et, en raison de la</w:t>
      </w:r>
      <w:r w:rsidR="00F90D6F" w:rsidRPr="00266D27">
        <w:rPr>
          <w:noProof/>
          <w:lang w:val="fr-FR"/>
        </w:rPr>
        <w:t> </w:t>
      </w:r>
      <w:r w:rsidRPr="00266D27">
        <w:rPr>
          <w:noProof/>
          <w:lang w:val="fr-FR"/>
        </w:rPr>
        <w:t xml:space="preserve">limitation croissante des budgets publics, il importe </w:t>
      </w:r>
      <w:r w:rsidR="00340BA1" w:rsidRPr="00266D27">
        <w:rPr>
          <w:noProof/>
          <w:lang w:val="fr-FR"/>
        </w:rPr>
        <w:t>d’adopter</w:t>
      </w:r>
      <w:r w:rsidRPr="00266D27">
        <w:rPr>
          <w:noProof/>
          <w:lang w:val="fr-FR"/>
        </w:rPr>
        <w:t xml:space="preserve"> des mesures incitatives pour que le</w:t>
      </w:r>
      <w:r w:rsidR="00F90D6F" w:rsidRPr="00266D27">
        <w:rPr>
          <w:noProof/>
          <w:lang w:val="fr-FR"/>
        </w:rPr>
        <w:t> </w:t>
      </w:r>
      <w:r w:rsidRPr="00266D27">
        <w:rPr>
          <w:noProof/>
          <w:lang w:val="fr-FR"/>
        </w:rPr>
        <w:t>secteur privé investisse dans des projets durables. Parmi les obstacles à l</w:t>
      </w:r>
      <w:r w:rsidR="00536C58" w:rsidRPr="00266D27">
        <w:rPr>
          <w:noProof/>
          <w:lang w:val="fr-FR"/>
        </w:rPr>
        <w:t>’</w:t>
      </w:r>
      <w:r w:rsidRPr="00266D27">
        <w:rPr>
          <w:noProof/>
          <w:lang w:val="fr-FR"/>
        </w:rPr>
        <w:t>augmentation des</w:t>
      </w:r>
      <w:r w:rsidR="00F90D6F" w:rsidRPr="00266D27">
        <w:rPr>
          <w:noProof/>
          <w:lang w:val="fr-FR"/>
        </w:rPr>
        <w:t> </w:t>
      </w:r>
      <w:r w:rsidRPr="00266D27">
        <w:rPr>
          <w:noProof/>
          <w:lang w:val="fr-FR"/>
        </w:rPr>
        <w:t>investissements publics et privés, on compte l</w:t>
      </w:r>
      <w:r w:rsidR="00536C58" w:rsidRPr="00266D27">
        <w:rPr>
          <w:noProof/>
          <w:lang w:val="fr-FR"/>
        </w:rPr>
        <w:t>’</w:t>
      </w:r>
      <w:r w:rsidRPr="00266D27">
        <w:rPr>
          <w:noProof/>
          <w:lang w:val="fr-FR"/>
        </w:rPr>
        <w:t xml:space="preserve">impression que les infrastructures </w:t>
      </w:r>
      <w:r w:rsidR="00C67024" w:rsidRPr="00266D27">
        <w:rPr>
          <w:noProof/>
          <w:lang w:val="fr-FR"/>
        </w:rPr>
        <w:t>durables</w:t>
      </w:r>
      <w:r w:rsidRPr="00266D27">
        <w:rPr>
          <w:noProof/>
          <w:lang w:val="fr-FR"/>
        </w:rPr>
        <w:t xml:space="preserve"> sont plus coûteuses que les solutions moins durables </w:t>
      </w:r>
      <w:r w:rsidR="00340BA1" w:rsidRPr="00266D27">
        <w:rPr>
          <w:noProof/>
          <w:lang w:val="fr-FR"/>
        </w:rPr>
        <w:t xml:space="preserve">qui </w:t>
      </w:r>
      <w:r w:rsidR="008A5B55" w:rsidRPr="00266D27">
        <w:rPr>
          <w:noProof/>
          <w:lang w:val="fr-FR"/>
        </w:rPr>
        <w:t>se cantonnent dans le statu quo</w:t>
      </w:r>
      <w:r w:rsidRPr="00266D27">
        <w:rPr>
          <w:noProof/>
          <w:lang w:val="fr-FR"/>
        </w:rPr>
        <w:t>, ainsi que le manque de mécanismes de financement des infrastructures durables. Cela révèle qu</w:t>
      </w:r>
      <w:r w:rsidR="00536C58" w:rsidRPr="00266D27">
        <w:rPr>
          <w:noProof/>
          <w:lang w:val="fr-FR"/>
        </w:rPr>
        <w:t>’</w:t>
      </w:r>
      <w:r w:rsidRPr="00266D27">
        <w:rPr>
          <w:noProof/>
          <w:lang w:val="fr-FR"/>
        </w:rPr>
        <w:t>il faut élaborer des dossiers de décision pour les infrastructures durables, y compris les solutions fondées sur la nature tenant compte des avantages économiques, sociaux et environneme</w:t>
      </w:r>
      <w:bookmarkStart w:id="1" w:name="_GoBack"/>
      <w:bookmarkEnd w:id="1"/>
      <w:r w:rsidRPr="00266D27">
        <w:rPr>
          <w:noProof/>
          <w:lang w:val="fr-FR"/>
        </w:rPr>
        <w:t>ntaux à long terme qui peuvent contrebalancer les coûts initiaux, ainsi que pour les nouveaux mécanismes de financement qui intègrent ces coûts et avantages et répartissent les risques en conséquence</w:t>
      </w:r>
      <w:r w:rsidR="00F90D6F" w:rsidRPr="00266D27">
        <w:rPr>
          <w:noProof/>
          <w:lang w:val="fr-FR"/>
        </w:rPr>
        <w:t> ;</w:t>
      </w:r>
    </w:p>
    <w:p w14:paraId="2C6279D3" w14:textId="0D8EB92F" w:rsidR="00C83D89" w:rsidRPr="00266D27" w:rsidRDefault="00C83D89" w:rsidP="000968D3">
      <w:pPr>
        <w:pStyle w:val="Normalnumber"/>
        <w:numPr>
          <w:ilvl w:val="1"/>
          <w:numId w:val="4"/>
        </w:numPr>
        <w:rPr>
          <w:noProof/>
          <w:lang w:val="fr-FR"/>
        </w:rPr>
      </w:pPr>
      <w:r w:rsidRPr="00266D27">
        <w:rPr>
          <w:noProof/>
          <w:lang w:val="fr-FR"/>
        </w:rPr>
        <w:t>Il n</w:t>
      </w:r>
      <w:r w:rsidR="00536C58" w:rsidRPr="00266D27">
        <w:rPr>
          <w:noProof/>
          <w:lang w:val="fr-FR"/>
        </w:rPr>
        <w:t>’</w:t>
      </w:r>
      <w:r w:rsidRPr="00266D27">
        <w:rPr>
          <w:noProof/>
          <w:lang w:val="fr-FR"/>
        </w:rPr>
        <w:t xml:space="preserve">existe aucun cadre de mesure pour contrôler la durabilité des infrastructures de manière intégrée au niveau global (par exemple, </w:t>
      </w:r>
      <w:r w:rsidR="00EB76A2" w:rsidRPr="00266D27">
        <w:rPr>
          <w:noProof/>
          <w:lang w:val="fr-FR"/>
        </w:rPr>
        <w:t>à l’échelle</w:t>
      </w:r>
      <w:r w:rsidRPr="00266D27">
        <w:rPr>
          <w:noProof/>
          <w:lang w:val="fr-FR"/>
        </w:rPr>
        <w:t xml:space="preserve"> national</w:t>
      </w:r>
      <w:r w:rsidR="00EB76A2" w:rsidRPr="00266D27">
        <w:rPr>
          <w:noProof/>
          <w:lang w:val="fr-FR"/>
        </w:rPr>
        <w:t>e</w:t>
      </w:r>
      <w:r w:rsidRPr="00266D27">
        <w:rPr>
          <w:noProof/>
          <w:lang w:val="fr-FR"/>
        </w:rPr>
        <w:t>). L</w:t>
      </w:r>
      <w:r w:rsidR="00536C58" w:rsidRPr="00266D27">
        <w:rPr>
          <w:noProof/>
          <w:lang w:val="fr-FR"/>
        </w:rPr>
        <w:t>’</w:t>
      </w:r>
      <w:r w:rsidRPr="00266D27">
        <w:rPr>
          <w:noProof/>
          <w:lang w:val="fr-FR"/>
        </w:rPr>
        <w:t>indicateur existant pour mesurer les progrès vers la réalisation de la cible</w:t>
      </w:r>
      <w:r w:rsidR="000166AE" w:rsidRPr="00266D27">
        <w:rPr>
          <w:noProof/>
          <w:lang w:val="fr-FR"/>
        </w:rPr>
        <w:t> </w:t>
      </w:r>
      <w:r w:rsidRPr="00266D27">
        <w:rPr>
          <w:noProof/>
          <w:lang w:val="fr-FR"/>
        </w:rPr>
        <w:t>9.1 des objectifs de développement durable ne rend directement compte que de l</w:t>
      </w:r>
      <w:r w:rsidR="00536C58" w:rsidRPr="00266D27">
        <w:rPr>
          <w:noProof/>
          <w:lang w:val="fr-FR"/>
        </w:rPr>
        <w:t>’</w:t>
      </w:r>
      <w:r w:rsidRPr="00266D27">
        <w:rPr>
          <w:noProof/>
          <w:lang w:val="fr-FR"/>
        </w:rPr>
        <w:t>aspect économique des infrastructures</w:t>
      </w:r>
      <w:r w:rsidR="00F90D6F" w:rsidRPr="00266D27">
        <w:rPr>
          <w:noProof/>
          <w:lang w:val="fr-FR"/>
        </w:rPr>
        <w:t> ;</w:t>
      </w:r>
    </w:p>
    <w:p w14:paraId="58E85A75" w14:textId="23AF7AB8" w:rsidR="00C83D89" w:rsidRPr="00266D27" w:rsidRDefault="00C83D89" w:rsidP="000968D3">
      <w:pPr>
        <w:pStyle w:val="Normalnumber"/>
        <w:numPr>
          <w:ilvl w:val="1"/>
          <w:numId w:val="4"/>
        </w:numPr>
        <w:rPr>
          <w:noProof/>
          <w:color w:val="000000" w:themeColor="text1"/>
          <w:lang w:val="fr-FR"/>
        </w:rPr>
      </w:pPr>
      <w:r w:rsidRPr="00266D27">
        <w:rPr>
          <w:noProof/>
          <w:lang w:val="fr-FR"/>
        </w:rPr>
        <w:t>La pandémie de COVID-19 et la crise économique en résultant ont mis en lumière l</w:t>
      </w:r>
      <w:r w:rsidR="00536C58" w:rsidRPr="00266D27">
        <w:rPr>
          <w:noProof/>
          <w:lang w:val="fr-FR"/>
        </w:rPr>
        <w:t>’</w:t>
      </w:r>
      <w:r w:rsidRPr="00266D27">
        <w:rPr>
          <w:noProof/>
          <w:lang w:val="fr-FR"/>
        </w:rPr>
        <w:t>urgence de surmonter les difficultés en matière d</w:t>
      </w:r>
      <w:r w:rsidR="00536C58" w:rsidRPr="00266D27">
        <w:rPr>
          <w:noProof/>
          <w:lang w:val="fr-FR"/>
        </w:rPr>
        <w:t>’</w:t>
      </w:r>
      <w:r w:rsidRPr="00266D27">
        <w:rPr>
          <w:noProof/>
          <w:lang w:val="fr-FR"/>
        </w:rPr>
        <w:t>infrastructures et de nombreux investissements dans des infrastructures à grande échelle sont aujourd</w:t>
      </w:r>
      <w:r w:rsidR="00536C58" w:rsidRPr="00266D27">
        <w:rPr>
          <w:noProof/>
          <w:lang w:val="fr-FR"/>
        </w:rPr>
        <w:t>’</w:t>
      </w:r>
      <w:r w:rsidRPr="00266D27">
        <w:rPr>
          <w:noProof/>
          <w:lang w:val="fr-FR"/>
        </w:rPr>
        <w:t>hui prévus dans le cadre des mesures de relance. Les enseignements tirés de</w:t>
      </w:r>
      <w:r w:rsidR="00340BA1" w:rsidRPr="00266D27">
        <w:rPr>
          <w:noProof/>
          <w:lang w:val="fr-FR"/>
        </w:rPr>
        <w:t>s</w:t>
      </w:r>
      <w:r w:rsidRPr="00266D27">
        <w:rPr>
          <w:noProof/>
          <w:lang w:val="fr-FR"/>
        </w:rPr>
        <w:t xml:space="preserve"> relèvements antérieurs montrent qu</w:t>
      </w:r>
      <w:r w:rsidR="00536C58" w:rsidRPr="00266D27">
        <w:rPr>
          <w:noProof/>
          <w:lang w:val="fr-FR"/>
        </w:rPr>
        <w:t>’</w:t>
      </w:r>
      <w:r w:rsidRPr="00266D27">
        <w:rPr>
          <w:noProof/>
          <w:lang w:val="fr-FR"/>
        </w:rPr>
        <w:t>il importe de veiller à ce que ces</w:t>
      </w:r>
      <w:r w:rsidR="00F90D6F" w:rsidRPr="00266D27">
        <w:rPr>
          <w:noProof/>
          <w:lang w:val="fr-FR"/>
        </w:rPr>
        <w:t> </w:t>
      </w:r>
      <w:r w:rsidRPr="00266D27">
        <w:rPr>
          <w:noProof/>
          <w:lang w:val="fr-FR"/>
        </w:rPr>
        <w:t>investissements soient durables, puisqu</w:t>
      </w:r>
      <w:r w:rsidR="00536C58" w:rsidRPr="00266D27">
        <w:rPr>
          <w:noProof/>
          <w:lang w:val="fr-FR"/>
        </w:rPr>
        <w:t>’</w:t>
      </w:r>
      <w:r w:rsidRPr="00266D27">
        <w:rPr>
          <w:noProof/>
          <w:lang w:val="fr-FR"/>
        </w:rPr>
        <w:t>ils façonneront les économies et sociétés à venir et auront une</w:t>
      </w:r>
      <w:r w:rsidR="00F90D6F" w:rsidRPr="00266D27">
        <w:rPr>
          <w:noProof/>
          <w:lang w:val="fr-FR"/>
        </w:rPr>
        <w:t> </w:t>
      </w:r>
      <w:r w:rsidRPr="00266D27">
        <w:rPr>
          <w:noProof/>
          <w:lang w:val="fr-FR"/>
        </w:rPr>
        <w:t>incidence sur la réalisation des objectifs de développement durable et des objectifs de l</w:t>
      </w:r>
      <w:r w:rsidR="00536C58" w:rsidRPr="00266D27">
        <w:rPr>
          <w:noProof/>
          <w:lang w:val="fr-FR"/>
        </w:rPr>
        <w:t>’</w:t>
      </w:r>
      <w:r w:rsidRPr="00266D27">
        <w:rPr>
          <w:noProof/>
          <w:lang w:val="fr-FR"/>
        </w:rPr>
        <w:t>Accord de</w:t>
      </w:r>
      <w:r w:rsidR="00F90D6F" w:rsidRPr="00266D27">
        <w:rPr>
          <w:noProof/>
          <w:lang w:val="fr-FR"/>
        </w:rPr>
        <w:t> </w:t>
      </w:r>
      <w:r w:rsidRPr="00266D27">
        <w:rPr>
          <w:noProof/>
          <w:lang w:val="fr-FR"/>
        </w:rPr>
        <w:t xml:space="preserve">Paris. </w:t>
      </w:r>
    </w:p>
    <w:p w14:paraId="64E32D4B" w14:textId="3FA91729" w:rsidR="00C83D89" w:rsidRPr="00266D27" w:rsidRDefault="000E09E6" w:rsidP="000E09E6">
      <w:pPr>
        <w:pStyle w:val="CH1"/>
        <w:rPr>
          <w:noProof/>
          <w:lang w:val="fr-FR"/>
        </w:rPr>
      </w:pPr>
      <w:r w:rsidRPr="00266D27">
        <w:rPr>
          <w:noProof/>
          <w:lang w:val="fr-FR"/>
        </w:rPr>
        <w:tab/>
      </w:r>
      <w:r w:rsidR="002A50DE" w:rsidRPr="00266D27">
        <w:rPr>
          <w:noProof/>
          <w:lang w:val="fr-FR"/>
        </w:rPr>
        <w:t>III.</w:t>
      </w:r>
      <w:r w:rsidR="002A50DE" w:rsidRPr="00266D27">
        <w:rPr>
          <w:noProof/>
          <w:lang w:val="fr-FR"/>
        </w:rPr>
        <w:tab/>
        <w:t>Recommandations et mesures proposées</w:t>
      </w:r>
    </w:p>
    <w:p w14:paraId="7A4D7A92" w14:textId="067BF042" w:rsidR="00C83D89" w:rsidRPr="00266D27" w:rsidRDefault="00C83D89" w:rsidP="000968D3">
      <w:pPr>
        <w:pStyle w:val="Normalnumber"/>
        <w:rPr>
          <w:rFonts w:eastAsia="MS Mincho"/>
          <w:noProof/>
          <w:color w:val="000000" w:themeColor="text1"/>
          <w:lang w:val="fr-FR"/>
        </w:rPr>
      </w:pPr>
      <w:r w:rsidRPr="00266D27">
        <w:rPr>
          <w:noProof/>
          <w:lang w:val="fr-FR"/>
        </w:rPr>
        <w:t>L</w:t>
      </w:r>
      <w:r w:rsidR="00536C58" w:rsidRPr="00266D27">
        <w:rPr>
          <w:noProof/>
          <w:lang w:val="fr-FR"/>
        </w:rPr>
        <w:t>’</w:t>
      </w:r>
      <w:r w:rsidRPr="00266D27">
        <w:rPr>
          <w:noProof/>
          <w:lang w:val="fr-FR"/>
        </w:rPr>
        <w:t>Assemblée pour l</w:t>
      </w:r>
      <w:r w:rsidR="00536C58" w:rsidRPr="00266D27">
        <w:rPr>
          <w:noProof/>
          <w:lang w:val="fr-FR"/>
        </w:rPr>
        <w:t>’</w:t>
      </w:r>
      <w:r w:rsidRPr="00266D27">
        <w:rPr>
          <w:noProof/>
          <w:lang w:val="fr-FR"/>
        </w:rPr>
        <w:t>environnement souhaitera peut-être reconnaître l</w:t>
      </w:r>
      <w:r w:rsidR="00536C58" w:rsidRPr="00266D27">
        <w:rPr>
          <w:noProof/>
          <w:lang w:val="fr-FR"/>
        </w:rPr>
        <w:t>’</w:t>
      </w:r>
      <w:r w:rsidRPr="00266D27">
        <w:rPr>
          <w:noProof/>
          <w:lang w:val="fr-FR"/>
        </w:rPr>
        <w:t>importance des</w:t>
      </w:r>
      <w:r w:rsidR="00F90D6F" w:rsidRPr="00266D27">
        <w:rPr>
          <w:noProof/>
          <w:lang w:val="fr-FR"/>
        </w:rPr>
        <w:t> </w:t>
      </w:r>
      <w:r w:rsidRPr="00266D27">
        <w:rPr>
          <w:noProof/>
          <w:lang w:val="fr-FR"/>
        </w:rPr>
        <w:t>infrastructures durables pour « reconstruire en mieux » et parvenir à une relance verte après la</w:t>
      </w:r>
      <w:r w:rsidR="00F90D6F" w:rsidRPr="00266D27">
        <w:rPr>
          <w:noProof/>
          <w:lang w:val="fr-FR"/>
        </w:rPr>
        <w:t> </w:t>
      </w:r>
      <w:r w:rsidRPr="00266D27">
        <w:rPr>
          <w:noProof/>
          <w:lang w:val="fr-FR"/>
        </w:rPr>
        <w:t>pandémie de COVID-19</w:t>
      </w:r>
      <w:r w:rsidR="00340BA1" w:rsidRPr="00266D27">
        <w:rPr>
          <w:noProof/>
          <w:lang w:val="fr-FR"/>
        </w:rPr>
        <w:t>,</w:t>
      </w:r>
      <w:r w:rsidRPr="00266D27">
        <w:rPr>
          <w:noProof/>
          <w:lang w:val="fr-FR"/>
        </w:rPr>
        <w:t xml:space="preserve"> et envisager la façon dont les investissements dans des infrastructures sociales, économiques et écologiques peuvent contribuer à la relance économique, créer des emplois verts, renforcer la résilience face aux crises futures et créer des sociétés inclusives et saines. </w:t>
      </w:r>
    </w:p>
    <w:p w14:paraId="09643B90" w14:textId="76EA1476" w:rsidR="00C83D89" w:rsidRPr="00266D27" w:rsidRDefault="00C83D89" w:rsidP="000968D3">
      <w:pPr>
        <w:pStyle w:val="Normalnumber"/>
        <w:rPr>
          <w:rFonts w:eastAsia="MS Mincho"/>
          <w:noProof/>
          <w:color w:val="000000" w:themeColor="text1"/>
          <w:kern w:val="2"/>
          <w:lang w:val="fr-FR"/>
        </w:rPr>
      </w:pPr>
      <w:r w:rsidRPr="00266D27">
        <w:rPr>
          <w:noProof/>
          <w:lang w:val="fr-FR"/>
        </w:rPr>
        <w:t>L</w:t>
      </w:r>
      <w:r w:rsidR="00536C58" w:rsidRPr="00266D27">
        <w:rPr>
          <w:noProof/>
          <w:lang w:val="fr-FR"/>
        </w:rPr>
        <w:t>’</w:t>
      </w:r>
      <w:r w:rsidRPr="00266D27">
        <w:rPr>
          <w:noProof/>
          <w:lang w:val="fr-FR"/>
        </w:rPr>
        <w:t>Assemblée souhaitera peut-être envisager d</w:t>
      </w:r>
      <w:r w:rsidR="00536C58" w:rsidRPr="00266D27">
        <w:rPr>
          <w:noProof/>
          <w:lang w:val="fr-FR"/>
        </w:rPr>
        <w:t>’</w:t>
      </w:r>
      <w:r w:rsidRPr="00266D27">
        <w:rPr>
          <w:noProof/>
          <w:lang w:val="fr-FR"/>
        </w:rPr>
        <w:t>adopter des directives en matière d</w:t>
      </w:r>
      <w:r w:rsidR="00536C58" w:rsidRPr="00266D27">
        <w:rPr>
          <w:noProof/>
          <w:lang w:val="fr-FR"/>
        </w:rPr>
        <w:t>’</w:t>
      </w:r>
      <w:r w:rsidRPr="00266D27">
        <w:rPr>
          <w:noProof/>
          <w:lang w:val="fr-FR"/>
        </w:rPr>
        <w:t xml:space="preserve">infrastructures durables, lesquelles, </w:t>
      </w:r>
      <w:r w:rsidR="00340BA1" w:rsidRPr="00266D27">
        <w:rPr>
          <w:noProof/>
          <w:lang w:val="fr-FR"/>
        </w:rPr>
        <w:t>accompagnées de</w:t>
      </w:r>
      <w:r w:rsidRPr="00266D27">
        <w:rPr>
          <w:noProof/>
          <w:lang w:val="fr-FR"/>
        </w:rPr>
        <w:t xml:space="preserve"> politiques et </w:t>
      </w:r>
      <w:r w:rsidR="00340BA1" w:rsidRPr="00266D27">
        <w:rPr>
          <w:noProof/>
          <w:lang w:val="fr-FR"/>
        </w:rPr>
        <w:t xml:space="preserve">de </w:t>
      </w:r>
      <w:r w:rsidRPr="00266D27">
        <w:rPr>
          <w:noProof/>
          <w:lang w:val="fr-FR"/>
        </w:rPr>
        <w:t xml:space="preserve">mesures incitatives réglementaires </w:t>
      </w:r>
      <w:r w:rsidR="00F000E2" w:rsidRPr="00266D27">
        <w:rPr>
          <w:noProof/>
          <w:lang w:val="fr-FR"/>
        </w:rPr>
        <w:t>connexes pour promouvoir le respect</w:t>
      </w:r>
      <w:r w:rsidRPr="00266D27">
        <w:rPr>
          <w:noProof/>
          <w:lang w:val="fr-FR"/>
        </w:rPr>
        <w:t>, peuvent aider les États membres à mettre en œuvre la résolution</w:t>
      </w:r>
      <w:r w:rsidR="000166AE" w:rsidRPr="00266D27">
        <w:rPr>
          <w:noProof/>
          <w:lang w:val="fr-FR"/>
        </w:rPr>
        <w:t> </w:t>
      </w:r>
      <w:r w:rsidRPr="00266D27">
        <w:rPr>
          <w:noProof/>
          <w:lang w:val="fr-FR"/>
        </w:rPr>
        <w:t>4/5 sur les infrastructures durables, y compris en élaborant et en renforçant des</w:t>
      </w:r>
      <w:r w:rsidR="00F90D6F" w:rsidRPr="00266D27">
        <w:rPr>
          <w:noProof/>
          <w:lang w:val="fr-FR"/>
        </w:rPr>
        <w:t> </w:t>
      </w:r>
      <w:r w:rsidRPr="00266D27">
        <w:rPr>
          <w:noProof/>
          <w:lang w:val="fr-FR"/>
        </w:rPr>
        <w:t>approches stratégiques nationales et régionales, au niveau des systèmes, de planification des</w:t>
      </w:r>
      <w:r w:rsidR="00F90D6F" w:rsidRPr="00266D27">
        <w:rPr>
          <w:noProof/>
          <w:lang w:val="fr-FR"/>
        </w:rPr>
        <w:t> </w:t>
      </w:r>
      <w:r w:rsidRPr="00266D27">
        <w:rPr>
          <w:noProof/>
          <w:lang w:val="fr-FR"/>
        </w:rPr>
        <w:t>infrastructures et en promouvant des solutions fondées sur la nature comme composantes clefs de</w:t>
      </w:r>
      <w:r w:rsidR="00F90D6F" w:rsidRPr="00266D27">
        <w:rPr>
          <w:noProof/>
          <w:lang w:val="fr-FR"/>
        </w:rPr>
        <w:t> </w:t>
      </w:r>
      <w:r w:rsidRPr="00266D27">
        <w:rPr>
          <w:noProof/>
          <w:lang w:val="fr-FR"/>
        </w:rPr>
        <w:t xml:space="preserve">telles approches.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83403A" w:rsidRPr="00266D27" w14:paraId="6486AA26" w14:textId="77777777" w:rsidTr="00601AF9">
        <w:tc>
          <w:tcPr>
            <w:tcW w:w="1897" w:type="dxa"/>
          </w:tcPr>
          <w:p w14:paraId="654DB4FD" w14:textId="77777777" w:rsidR="0083403A" w:rsidRPr="00266D27" w:rsidRDefault="0083403A" w:rsidP="00F90D6F">
            <w:pPr>
              <w:pStyle w:val="Normal-pool"/>
              <w:spacing w:before="480"/>
              <w:rPr>
                <w:rFonts w:ascii="Times New Roman" w:hAnsi="Times New Roman"/>
                <w:noProof/>
                <w:sz w:val="20"/>
                <w:szCs w:val="20"/>
                <w:lang w:val="fr-FR"/>
              </w:rPr>
            </w:pPr>
          </w:p>
        </w:tc>
        <w:tc>
          <w:tcPr>
            <w:tcW w:w="1897" w:type="dxa"/>
          </w:tcPr>
          <w:p w14:paraId="71253828" w14:textId="77777777" w:rsidR="0083403A" w:rsidRPr="00266D27" w:rsidRDefault="0083403A" w:rsidP="00F90D6F">
            <w:pPr>
              <w:pStyle w:val="Normal-pool"/>
              <w:spacing w:before="480"/>
              <w:rPr>
                <w:rFonts w:ascii="Times New Roman" w:hAnsi="Times New Roman"/>
                <w:noProof/>
                <w:sz w:val="20"/>
                <w:szCs w:val="20"/>
                <w:lang w:val="fr-FR"/>
              </w:rPr>
            </w:pPr>
          </w:p>
        </w:tc>
        <w:tc>
          <w:tcPr>
            <w:tcW w:w="1897" w:type="dxa"/>
            <w:tcBorders>
              <w:bottom w:val="single" w:sz="4" w:space="0" w:color="auto"/>
            </w:tcBorders>
          </w:tcPr>
          <w:p w14:paraId="3BE8461A" w14:textId="77777777" w:rsidR="0083403A" w:rsidRPr="00266D27" w:rsidRDefault="0083403A" w:rsidP="00F90D6F">
            <w:pPr>
              <w:pStyle w:val="Normal-pool"/>
              <w:spacing w:before="480"/>
              <w:rPr>
                <w:rFonts w:ascii="Times New Roman" w:hAnsi="Times New Roman"/>
                <w:noProof/>
                <w:sz w:val="20"/>
                <w:szCs w:val="20"/>
                <w:lang w:val="fr-FR"/>
              </w:rPr>
            </w:pPr>
          </w:p>
        </w:tc>
        <w:tc>
          <w:tcPr>
            <w:tcW w:w="1897" w:type="dxa"/>
          </w:tcPr>
          <w:p w14:paraId="58D618C1" w14:textId="77777777" w:rsidR="0083403A" w:rsidRPr="00266D27" w:rsidRDefault="0083403A" w:rsidP="00F90D6F">
            <w:pPr>
              <w:pStyle w:val="Normal-pool"/>
              <w:spacing w:before="480"/>
              <w:rPr>
                <w:rFonts w:ascii="Times New Roman" w:hAnsi="Times New Roman"/>
                <w:noProof/>
                <w:sz w:val="20"/>
                <w:szCs w:val="20"/>
                <w:lang w:val="fr-FR"/>
              </w:rPr>
            </w:pPr>
          </w:p>
        </w:tc>
        <w:tc>
          <w:tcPr>
            <w:tcW w:w="1898" w:type="dxa"/>
          </w:tcPr>
          <w:p w14:paraId="28807EA1" w14:textId="77777777" w:rsidR="0083403A" w:rsidRPr="00266D27" w:rsidRDefault="0083403A" w:rsidP="00F90D6F">
            <w:pPr>
              <w:pStyle w:val="Normal-pool"/>
              <w:spacing w:before="480"/>
              <w:rPr>
                <w:rFonts w:ascii="Times New Roman" w:hAnsi="Times New Roman"/>
                <w:noProof/>
                <w:sz w:val="20"/>
                <w:szCs w:val="20"/>
                <w:lang w:val="fr-FR"/>
              </w:rPr>
            </w:pPr>
          </w:p>
        </w:tc>
      </w:tr>
    </w:tbl>
    <w:p w14:paraId="1D3A4E78" w14:textId="77777777" w:rsidR="00030898" w:rsidRPr="00266D27" w:rsidRDefault="00030898" w:rsidP="0010497A">
      <w:pPr>
        <w:pStyle w:val="Normal-pool"/>
        <w:rPr>
          <w:noProof/>
          <w:sz w:val="4"/>
          <w:szCs w:val="4"/>
          <w:lang w:val="fr-FR"/>
        </w:rPr>
      </w:pPr>
    </w:p>
    <w:sectPr w:rsidR="00030898" w:rsidRPr="00266D27" w:rsidSect="006E6722">
      <w:headerReference w:type="even" r:id="rId15"/>
      <w:headerReference w:type="default" r:id="rId16"/>
      <w:footerReference w:type="even" r:id="rId17"/>
      <w:footerReference w:type="default" r:id="rId18"/>
      <w:headerReference w:type="first" r:id="rId19"/>
      <w:footerReference w:type="first" r:id="rId20"/>
      <w:footnotePr>
        <w:numRestart w:val="eachSect"/>
      </w:footnotePr>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931FDA" w14:textId="77777777" w:rsidR="000968D3" w:rsidRDefault="000968D3">
      <w:r>
        <w:separator/>
      </w:r>
    </w:p>
  </w:endnote>
  <w:endnote w:type="continuationSeparator" w:id="0">
    <w:p w14:paraId="2D98FD7A" w14:textId="77777777" w:rsidR="000968D3" w:rsidRDefault="000968D3">
      <w:r>
        <w:continuationSeparator/>
      </w:r>
    </w:p>
  </w:endnote>
  <w:endnote w:type="continuationNotice" w:id="1">
    <w:p w14:paraId="127C2D70" w14:textId="77777777" w:rsidR="000968D3" w:rsidRDefault="000968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8873601"/>
      <w:docPartObj>
        <w:docPartGallery w:val="Page Numbers (Bottom of Page)"/>
        <w:docPartUnique/>
      </w:docPartObj>
    </w:sdtPr>
    <w:sdtEndPr>
      <w:rPr>
        <w:noProof/>
      </w:rPr>
    </w:sdtEndPr>
    <w:sdtContent>
      <w:p w14:paraId="642AF77E" w14:textId="77777777" w:rsidR="00601AF9" w:rsidRPr="00B87AB1" w:rsidRDefault="00601AF9" w:rsidP="00B87AB1">
        <w:pPr>
          <w:pStyle w:val="Footer-pool"/>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3744687"/>
      <w:docPartObj>
        <w:docPartGallery w:val="Page Numbers (Bottom of Page)"/>
        <w:docPartUnique/>
      </w:docPartObj>
    </w:sdtPr>
    <w:sdtEndPr/>
    <w:sdtContent>
      <w:p w14:paraId="57F657FC" w14:textId="77777777" w:rsidR="00601AF9" w:rsidRPr="00B87AB1" w:rsidRDefault="00601AF9" w:rsidP="00B87AB1">
        <w:pPr>
          <w:pStyle w:val="Footer-pool"/>
          <w:jc w:val="right"/>
        </w:pPr>
        <w:r w:rsidRPr="00B87AB1">
          <w:fldChar w:fldCharType="begin"/>
        </w:r>
        <w:r w:rsidRPr="00B87AB1">
          <w:instrText xml:space="preserve"> PAGE   \* MERGEFORMAT </w:instrText>
        </w:r>
        <w:r w:rsidRPr="00B87AB1">
          <w:fldChar w:fldCharType="separate"/>
        </w:r>
        <w:r w:rsidRPr="00B87AB1">
          <w:t>2</w:t>
        </w:r>
        <w:r w:rsidRPr="00B87AB1">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8D1FA" w14:textId="50780DBC" w:rsidR="00601AF9" w:rsidRPr="00B87AB1" w:rsidRDefault="00601AF9" w:rsidP="00B87AB1">
    <w:pPr>
      <w:pStyle w:val="Footer-pool"/>
      <w:rPr>
        <w:b w:val="0"/>
        <w:bCs/>
        <w:sz w:val="20"/>
      </w:rPr>
    </w:pPr>
    <w:r w:rsidRPr="00B87AB1">
      <w:rPr>
        <w:b w:val="0"/>
        <w:bCs/>
        <w:sz w:val="20"/>
      </w:rPr>
      <w:t>K2002</w:t>
    </w:r>
    <w:r>
      <w:rPr>
        <w:b w:val="0"/>
        <w:bCs/>
        <w:sz w:val="20"/>
      </w:rPr>
      <w:t>5</w:t>
    </w:r>
    <w:r w:rsidR="0088469E">
      <w:rPr>
        <w:b w:val="0"/>
        <w:bCs/>
        <w:sz w:val="20"/>
      </w:rPr>
      <w:t>70</w:t>
    </w:r>
    <w:r w:rsidRPr="00B87AB1">
      <w:rPr>
        <w:b w:val="0"/>
        <w:bCs/>
        <w:sz w:val="20"/>
      </w:rPr>
      <w:tab/>
    </w:r>
    <w:r w:rsidR="0008654E">
      <w:rPr>
        <w:b w:val="0"/>
        <w:bCs/>
        <w:sz w:val="20"/>
      </w:rPr>
      <w:t>30</w:t>
    </w:r>
    <w:r w:rsidR="006704BB">
      <w:rPr>
        <w:b w:val="0"/>
        <w:bCs/>
        <w:sz w:val="20"/>
      </w:rPr>
      <w:t>12</w:t>
    </w:r>
    <w:r w:rsidRPr="00B87AB1">
      <w:rPr>
        <w:b w:val="0"/>
        <w:bCs/>
        <w:sz w:val="20"/>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A0150C" w14:textId="77777777" w:rsidR="000968D3" w:rsidRPr="00643832" w:rsidRDefault="000968D3" w:rsidP="0048610B">
      <w:pPr>
        <w:spacing w:before="60"/>
        <w:ind w:left="624"/>
        <w:rPr>
          <w:sz w:val="18"/>
          <w:szCs w:val="18"/>
        </w:rPr>
      </w:pPr>
      <w:r w:rsidRPr="00643832">
        <w:rPr>
          <w:sz w:val="18"/>
          <w:szCs w:val="18"/>
        </w:rPr>
        <w:separator/>
      </w:r>
    </w:p>
  </w:footnote>
  <w:footnote w:type="continuationSeparator" w:id="0">
    <w:p w14:paraId="57769829" w14:textId="77777777" w:rsidR="000968D3" w:rsidRDefault="000968D3">
      <w:r>
        <w:continuationSeparator/>
      </w:r>
    </w:p>
  </w:footnote>
  <w:footnote w:type="continuationNotice" w:id="1">
    <w:p w14:paraId="68CA516B" w14:textId="77777777" w:rsidR="000968D3" w:rsidRDefault="000968D3"/>
  </w:footnote>
  <w:footnote w:id="2">
    <w:p w14:paraId="55475D42" w14:textId="774EF832" w:rsidR="00504871" w:rsidRPr="0008654E" w:rsidRDefault="00504871" w:rsidP="0008654E">
      <w:pPr>
        <w:tabs>
          <w:tab w:val="clear" w:pos="1247"/>
          <w:tab w:val="clear" w:pos="1814"/>
          <w:tab w:val="clear" w:pos="2381"/>
          <w:tab w:val="clear" w:pos="2948"/>
          <w:tab w:val="clear" w:pos="3515"/>
        </w:tabs>
        <w:ind w:left="1260"/>
        <w:rPr>
          <w:noProof/>
        </w:rPr>
      </w:pPr>
      <w:r w:rsidRPr="0008654E">
        <w:rPr>
          <w:rStyle w:val="FootnoteReference"/>
          <w:noProof/>
          <w:sz w:val="18"/>
          <w:vertAlign w:val="baseline"/>
        </w:rPr>
        <w:t>*</w:t>
      </w:r>
      <w:r w:rsidRPr="0008654E">
        <w:rPr>
          <w:noProof/>
          <w:sz w:val="18"/>
          <w:szCs w:val="18"/>
        </w:rPr>
        <w:t xml:space="preserve"> </w:t>
      </w:r>
      <w:r w:rsidR="0008654E" w:rsidRPr="0008654E">
        <w:rPr>
          <w:noProof/>
          <w:sz w:val="18"/>
          <w:szCs w:val="18"/>
          <w:lang w:eastAsia="en-KE"/>
        </w:rPr>
        <w:t>Conformément aux décisions prises lors de la réunion du Bureau de l’Assemblée des Nations Unies pour l’environnement tenue le 8 octobre 2020 et lors de la réunion conjointe des Bureaux de l’Assemblée des Nations</w:t>
      </w:r>
      <w:r w:rsidR="00496D3B">
        <w:rPr>
          <w:noProof/>
          <w:sz w:val="18"/>
          <w:szCs w:val="18"/>
          <w:lang w:eastAsia="en-KE"/>
        </w:rPr>
        <w:t> </w:t>
      </w:r>
      <w:r w:rsidR="0008654E" w:rsidRPr="0008654E">
        <w:rPr>
          <w:noProof/>
          <w:sz w:val="18"/>
          <w:szCs w:val="18"/>
          <w:lang w:eastAsia="en-KE"/>
        </w:rPr>
        <w:t>Unies pour l’environnement et du Comité des représentants permanents tenue le 1</w:t>
      </w:r>
      <w:r w:rsidR="0008654E" w:rsidRPr="0008654E">
        <w:rPr>
          <w:noProof/>
          <w:sz w:val="18"/>
          <w:szCs w:val="18"/>
          <w:vertAlign w:val="superscript"/>
          <w:lang w:eastAsia="en-KE"/>
        </w:rPr>
        <w:t>er</w:t>
      </w:r>
      <w:r w:rsidR="0008654E" w:rsidRPr="0008654E">
        <w:rPr>
          <w:noProof/>
          <w:sz w:val="18"/>
          <w:szCs w:val="18"/>
          <w:lang w:eastAsia="en-KE"/>
        </w:rPr>
        <w:t xml:space="preserve"> décembre 2020, la</w:t>
      </w:r>
      <w:r w:rsidR="00496D3B">
        <w:rPr>
          <w:noProof/>
          <w:sz w:val="18"/>
          <w:szCs w:val="18"/>
          <w:lang w:eastAsia="en-KE"/>
        </w:rPr>
        <w:t> </w:t>
      </w:r>
      <w:r w:rsidR="0008654E" w:rsidRPr="0008654E">
        <w:rPr>
          <w:noProof/>
          <w:sz w:val="18"/>
          <w:szCs w:val="18"/>
          <w:lang w:eastAsia="en-KE"/>
        </w:rPr>
        <w:t>cinquième</w:t>
      </w:r>
      <w:r w:rsidR="0008654E">
        <w:rPr>
          <w:noProof/>
          <w:sz w:val="18"/>
          <w:szCs w:val="18"/>
          <w:lang w:eastAsia="en-KE"/>
        </w:rPr>
        <w:t> </w:t>
      </w:r>
      <w:r w:rsidR="0008654E" w:rsidRPr="0008654E">
        <w:rPr>
          <w:noProof/>
          <w:sz w:val="18"/>
          <w:szCs w:val="18"/>
          <w:lang w:eastAsia="en-KE"/>
        </w:rPr>
        <w:t>session de l’Assemblée devrait être ajournée le 23 février 2021 et reprendre en présentiel en février</w:t>
      </w:r>
      <w:r w:rsidR="00496D3B">
        <w:rPr>
          <w:noProof/>
          <w:sz w:val="18"/>
          <w:szCs w:val="18"/>
          <w:lang w:eastAsia="en-KE"/>
        </w:rPr>
        <w:t> </w:t>
      </w:r>
      <w:r w:rsidR="0008654E" w:rsidRPr="0008654E">
        <w:rPr>
          <w:noProof/>
          <w:sz w:val="18"/>
          <w:szCs w:val="18"/>
          <w:lang w:eastAsia="en-KE"/>
        </w:rPr>
        <w:t>2022.</w:t>
      </w:r>
    </w:p>
  </w:footnote>
  <w:footnote w:id="3">
    <w:p w14:paraId="0AC52284" w14:textId="4472D915" w:rsidR="0008654E" w:rsidRPr="0008654E" w:rsidRDefault="0008654E">
      <w:pPr>
        <w:pStyle w:val="FootnoteText"/>
        <w:rPr>
          <w:lang w:val="en-US"/>
        </w:rPr>
      </w:pPr>
      <w:r w:rsidRPr="0008654E">
        <w:rPr>
          <w:rStyle w:val="FootnoteReference"/>
          <w:vertAlign w:val="baseline"/>
        </w:rPr>
        <w:t>**</w:t>
      </w:r>
      <w:r w:rsidRPr="0008654E">
        <w:t xml:space="preserve"> </w:t>
      </w:r>
      <w:r>
        <w:rPr>
          <w:lang w:val="fr-FR"/>
        </w:rPr>
        <w:t>UNEP/EA.5/1</w:t>
      </w:r>
      <w:r w:rsidR="00431F96">
        <w:rPr>
          <w:lang w:val="fr-FR"/>
        </w:rPr>
        <w:t>/Rev.1</w:t>
      </w:r>
      <w:r>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4C038" w14:textId="14681156" w:rsidR="00601AF9" w:rsidRPr="00A67F0E" w:rsidRDefault="00601AF9" w:rsidP="00177088">
    <w:pPr>
      <w:pStyle w:val="Header-pool"/>
    </w:pPr>
    <w:r w:rsidRPr="00A67F0E">
      <w:rPr>
        <w:bCs/>
        <w:lang w:val="en-GB"/>
      </w:rPr>
      <w:t>UNEP</w:t>
    </w:r>
    <w:r w:rsidRPr="00A67F0E">
      <w:rPr>
        <w:noProof/>
        <w:lang w:val="en-GB"/>
      </w:rPr>
      <w:t>/EA.</w:t>
    </w:r>
    <w:r>
      <w:rPr>
        <w:noProof/>
        <w:lang w:val="en-GB"/>
      </w:rPr>
      <w:t>5</w:t>
    </w:r>
    <w:r w:rsidRPr="00A67F0E">
      <w:rPr>
        <w:noProof/>
        <w:lang w:val="en-GB"/>
      </w:rPr>
      <w:t>/</w:t>
    </w:r>
    <w:r>
      <w:rPr>
        <w:noProof/>
        <w:lang w:val="en-GB"/>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5C355" w14:textId="776DC5AA" w:rsidR="00601AF9" w:rsidRPr="00F90D6F" w:rsidRDefault="00601AF9" w:rsidP="00F90D6F">
    <w:pPr>
      <w:pStyle w:val="Header-pool"/>
      <w:jc w:val="right"/>
    </w:pPr>
    <w:r w:rsidRPr="00F90D6F">
      <w:t>UNEP/EA.5/7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E2702" w14:textId="6AE5FEAD" w:rsidR="00601AF9" w:rsidRDefault="00601AF9" w:rsidP="00B87AB1">
    <w:pPr>
      <w:pStyle w:val="Header-pool"/>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 w15:restartNumberingAfterBreak="0">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 w15:restartNumberingAfterBreak="0">
    <w:nsid w:val="62291BF8"/>
    <w:multiLevelType w:val="multilevel"/>
    <w:tmpl w:val="F4ACF36E"/>
    <w:numStyleLink w:val="Normallist"/>
  </w:abstractNum>
  <w:num w:numId="1">
    <w:abstractNumId w:val="0"/>
  </w:num>
  <w:num w:numId="2">
    <w:abstractNumId w:val="1"/>
  </w:num>
  <w:num w:numId="3">
    <w:abstractNumId w:val="2"/>
  </w:num>
  <w:num w:numId="4">
    <w:abstractNumId w:val="3"/>
    <w:lvlOverride w:ilvl="0">
      <w:lvl w:ilvl="0">
        <w:start w:val="1"/>
        <w:numFmt w:val="decimal"/>
        <w:pStyle w:val="Normalnumber"/>
        <w:lvlText w:val="%1."/>
        <w:lvlJc w:val="left"/>
        <w:pPr>
          <w:tabs>
            <w:tab w:val="num" w:pos="567"/>
          </w:tabs>
          <w:ind w:left="1247" w:firstLine="0"/>
        </w:pPr>
        <w:rPr>
          <w:rFonts w:hint="default"/>
          <w:i w:val="0"/>
          <w:iCs w:val="0"/>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fr-CA" w:vendorID="64" w:dllVersion="0" w:nlCheck="1" w:checkStyle="0"/>
  <w:activeWritingStyle w:appName="MSWord" w:lang="en-CA" w:vendorID="64" w:dllVersion="0" w:nlCheck="1" w:checkStyle="0"/>
  <w:activeWritingStyle w:appName="MSWord" w:lang="en-GB" w:vendorID="64" w:dllVersion="4096" w:nlCheck="1" w:checkStyle="0"/>
  <w:activeWritingStyle w:appName="MSWord" w:lang="fr-CA"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KE"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defaultTabStop w:val="624"/>
  <w:hyphenationZone w:val="425"/>
  <w:evenAndOddHeaders/>
  <w:noPunctuationKerning/>
  <w:characterSpacingControl w:val="doNotCompress"/>
  <w:hdrShapeDefaults>
    <o:shapedefaults v:ext="edit" spidmax="6145"/>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A0MDIxMLY0NrY0sjRT0lEKTi0uzszPAykwqgUAa/bMvSwAAAA="/>
  </w:docVars>
  <w:rsids>
    <w:rsidRoot w:val="00091FA7"/>
    <w:rsid w:val="0000760B"/>
    <w:rsid w:val="00007A53"/>
    <w:rsid w:val="00010971"/>
    <w:rsid w:val="00012077"/>
    <w:rsid w:val="000149E6"/>
    <w:rsid w:val="000166AE"/>
    <w:rsid w:val="00020068"/>
    <w:rsid w:val="000247B0"/>
    <w:rsid w:val="00026997"/>
    <w:rsid w:val="00030898"/>
    <w:rsid w:val="00033E0B"/>
    <w:rsid w:val="00035EDE"/>
    <w:rsid w:val="000509B4"/>
    <w:rsid w:val="00052070"/>
    <w:rsid w:val="00055056"/>
    <w:rsid w:val="00057A47"/>
    <w:rsid w:val="0006035B"/>
    <w:rsid w:val="0006047E"/>
    <w:rsid w:val="00063D10"/>
    <w:rsid w:val="0006440B"/>
    <w:rsid w:val="0007060F"/>
    <w:rsid w:val="00070740"/>
    <w:rsid w:val="00071886"/>
    <w:rsid w:val="00074171"/>
    <w:rsid w:val="000742BC"/>
    <w:rsid w:val="00074FE5"/>
    <w:rsid w:val="000751B6"/>
    <w:rsid w:val="00075A44"/>
    <w:rsid w:val="00080C63"/>
    <w:rsid w:val="00082A0C"/>
    <w:rsid w:val="00083504"/>
    <w:rsid w:val="0008654E"/>
    <w:rsid w:val="000877FC"/>
    <w:rsid w:val="00087DE3"/>
    <w:rsid w:val="00091D22"/>
    <w:rsid w:val="00091FA7"/>
    <w:rsid w:val="0009640C"/>
    <w:rsid w:val="000968D3"/>
    <w:rsid w:val="000A13C5"/>
    <w:rsid w:val="000B1231"/>
    <w:rsid w:val="000B22A2"/>
    <w:rsid w:val="000B6A59"/>
    <w:rsid w:val="000C2A52"/>
    <w:rsid w:val="000C30E8"/>
    <w:rsid w:val="000C6AAB"/>
    <w:rsid w:val="000D09B0"/>
    <w:rsid w:val="000D33C0"/>
    <w:rsid w:val="000D4A65"/>
    <w:rsid w:val="000D6941"/>
    <w:rsid w:val="000E09E6"/>
    <w:rsid w:val="00100766"/>
    <w:rsid w:val="00101863"/>
    <w:rsid w:val="0010497A"/>
    <w:rsid w:val="0011190A"/>
    <w:rsid w:val="00112D7C"/>
    <w:rsid w:val="0011310C"/>
    <w:rsid w:val="001202E3"/>
    <w:rsid w:val="00123699"/>
    <w:rsid w:val="00123C52"/>
    <w:rsid w:val="00125827"/>
    <w:rsid w:val="0013059D"/>
    <w:rsid w:val="00141A55"/>
    <w:rsid w:val="001446A3"/>
    <w:rsid w:val="00150D94"/>
    <w:rsid w:val="00155395"/>
    <w:rsid w:val="00160120"/>
    <w:rsid w:val="00160D74"/>
    <w:rsid w:val="00163919"/>
    <w:rsid w:val="00167760"/>
    <w:rsid w:val="00167D02"/>
    <w:rsid w:val="00170216"/>
    <w:rsid w:val="00177088"/>
    <w:rsid w:val="00181EC8"/>
    <w:rsid w:val="00184349"/>
    <w:rsid w:val="0018635E"/>
    <w:rsid w:val="00190E9E"/>
    <w:rsid w:val="00195F33"/>
    <w:rsid w:val="001A179F"/>
    <w:rsid w:val="001A54A9"/>
    <w:rsid w:val="001A5C87"/>
    <w:rsid w:val="001B1617"/>
    <w:rsid w:val="001B504B"/>
    <w:rsid w:val="001C31AF"/>
    <w:rsid w:val="001C7D11"/>
    <w:rsid w:val="001C7D7F"/>
    <w:rsid w:val="001D0C19"/>
    <w:rsid w:val="001D2E7D"/>
    <w:rsid w:val="001D3874"/>
    <w:rsid w:val="001D79B8"/>
    <w:rsid w:val="001D7E75"/>
    <w:rsid w:val="001E3707"/>
    <w:rsid w:val="001E3CB7"/>
    <w:rsid w:val="001E503F"/>
    <w:rsid w:val="001E56D2"/>
    <w:rsid w:val="001E57D4"/>
    <w:rsid w:val="001E7D56"/>
    <w:rsid w:val="001F2443"/>
    <w:rsid w:val="001F75DE"/>
    <w:rsid w:val="00200D58"/>
    <w:rsid w:val="002013BE"/>
    <w:rsid w:val="002063A4"/>
    <w:rsid w:val="00206E77"/>
    <w:rsid w:val="0021145B"/>
    <w:rsid w:val="00212328"/>
    <w:rsid w:val="002146C0"/>
    <w:rsid w:val="00223F18"/>
    <w:rsid w:val="0022436A"/>
    <w:rsid w:val="002245B6"/>
    <w:rsid w:val="00227485"/>
    <w:rsid w:val="002345A6"/>
    <w:rsid w:val="002379C0"/>
    <w:rsid w:val="00241A3E"/>
    <w:rsid w:val="00242E48"/>
    <w:rsid w:val="00243D36"/>
    <w:rsid w:val="00247707"/>
    <w:rsid w:val="0026012F"/>
    <w:rsid w:val="0026018E"/>
    <w:rsid w:val="00266D27"/>
    <w:rsid w:val="002779A7"/>
    <w:rsid w:val="00286740"/>
    <w:rsid w:val="00291D38"/>
    <w:rsid w:val="002929D8"/>
    <w:rsid w:val="00293036"/>
    <w:rsid w:val="00296929"/>
    <w:rsid w:val="00297F3C"/>
    <w:rsid w:val="002A127D"/>
    <w:rsid w:val="002A1F8A"/>
    <w:rsid w:val="002A237D"/>
    <w:rsid w:val="002A4C53"/>
    <w:rsid w:val="002A50DE"/>
    <w:rsid w:val="002B01EA"/>
    <w:rsid w:val="002B0672"/>
    <w:rsid w:val="002B247F"/>
    <w:rsid w:val="002B675B"/>
    <w:rsid w:val="002C145D"/>
    <w:rsid w:val="002C1D9E"/>
    <w:rsid w:val="002C2C3E"/>
    <w:rsid w:val="002C517B"/>
    <w:rsid w:val="002C533E"/>
    <w:rsid w:val="002C7D03"/>
    <w:rsid w:val="002D027F"/>
    <w:rsid w:val="002D386A"/>
    <w:rsid w:val="002D3C64"/>
    <w:rsid w:val="002D409D"/>
    <w:rsid w:val="002D4624"/>
    <w:rsid w:val="002D7358"/>
    <w:rsid w:val="002D7A85"/>
    <w:rsid w:val="002D7B60"/>
    <w:rsid w:val="002E44A1"/>
    <w:rsid w:val="002E48CE"/>
    <w:rsid w:val="002E512F"/>
    <w:rsid w:val="002F0F0A"/>
    <w:rsid w:val="002F4520"/>
    <w:rsid w:val="002F4761"/>
    <w:rsid w:val="002F5C79"/>
    <w:rsid w:val="00300A10"/>
    <w:rsid w:val="003019E2"/>
    <w:rsid w:val="00303867"/>
    <w:rsid w:val="00304F8D"/>
    <w:rsid w:val="0031413F"/>
    <w:rsid w:val="003148BB"/>
    <w:rsid w:val="00317976"/>
    <w:rsid w:val="00327491"/>
    <w:rsid w:val="00340BA1"/>
    <w:rsid w:val="00343AA8"/>
    <w:rsid w:val="00344F72"/>
    <w:rsid w:val="00345684"/>
    <w:rsid w:val="00351F16"/>
    <w:rsid w:val="0035476D"/>
    <w:rsid w:val="00355EA9"/>
    <w:rsid w:val="003578DE"/>
    <w:rsid w:val="00360306"/>
    <w:rsid w:val="00361744"/>
    <w:rsid w:val="0036268A"/>
    <w:rsid w:val="00363E12"/>
    <w:rsid w:val="0036679E"/>
    <w:rsid w:val="00375652"/>
    <w:rsid w:val="003800B6"/>
    <w:rsid w:val="00383B45"/>
    <w:rsid w:val="00390B8B"/>
    <w:rsid w:val="00393E4B"/>
    <w:rsid w:val="00394131"/>
    <w:rsid w:val="00395C92"/>
    <w:rsid w:val="00395D25"/>
    <w:rsid w:val="00396257"/>
    <w:rsid w:val="003962B0"/>
    <w:rsid w:val="00397EB8"/>
    <w:rsid w:val="003A2006"/>
    <w:rsid w:val="003A3C9B"/>
    <w:rsid w:val="003A4FD0"/>
    <w:rsid w:val="003A69D1"/>
    <w:rsid w:val="003A7705"/>
    <w:rsid w:val="003A77F1"/>
    <w:rsid w:val="003B1545"/>
    <w:rsid w:val="003B1DE1"/>
    <w:rsid w:val="003B444A"/>
    <w:rsid w:val="003B58B9"/>
    <w:rsid w:val="003B6617"/>
    <w:rsid w:val="003C00A0"/>
    <w:rsid w:val="003C1EEE"/>
    <w:rsid w:val="003C33C8"/>
    <w:rsid w:val="003C409D"/>
    <w:rsid w:val="003C5BA6"/>
    <w:rsid w:val="003E60DB"/>
    <w:rsid w:val="003F0E85"/>
    <w:rsid w:val="003F0FE4"/>
    <w:rsid w:val="003F2079"/>
    <w:rsid w:val="00406F65"/>
    <w:rsid w:val="00410C55"/>
    <w:rsid w:val="0041285A"/>
    <w:rsid w:val="00416854"/>
    <w:rsid w:val="00417725"/>
    <w:rsid w:val="00420C23"/>
    <w:rsid w:val="00431F96"/>
    <w:rsid w:val="00432B4B"/>
    <w:rsid w:val="00435B91"/>
    <w:rsid w:val="00437117"/>
    <w:rsid w:val="00437F26"/>
    <w:rsid w:val="00440150"/>
    <w:rsid w:val="0044062D"/>
    <w:rsid w:val="0044180F"/>
    <w:rsid w:val="00444097"/>
    <w:rsid w:val="00444B06"/>
    <w:rsid w:val="00445487"/>
    <w:rsid w:val="004509CC"/>
    <w:rsid w:val="00451B49"/>
    <w:rsid w:val="00454769"/>
    <w:rsid w:val="00466991"/>
    <w:rsid w:val="0047064C"/>
    <w:rsid w:val="004713B7"/>
    <w:rsid w:val="00474064"/>
    <w:rsid w:val="004800FA"/>
    <w:rsid w:val="00484DDB"/>
    <w:rsid w:val="0048610B"/>
    <w:rsid w:val="00496D3B"/>
    <w:rsid w:val="004A42E1"/>
    <w:rsid w:val="004A45B2"/>
    <w:rsid w:val="004A48FB"/>
    <w:rsid w:val="004A761D"/>
    <w:rsid w:val="004B0FC2"/>
    <w:rsid w:val="004B162C"/>
    <w:rsid w:val="004B1F5F"/>
    <w:rsid w:val="004B2703"/>
    <w:rsid w:val="004B3EA8"/>
    <w:rsid w:val="004B3FC1"/>
    <w:rsid w:val="004B521E"/>
    <w:rsid w:val="004B6057"/>
    <w:rsid w:val="004C379F"/>
    <w:rsid w:val="004C3D4E"/>
    <w:rsid w:val="004C3DBE"/>
    <w:rsid w:val="004C5C96"/>
    <w:rsid w:val="004D06A4"/>
    <w:rsid w:val="004D0E4D"/>
    <w:rsid w:val="004D5F74"/>
    <w:rsid w:val="004D6A29"/>
    <w:rsid w:val="004E4919"/>
    <w:rsid w:val="004F09E0"/>
    <w:rsid w:val="004F1A81"/>
    <w:rsid w:val="004F3D44"/>
    <w:rsid w:val="004F6844"/>
    <w:rsid w:val="00504871"/>
    <w:rsid w:val="005218D9"/>
    <w:rsid w:val="00523317"/>
    <w:rsid w:val="0052629C"/>
    <w:rsid w:val="00531E6F"/>
    <w:rsid w:val="00532011"/>
    <w:rsid w:val="00536186"/>
    <w:rsid w:val="0053641D"/>
    <w:rsid w:val="00536C58"/>
    <w:rsid w:val="0054498C"/>
    <w:rsid w:val="00544CBB"/>
    <w:rsid w:val="00546844"/>
    <w:rsid w:val="0054756D"/>
    <w:rsid w:val="0057239E"/>
    <w:rsid w:val="00572CE8"/>
    <w:rsid w:val="0057315F"/>
    <w:rsid w:val="00573EF1"/>
    <w:rsid w:val="00576104"/>
    <w:rsid w:val="00580090"/>
    <w:rsid w:val="005818BA"/>
    <w:rsid w:val="00582BC0"/>
    <w:rsid w:val="005A3DF4"/>
    <w:rsid w:val="005A7B96"/>
    <w:rsid w:val="005B4F16"/>
    <w:rsid w:val="005B4F5F"/>
    <w:rsid w:val="005B675D"/>
    <w:rsid w:val="005C21AE"/>
    <w:rsid w:val="005C5E59"/>
    <w:rsid w:val="005C67C8"/>
    <w:rsid w:val="005C7140"/>
    <w:rsid w:val="005C72D8"/>
    <w:rsid w:val="005D0249"/>
    <w:rsid w:val="005D5400"/>
    <w:rsid w:val="005D6E8C"/>
    <w:rsid w:val="005E02C1"/>
    <w:rsid w:val="005E0549"/>
    <w:rsid w:val="005E34AD"/>
    <w:rsid w:val="005E3984"/>
    <w:rsid w:val="005E4EB1"/>
    <w:rsid w:val="005E5E0C"/>
    <w:rsid w:val="005F100C"/>
    <w:rsid w:val="005F381A"/>
    <w:rsid w:val="005F65BB"/>
    <w:rsid w:val="005F68DA"/>
    <w:rsid w:val="00600AB4"/>
    <w:rsid w:val="00601AF9"/>
    <w:rsid w:val="00602EEE"/>
    <w:rsid w:val="0060713B"/>
    <w:rsid w:val="0060773B"/>
    <w:rsid w:val="006123DF"/>
    <w:rsid w:val="00612F3F"/>
    <w:rsid w:val="00613E2D"/>
    <w:rsid w:val="006157B5"/>
    <w:rsid w:val="00615E75"/>
    <w:rsid w:val="00616CB1"/>
    <w:rsid w:val="00616E6E"/>
    <w:rsid w:val="00620BE8"/>
    <w:rsid w:val="006214BE"/>
    <w:rsid w:val="006214E8"/>
    <w:rsid w:val="00626FC6"/>
    <w:rsid w:val="006303B4"/>
    <w:rsid w:val="00631354"/>
    <w:rsid w:val="00633D3D"/>
    <w:rsid w:val="006375A9"/>
    <w:rsid w:val="00641703"/>
    <w:rsid w:val="0064197F"/>
    <w:rsid w:val="006431A6"/>
    <w:rsid w:val="00643832"/>
    <w:rsid w:val="00644B2D"/>
    <w:rsid w:val="006459F6"/>
    <w:rsid w:val="006501AD"/>
    <w:rsid w:val="00651BFA"/>
    <w:rsid w:val="00654475"/>
    <w:rsid w:val="00664B07"/>
    <w:rsid w:val="00665A4B"/>
    <w:rsid w:val="00665DDE"/>
    <w:rsid w:val="00667C1F"/>
    <w:rsid w:val="00667CF7"/>
    <w:rsid w:val="006704BB"/>
    <w:rsid w:val="00673FD1"/>
    <w:rsid w:val="0068295D"/>
    <w:rsid w:val="00683BB2"/>
    <w:rsid w:val="00683F7F"/>
    <w:rsid w:val="006870D7"/>
    <w:rsid w:val="00692E2A"/>
    <w:rsid w:val="006A1844"/>
    <w:rsid w:val="006A4C0A"/>
    <w:rsid w:val="006A76F2"/>
    <w:rsid w:val="006B2A60"/>
    <w:rsid w:val="006B45D6"/>
    <w:rsid w:val="006C03CE"/>
    <w:rsid w:val="006C2201"/>
    <w:rsid w:val="006C5B2A"/>
    <w:rsid w:val="006C6549"/>
    <w:rsid w:val="006D17F7"/>
    <w:rsid w:val="006D1A1D"/>
    <w:rsid w:val="006D26B4"/>
    <w:rsid w:val="006D3F30"/>
    <w:rsid w:val="006D7EFB"/>
    <w:rsid w:val="006E4A50"/>
    <w:rsid w:val="006E6672"/>
    <w:rsid w:val="006E6722"/>
    <w:rsid w:val="006F56E6"/>
    <w:rsid w:val="006F6EDC"/>
    <w:rsid w:val="007027B9"/>
    <w:rsid w:val="00705056"/>
    <w:rsid w:val="00707233"/>
    <w:rsid w:val="00707A75"/>
    <w:rsid w:val="0071119A"/>
    <w:rsid w:val="00715E88"/>
    <w:rsid w:val="00726A39"/>
    <w:rsid w:val="007304C3"/>
    <w:rsid w:val="00730626"/>
    <w:rsid w:val="007320EF"/>
    <w:rsid w:val="0073264E"/>
    <w:rsid w:val="007341BD"/>
    <w:rsid w:val="00734CAA"/>
    <w:rsid w:val="00736520"/>
    <w:rsid w:val="0074533E"/>
    <w:rsid w:val="00746684"/>
    <w:rsid w:val="00750DF7"/>
    <w:rsid w:val="0075533C"/>
    <w:rsid w:val="00757581"/>
    <w:rsid w:val="007611A0"/>
    <w:rsid w:val="007647E2"/>
    <w:rsid w:val="007776C9"/>
    <w:rsid w:val="0078186C"/>
    <w:rsid w:val="007941C3"/>
    <w:rsid w:val="00796811"/>
    <w:rsid w:val="00796D3F"/>
    <w:rsid w:val="007A1683"/>
    <w:rsid w:val="007A5C12"/>
    <w:rsid w:val="007A7910"/>
    <w:rsid w:val="007A7CB0"/>
    <w:rsid w:val="007B1200"/>
    <w:rsid w:val="007B59B8"/>
    <w:rsid w:val="007B5DE1"/>
    <w:rsid w:val="007B68A3"/>
    <w:rsid w:val="007C025C"/>
    <w:rsid w:val="007C1F89"/>
    <w:rsid w:val="007C2541"/>
    <w:rsid w:val="007D3B04"/>
    <w:rsid w:val="007D66A8"/>
    <w:rsid w:val="007E003F"/>
    <w:rsid w:val="007E42B8"/>
    <w:rsid w:val="007E7778"/>
    <w:rsid w:val="007F093C"/>
    <w:rsid w:val="008014A9"/>
    <w:rsid w:val="00804293"/>
    <w:rsid w:val="008072EF"/>
    <w:rsid w:val="008164F2"/>
    <w:rsid w:val="00821395"/>
    <w:rsid w:val="0082431A"/>
    <w:rsid w:val="008272BB"/>
    <w:rsid w:val="00830E26"/>
    <w:rsid w:val="0083403A"/>
    <w:rsid w:val="008349AD"/>
    <w:rsid w:val="00843576"/>
    <w:rsid w:val="00843B64"/>
    <w:rsid w:val="00846973"/>
    <w:rsid w:val="008478FC"/>
    <w:rsid w:val="00852629"/>
    <w:rsid w:val="00863E11"/>
    <w:rsid w:val="00866282"/>
    <w:rsid w:val="00867BFF"/>
    <w:rsid w:val="008768F1"/>
    <w:rsid w:val="00883E14"/>
    <w:rsid w:val="0088469E"/>
    <w:rsid w:val="0088480A"/>
    <w:rsid w:val="00884DB3"/>
    <w:rsid w:val="0088757A"/>
    <w:rsid w:val="00892469"/>
    <w:rsid w:val="008931A3"/>
    <w:rsid w:val="008957DD"/>
    <w:rsid w:val="008975E6"/>
    <w:rsid w:val="00897D98"/>
    <w:rsid w:val="008A011D"/>
    <w:rsid w:val="008A5B55"/>
    <w:rsid w:val="008A6314"/>
    <w:rsid w:val="008A6DF2"/>
    <w:rsid w:val="008A7807"/>
    <w:rsid w:val="008B21C6"/>
    <w:rsid w:val="008B4CC9"/>
    <w:rsid w:val="008B51E0"/>
    <w:rsid w:val="008B6BFE"/>
    <w:rsid w:val="008C103B"/>
    <w:rsid w:val="008C1869"/>
    <w:rsid w:val="008C2F27"/>
    <w:rsid w:val="008C4387"/>
    <w:rsid w:val="008C61A2"/>
    <w:rsid w:val="008D255B"/>
    <w:rsid w:val="008D7C99"/>
    <w:rsid w:val="008D7CF3"/>
    <w:rsid w:val="008E0FCB"/>
    <w:rsid w:val="008E2841"/>
    <w:rsid w:val="008E5481"/>
    <w:rsid w:val="0090794E"/>
    <w:rsid w:val="009142D0"/>
    <w:rsid w:val="00916E6A"/>
    <w:rsid w:val="0092178C"/>
    <w:rsid w:val="00930B88"/>
    <w:rsid w:val="009328B6"/>
    <w:rsid w:val="0093687C"/>
    <w:rsid w:val="00937186"/>
    <w:rsid w:val="00940DCC"/>
    <w:rsid w:val="0094179A"/>
    <w:rsid w:val="009438B2"/>
    <w:rsid w:val="0094459E"/>
    <w:rsid w:val="00944DBC"/>
    <w:rsid w:val="00950977"/>
    <w:rsid w:val="0095099F"/>
    <w:rsid w:val="00951A7B"/>
    <w:rsid w:val="00952967"/>
    <w:rsid w:val="009564A6"/>
    <w:rsid w:val="009573E7"/>
    <w:rsid w:val="00957852"/>
    <w:rsid w:val="00960135"/>
    <w:rsid w:val="00962080"/>
    <w:rsid w:val="00962500"/>
    <w:rsid w:val="00967621"/>
    <w:rsid w:val="00967E6A"/>
    <w:rsid w:val="0097508E"/>
    <w:rsid w:val="009777AA"/>
    <w:rsid w:val="00980EB9"/>
    <w:rsid w:val="00981BD6"/>
    <w:rsid w:val="0098512E"/>
    <w:rsid w:val="00997356"/>
    <w:rsid w:val="009A0C7B"/>
    <w:rsid w:val="009A265C"/>
    <w:rsid w:val="009B4A0F"/>
    <w:rsid w:val="009C0027"/>
    <w:rsid w:val="009C11D2"/>
    <w:rsid w:val="009C6295"/>
    <w:rsid w:val="009C6C70"/>
    <w:rsid w:val="009D0B63"/>
    <w:rsid w:val="009D7090"/>
    <w:rsid w:val="009E307E"/>
    <w:rsid w:val="009F1DC7"/>
    <w:rsid w:val="009F3CE0"/>
    <w:rsid w:val="009F5C56"/>
    <w:rsid w:val="00A055A0"/>
    <w:rsid w:val="00A07870"/>
    <w:rsid w:val="00A07F19"/>
    <w:rsid w:val="00A1348D"/>
    <w:rsid w:val="00A232EE"/>
    <w:rsid w:val="00A27C9D"/>
    <w:rsid w:val="00A4111A"/>
    <w:rsid w:val="00A4175F"/>
    <w:rsid w:val="00A43CAF"/>
    <w:rsid w:val="00A44411"/>
    <w:rsid w:val="00A4536B"/>
    <w:rsid w:val="00A469FA"/>
    <w:rsid w:val="00A55618"/>
    <w:rsid w:val="00A55B01"/>
    <w:rsid w:val="00A56B5B"/>
    <w:rsid w:val="00A603FF"/>
    <w:rsid w:val="00A657DD"/>
    <w:rsid w:val="00A666A6"/>
    <w:rsid w:val="00A675FD"/>
    <w:rsid w:val="00A67F0E"/>
    <w:rsid w:val="00A70804"/>
    <w:rsid w:val="00A72437"/>
    <w:rsid w:val="00A80611"/>
    <w:rsid w:val="00A83F7A"/>
    <w:rsid w:val="00A86D2C"/>
    <w:rsid w:val="00A90CE2"/>
    <w:rsid w:val="00A9320A"/>
    <w:rsid w:val="00AA1C42"/>
    <w:rsid w:val="00AA23BF"/>
    <w:rsid w:val="00AA78E8"/>
    <w:rsid w:val="00AB5340"/>
    <w:rsid w:val="00AB58DB"/>
    <w:rsid w:val="00AB5A50"/>
    <w:rsid w:val="00AB6879"/>
    <w:rsid w:val="00AC0A89"/>
    <w:rsid w:val="00AC67A2"/>
    <w:rsid w:val="00AC7C96"/>
    <w:rsid w:val="00AD3A0E"/>
    <w:rsid w:val="00AE237D"/>
    <w:rsid w:val="00AE502A"/>
    <w:rsid w:val="00AF7C07"/>
    <w:rsid w:val="00B0142B"/>
    <w:rsid w:val="00B05BA3"/>
    <w:rsid w:val="00B07834"/>
    <w:rsid w:val="00B17F40"/>
    <w:rsid w:val="00B22C93"/>
    <w:rsid w:val="00B245CD"/>
    <w:rsid w:val="00B27589"/>
    <w:rsid w:val="00B32F19"/>
    <w:rsid w:val="00B3519A"/>
    <w:rsid w:val="00B405B7"/>
    <w:rsid w:val="00B40B1C"/>
    <w:rsid w:val="00B45A1D"/>
    <w:rsid w:val="00B52222"/>
    <w:rsid w:val="00B54FE7"/>
    <w:rsid w:val="00B557D8"/>
    <w:rsid w:val="00B60700"/>
    <w:rsid w:val="00B66901"/>
    <w:rsid w:val="00B71E6D"/>
    <w:rsid w:val="00B72070"/>
    <w:rsid w:val="00B779E1"/>
    <w:rsid w:val="00B85DF3"/>
    <w:rsid w:val="00B87AB1"/>
    <w:rsid w:val="00B91EE1"/>
    <w:rsid w:val="00B93C54"/>
    <w:rsid w:val="00BA0090"/>
    <w:rsid w:val="00BA06C4"/>
    <w:rsid w:val="00BA0AF8"/>
    <w:rsid w:val="00BA0C8B"/>
    <w:rsid w:val="00BA1A67"/>
    <w:rsid w:val="00BA3031"/>
    <w:rsid w:val="00BB1C33"/>
    <w:rsid w:val="00BB3D1A"/>
    <w:rsid w:val="00BC3331"/>
    <w:rsid w:val="00BD27E2"/>
    <w:rsid w:val="00BD4A91"/>
    <w:rsid w:val="00BD7BE5"/>
    <w:rsid w:val="00BE131F"/>
    <w:rsid w:val="00BE18CD"/>
    <w:rsid w:val="00BE5B5F"/>
    <w:rsid w:val="00BE5F64"/>
    <w:rsid w:val="00BE7B92"/>
    <w:rsid w:val="00BF5FDD"/>
    <w:rsid w:val="00C004D1"/>
    <w:rsid w:val="00C04186"/>
    <w:rsid w:val="00C10B0E"/>
    <w:rsid w:val="00C11CCE"/>
    <w:rsid w:val="00C147B9"/>
    <w:rsid w:val="00C179DB"/>
    <w:rsid w:val="00C21B7B"/>
    <w:rsid w:val="00C26F55"/>
    <w:rsid w:val="00C270E1"/>
    <w:rsid w:val="00C30C63"/>
    <w:rsid w:val="00C36B8B"/>
    <w:rsid w:val="00C415C1"/>
    <w:rsid w:val="00C43617"/>
    <w:rsid w:val="00C46FF2"/>
    <w:rsid w:val="00C47DBF"/>
    <w:rsid w:val="00C47FFC"/>
    <w:rsid w:val="00C525C4"/>
    <w:rsid w:val="00C552FF"/>
    <w:rsid w:val="00C558DA"/>
    <w:rsid w:val="00C55AF3"/>
    <w:rsid w:val="00C60880"/>
    <w:rsid w:val="00C63014"/>
    <w:rsid w:val="00C664AA"/>
    <w:rsid w:val="00C67024"/>
    <w:rsid w:val="00C70447"/>
    <w:rsid w:val="00C74DDF"/>
    <w:rsid w:val="00C83D89"/>
    <w:rsid w:val="00C84759"/>
    <w:rsid w:val="00C903BE"/>
    <w:rsid w:val="00C9062E"/>
    <w:rsid w:val="00C90F8A"/>
    <w:rsid w:val="00C958CF"/>
    <w:rsid w:val="00CA13FF"/>
    <w:rsid w:val="00CA6C7F"/>
    <w:rsid w:val="00CA79BB"/>
    <w:rsid w:val="00CB39F8"/>
    <w:rsid w:val="00CB403D"/>
    <w:rsid w:val="00CB518C"/>
    <w:rsid w:val="00CC03CF"/>
    <w:rsid w:val="00CC10A6"/>
    <w:rsid w:val="00CC2B32"/>
    <w:rsid w:val="00CC4EA5"/>
    <w:rsid w:val="00CC51DF"/>
    <w:rsid w:val="00CD1C12"/>
    <w:rsid w:val="00CD2911"/>
    <w:rsid w:val="00CD5A95"/>
    <w:rsid w:val="00CD5EB8"/>
    <w:rsid w:val="00CD7044"/>
    <w:rsid w:val="00CE08B9"/>
    <w:rsid w:val="00CE524C"/>
    <w:rsid w:val="00CE7C59"/>
    <w:rsid w:val="00CF141F"/>
    <w:rsid w:val="00CF4777"/>
    <w:rsid w:val="00CF6CEA"/>
    <w:rsid w:val="00D03E04"/>
    <w:rsid w:val="00D0608C"/>
    <w:rsid w:val="00D067BB"/>
    <w:rsid w:val="00D07F86"/>
    <w:rsid w:val="00D1352A"/>
    <w:rsid w:val="00D169AF"/>
    <w:rsid w:val="00D25249"/>
    <w:rsid w:val="00D321C6"/>
    <w:rsid w:val="00D36256"/>
    <w:rsid w:val="00D37EF8"/>
    <w:rsid w:val="00D44172"/>
    <w:rsid w:val="00D544C9"/>
    <w:rsid w:val="00D5475A"/>
    <w:rsid w:val="00D54FCC"/>
    <w:rsid w:val="00D55581"/>
    <w:rsid w:val="00D60D3F"/>
    <w:rsid w:val="00D63B8C"/>
    <w:rsid w:val="00D63F28"/>
    <w:rsid w:val="00D66A15"/>
    <w:rsid w:val="00D7205F"/>
    <w:rsid w:val="00D739CC"/>
    <w:rsid w:val="00D746E9"/>
    <w:rsid w:val="00D753A0"/>
    <w:rsid w:val="00D8093D"/>
    <w:rsid w:val="00D8108C"/>
    <w:rsid w:val="00D8424E"/>
    <w:rsid w:val="00D842AE"/>
    <w:rsid w:val="00D9211C"/>
    <w:rsid w:val="00D92DE0"/>
    <w:rsid w:val="00D92FEF"/>
    <w:rsid w:val="00D93A0F"/>
    <w:rsid w:val="00D97BBB"/>
    <w:rsid w:val="00DA1BCA"/>
    <w:rsid w:val="00DA44C3"/>
    <w:rsid w:val="00DA52A9"/>
    <w:rsid w:val="00DC3D67"/>
    <w:rsid w:val="00DC468F"/>
    <w:rsid w:val="00DC46FF"/>
    <w:rsid w:val="00DC5254"/>
    <w:rsid w:val="00DD1A4F"/>
    <w:rsid w:val="00DD3107"/>
    <w:rsid w:val="00DD76CF"/>
    <w:rsid w:val="00DD7C2C"/>
    <w:rsid w:val="00DE4531"/>
    <w:rsid w:val="00DE5CB1"/>
    <w:rsid w:val="00DF0A04"/>
    <w:rsid w:val="00DF1472"/>
    <w:rsid w:val="00DF58F4"/>
    <w:rsid w:val="00DF6E4B"/>
    <w:rsid w:val="00E06797"/>
    <w:rsid w:val="00E07C4B"/>
    <w:rsid w:val="00E07D43"/>
    <w:rsid w:val="00E1109D"/>
    <w:rsid w:val="00E1265B"/>
    <w:rsid w:val="00E13B48"/>
    <w:rsid w:val="00E1404F"/>
    <w:rsid w:val="00E21C83"/>
    <w:rsid w:val="00E2411E"/>
    <w:rsid w:val="00E243D1"/>
    <w:rsid w:val="00E24ADA"/>
    <w:rsid w:val="00E2683B"/>
    <w:rsid w:val="00E32F59"/>
    <w:rsid w:val="00E37584"/>
    <w:rsid w:val="00E46D9A"/>
    <w:rsid w:val="00E538C2"/>
    <w:rsid w:val="00E5585D"/>
    <w:rsid w:val="00E565FF"/>
    <w:rsid w:val="00E65388"/>
    <w:rsid w:val="00E71085"/>
    <w:rsid w:val="00E738BD"/>
    <w:rsid w:val="00E73E27"/>
    <w:rsid w:val="00E749EA"/>
    <w:rsid w:val="00E834E6"/>
    <w:rsid w:val="00E84C32"/>
    <w:rsid w:val="00E85B7D"/>
    <w:rsid w:val="00E87162"/>
    <w:rsid w:val="00E9121B"/>
    <w:rsid w:val="00E93A82"/>
    <w:rsid w:val="00EA0AE2"/>
    <w:rsid w:val="00EA39E5"/>
    <w:rsid w:val="00EB3100"/>
    <w:rsid w:val="00EB3D44"/>
    <w:rsid w:val="00EB57B2"/>
    <w:rsid w:val="00EB7379"/>
    <w:rsid w:val="00EB76A2"/>
    <w:rsid w:val="00EC1536"/>
    <w:rsid w:val="00EC57A0"/>
    <w:rsid w:val="00EC5A46"/>
    <w:rsid w:val="00EC5CEA"/>
    <w:rsid w:val="00EC63E2"/>
    <w:rsid w:val="00ED03E0"/>
    <w:rsid w:val="00ED68AA"/>
    <w:rsid w:val="00EE1C1A"/>
    <w:rsid w:val="00EE67D1"/>
    <w:rsid w:val="00EF22B3"/>
    <w:rsid w:val="00EF539C"/>
    <w:rsid w:val="00EF5707"/>
    <w:rsid w:val="00F000E2"/>
    <w:rsid w:val="00F0181D"/>
    <w:rsid w:val="00F03B69"/>
    <w:rsid w:val="00F07A50"/>
    <w:rsid w:val="00F107A4"/>
    <w:rsid w:val="00F113DA"/>
    <w:rsid w:val="00F26E01"/>
    <w:rsid w:val="00F33F50"/>
    <w:rsid w:val="00F36D1D"/>
    <w:rsid w:val="00F37DC8"/>
    <w:rsid w:val="00F439B3"/>
    <w:rsid w:val="00F56AF2"/>
    <w:rsid w:val="00F611EC"/>
    <w:rsid w:val="00F650C3"/>
    <w:rsid w:val="00F65AB0"/>
    <w:rsid w:val="00F65D85"/>
    <w:rsid w:val="00F7021C"/>
    <w:rsid w:val="00F735BF"/>
    <w:rsid w:val="00F76E5F"/>
    <w:rsid w:val="00F8091E"/>
    <w:rsid w:val="00F820B5"/>
    <w:rsid w:val="00F83B6F"/>
    <w:rsid w:val="00F85A5A"/>
    <w:rsid w:val="00F8615C"/>
    <w:rsid w:val="00F90D6F"/>
    <w:rsid w:val="00F969E5"/>
    <w:rsid w:val="00FA00D6"/>
    <w:rsid w:val="00FA04DB"/>
    <w:rsid w:val="00FA05B9"/>
    <w:rsid w:val="00FA0727"/>
    <w:rsid w:val="00FA1AD9"/>
    <w:rsid w:val="00FA6BB0"/>
    <w:rsid w:val="00FB41A4"/>
    <w:rsid w:val="00FB4E51"/>
    <w:rsid w:val="00FC27C4"/>
    <w:rsid w:val="00FC4809"/>
    <w:rsid w:val="00FD2A12"/>
    <w:rsid w:val="00FD3F9A"/>
    <w:rsid w:val="00FD5860"/>
    <w:rsid w:val="00FE149F"/>
    <w:rsid w:val="00FE352D"/>
    <w:rsid w:val="00FE40EB"/>
    <w:rsid w:val="00FE4D02"/>
    <w:rsid w:val="00FE7D62"/>
    <w:rsid w:val="00FF1DA5"/>
    <w:rsid w:val="00FF3819"/>
    <w:rsid w:val="00FF38B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182180A"/>
  <w15:docId w15:val="{068FF269-7FCA-4C4D-BE2A-DCB1828C5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0D6F"/>
    <w:pPr>
      <w:tabs>
        <w:tab w:val="left" w:pos="1247"/>
        <w:tab w:val="left" w:pos="1814"/>
        <w:tab w:val="left" w:pos="2381"/>
        <w:tab w:val="left" w:pos="2948"/>
        <w:tab w:val="left" w:pos="3515"/>
      </w:tabs>
    </w:pPr>
    <w:rPr>
      <w:lang w:val="fr-FR"/>
    </w:rPr>
  </w:style>
  <w:style w:type="paragraph" w:styleId="Heading1">
    <w:name w:val="heading 1"/>
    <w:basedOn w:val="Normal"/>
    <w:next w:val="Normalnumber"/>
    <w:link w:val="Heading1Char"/>
    <w:qFormat/>
    <w:rsid w:val="00F90D6F"/>
    <w:pPr>
      <w:keepNext/>
      <w:spacing w:before="240" w:after="120"/>
      <w:ind w:left="1247" w:hanging="680"/>
      <w:outlineLvl w:val="0"/>
    </w:pPr>
    <w:rPr>
      <w:b/>
      <w:sz w:val="28"/>
    </w:rPr>
  </w:style>
  <w:style w:type="paragraph" w:styleId="Heading2">
    <w:name w:val="heading 2"/>
    <w:basedOn w:val="Normal"/>
    <w:next w:val="Normalnumber"/>
    <w:link w:val="Heading2Char"/>
    <w:qFormat/>
    <w:rsid w:val="00F90D6F"/>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F90D6F"/>
    <w:pPr>
      <w:spacing w:after="120"/>
      <w:ind w:left="1247" w:hanging="680"/>
      <w:outlineLvl w:val="2"/>
    </w:pPr>
    <w:rPr>
      <w:b/>
    </w:rPr>
  </w:style>
  <w:style w:type="paragraph" w:styleId="Heading4">
    <w:name w:val="heading 4"/>
    <w:basedOn w:val="Heading3"/>
    <w:next w:val="Normalnumber"/>
    <w:link w:val="Heading4Char"/>
    <w:qFormat/>
    <w:rsid w:val="00F90D6F"/>
    <w:pPr>
      <w:keepNext/>
      <w:outlineLvl w:val="3"/>
    </w:pPr>
  </w:style>
  <w:style w:type="paragraph" w:styleId="Heading5">
    <w:name w:val="heading 5"/>
    <w:basedOn w:val="Normal"/>
    <w:next w:val="Normal"/>
    <w:link w:val="Heading5Char"/>
    <w:qFormat/>
    <w:rsid w:val="00F90D6F"/>
    <w:pPr>
      <w:keepNext/>
      <w:outlineLvl w:val="4"/>
    </w:pPr>
    <w:rPr>
      <w:rFonts w:ascii="Univers" w:hAnsi="Univers"/>
      <w:b/>
      <w:sz w:val="24"/>
    </w:rPr>
  </w:style>
  <w:style w:type="paragraph" w:styleId="Heading6">
    <w:name w:val="heading 6"/>
    <w:basedOn w:val="Normal"/>
    <w:next w:val="Normal"/>
    <w:link w:val="Heading6Char"/>
    <w:qFormat/>
    <w:rsid w:val="00F90D6F"/>
    <w:pPr>
      <w:keepNext/>
      <w:ind w:left="578"/>
      <w:outlineLvl w:val="5"/>
    </w:pPr>
    <w:rPr>
      <w:b/>
      <w:bCs/>
      <w:sz w:val="24"/>
    </w:rPr>
  </w:style>
  <w:style w:type="paragraph" w:styleId="Heading7">
    <w:name w:val="heading 7"/>
    <w:basedOn w:val="Normal"/>
    <w:next w:val="Normal"/>
    <w:link w:val="Heading7Char"/>
    <w:qFormat/>
    <w:rsid w:val="00F90D6F"/>
    <w:pPr>
      <w:keepNext/>
      <w:widowControl w:val="0"/>
      <w:jc w:val="center"/>
      <w:outlineLvl w:val="6"/>
    </w:pPr>
    <w:rPr>
      <w:snapToGrid w:val="0"/>
      <w:u w:val="single"/>
      <w:lang w:val="en-US"/>
    </w:rPr>
  </w:style>
  <w:style w:type="paragraph" w:styleId="Heading8">
    <w:name w:val="heading 8"/>
    <w:basedOn w:val="Normal"/>
    <w:next w:val="Normal"/>
    <w:link w:val="Heading8Char"/>
    <w:qFormat/>
    <w:rsid w:val="00F90D6F"/>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F90D6F"/>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F90D6F"/>
    <w:rPr>
      <w:rFonts w:ascii="Times New Roman" w:hAnsi="Times New Roman"/>
      <w:b/>
      <w:sz w:val="18"/>
    </w:rPr>
  </w:style>
  <w:style w:type="table" w:customStyle="1" w:styleId="Tabledocright">
    <w:name w:val="Table_doc_right"/>
    <w:basedOn w:val="TableNormal"/>
    <w:rsid w:val="00F90D6F"/>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F90D6F"/>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F90D6F"/>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F90D6F"/>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F90D6F"/>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F90D6F"/>
    <w:rPr>
      <w:bCs w:val="0"/>
    </w:rPr>
  </w:style>
  <w:style w:type="paragraph" w:styleId="TableofFigures">
    <w:name w:val="table of figures"/>
    <w:basedOn w:val="Normal"/>
    <w:next w:val="Normal"/>
    <w:autoRedefine/>
    <w:semiHidden/>
    <w:rsid w:val="00F90D6F"/>
    <w:pPr>
      <w:tabs>
        <w:tab w:val="clear" w:pos="1814"/>
        <w:tab w:val="clear" w:pos="2381"/>
        <w:tab w:val="clear" w:pos="2948"/>
        <w:tab w:val="clear" w:pos="3515"/>
      </w:tabs>
      <w:ind w:left="1814" w:hanging="567"/>
    </w:pPr>
  </w:style>
  <w:style w:type="paragraph" w:customStyle="1" w:styleId="CH1">
    <w:name w:val="CH1"/>
    <w:basedOn w:val="Normalpool"/>
    <w:next w:val="CH2"/>
    <w:rsid w:val="00F90D6F"/>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rsid w:val="00F90D6F"/>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rsid w:val="00F90D6F"/>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rsid w:val="00F90D6F"/>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F90D6F"/>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F90D6F"/>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F90D6F"/>
    <w:pPr>
      <w:tabs>
        <w:tab w:val="left" w:pos="4321"/>
        <w:tab w:val="right" w:pos="8641"/>
      </w:tabs>
      <w:spacing w:before="60" w:after="120"/>
    </w:pPr>
    <w:rPr>
      <w:b/>
      <w:sz w:val="18"/>
    </w:rPr>
  </w:style>
  <w:style w:type="paragraph" w:customStyle="1" w:styleId="Headerpool">
    <w:name w:val="Header_pool"/>
    <w:basedOn w:val="Normal"/>
    <w:next w:val="Normal"/>
    <w:semiHidden/>
    <w:rsid w:val="00F90D6F"/>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rsid w:val="00F90D6F"/>
    <w:pPr>
      <w:tabs>
        <w:tab w:val="left" w:pos="1247"/>
        <w:tab w:val="left" w:pos="1814"/>
        <w:tab w:val="left" w:pos="2381"/>
        <w:tab w:val="left" w:pos="2948"/>
        <w:tab w:val="left" w:pos="3515"/>
        <w:tab w:val="left" w:pos="4082"/>
      </w:tabs>
    </w:pPr>
    <w:rPr>
      <w:lang w:val="fr-CA"/>
    </w:rPr>
  </w:style>
  <w:style w:type="paragraph" w:customStyle="1" w:styleId="Footer-pool">
    <w:name w:val="Footer-pool"/>
    <w:basedOn w:val="Normal-pool"/>
    <w:next w:val="Normal-pool"/>
    <w:rsid w:val="00F90D6F"/>
    <w:pPr>
      <w:tabs>
        <w:tab w:val="left" w:pos="4321"/>
        <w:tab w:val="right" w:pos="8641"/>
      </w:tabs>
      <w:spacing w:before="60" w:after="120"/>
    </w:pPr>
    <w:rPr>
      <w:b/>
      <w:sz w:val="18"/>
    </w:rPr>
  </w:style>
  <w:style w:type="paragraph" w:customStyle="1" w:styleId="Header-pool">
    <w:name w:val="Header-pool"/>
    <w:basedOn w:val="Normal-pool"/>
    <w:next w:val="Normal-pool"/>
    <w:rsid w:val="00F90D6F"/>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1"/>
    <w:rsid w:val="00F90D6F"/>
    <w:pPr>
      <w:tabs>
        <w:tab w:val="left" w:pos="1247"/>
        <w:tab w:val="left" w:pos="1814"/>
        <w:tab w:val="left" w:pos="2381"/>
        <w:tab w:val="left" w:pos="2948"/>
        <w:tab w:val="left" w:pos="3515"/>
        <w:tab w:val="left" w:pos="4082"/>
      </w:tabs>
    </w:pPr>
    <w:rPr>
      <w:lang w:val="fr-CA"/>
    </w:rPr>
  </w:style>
  <w:style w:type="paragraph" w:styleId="FootnoteText">
    <w:name w:val="footnote text"/>
    <w:basedOn w:val="Normalpool"/>
    <w:link w:val="FootnoteTextChar"/>
    <w:rsid w:val="00F90D6F"/>
    <w:pPr>
      <w:spacing w:before="20" w:after="40"/>
      <w:ind w:left="1247"/>
    </w:pPr>
    <w:rPr>
      <w:sz w:val="18"/>
    </w:rPr>
  </w:style>
  <w:style w:type="character" w:customStyle="1" w:styleId="FootnoteTextChar">
    <w:name w:val="Footnote Text Char"/>
    <w:basedOn w:val="DefaultParagraphFont"/>
    <w:link w:val="FootnoteText"/>
    <w:rsid w:val="003F2079"/>
    <w:rPr>
      <w:sz w:val="18"/>
      <w:lang w:val="fr-CA"/>
    </w:rPr>
  </w:style>
  <w:style w:type="paragraph" w:styleId="ListParagraph">
    <w:name w:val="List Paragraph"/>
    <w:basedOn w:val="Normal"/>
    <w:uiPriority w:val="34"/>
    <w:qFormat/>
    <w:rsid w:val="00091FA7"/>
    <w:pPr>
      <w:pBdr>
        <w:top w:val="nil"/>
        <w:left w:val="nil"/>
        <w:bottom w:val="nil"/>
        <w:right w:val="nil"/>
        <w:between w:val="nil"/>
        <w:bar w:val="nil"/>
      </w:pBdr>
      <w:ind w:left="720"/>
      <w:contextualSpacing/>
    </w:pPr>
    <w:rPr>
      <w:rFonts w:eastAsia="Arial Unicode MS"/>
      <w:sz w:val="24"/>
      <w:szCs w:val="24"/>
      <w:bdr w:val="nil"/>
    </w:rPr>
  </w:style>
  <w:style w:type="table" w:styleId="TableGrid">
    <w:name w:val="Table Grid"/>
    <w:basedOn w:val="TableNormal"/>
    <w:uiPriority w:val="59"/>
    <w:rsid w:val="00091FA7"/>
    <w:rPr>
      <w:rFonts w:ascii="Century" w:eastAsia="MS Mincho" w:hAnsi="Century"/>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numberChar">
    <w:name w:val="Normal_number Char"/>
    <w:link w:val="Normalnumber"/>
    <w:rsid w:val="00091FA7"/>
    <w:rPr>
      <w:lang w:val="fr-CA"/>
    </w:rPr>
  </w:style>
  <w:style w:type="character" w:customStyle="1" w:styleId="Normal-poolChar1">
    <w:name w:val="Normal-pool Char1"/>
    <w:link w:val="Normal-pool"/>
    <w:locked/>
    <w:rsid w:val="0048610B"/>
    <w:rPr>
      <w:lang w:val="fr-CA"/>
    </w:rPr>
  </w:style>
  <w:style w:type="table" w:customStyle="1" w:styleId="AATable">
    <w:name w:val="AA_Table"/>
    <w:basedOn w:val="TableNormal"/>
    <w:semiHidden/>
    <w:rsid w:val="00F90D6F"/>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F90D6F"/>
    <w:pPr>
      <w:keepNext/>
      <w:keepLines/>
      <w:suppressAutoHyphens/>
      <w:ind w:right="5103"/>
    </w:pPr>
    <w:rPr>
      <w:b/>
    </w:rPr>
  </w:style>
  <w:style w:type="paragraph" w:customStyle="1" w:styleId="AATitle2">
    <w:name w:val="AA_Title2"/>
    <w:basedOn w:val="AATitle"/>
    <w:rsid w:val="00F90D6F"/>
    <w:pPr>
      <w:tabs>
        <w:tab w:val="clear" w:pos="4082"/>
      </w:tabs>
      <w:spacing w:before="120" w:after="120"/>
      <w:ind w:right="4536"/>
    </w:pPr>
  </w:style>
  <w:style w:type="paragraph" w:customStyle="1" w:styleId="BBTitle">
    <w:name w:val="BB_Title"/>
    <w:basedOn w:val="Normalpool"/>
    <w:rsid w:val="00F90D6F"/>
    <w:pPr>
      <w:keepNext/>
      <w:keepLines/>
      <w:suppressAutoHyphens/>
      <w:spacing w:before="320" w:after="240"/>
      <w:ind w:left="1247" w:right="567"/>
    </w:pPr>
    <w:rPr>
      <w:b/>
      <w:sz w:val="28"/>
      <w:szCs w:val="28"/>
    </w:rPr>
  </w:style>
  <w:style w:type="paragraph" w:styleId="Footer">
    <w:name w:val="footer"/>
    <w:basedOn w:val="Normal"/>
    <w:link w:val="FooterChar"/>
    <w:rsid w:val="00F90D6F"/>
    <w:pPr>
      <w:tabs>
        <w:tab w:val="center" w:pos="4320"/>
        <w:tab w:val="right" w:pos="8640"/>
      </w:tabs>
      <w:spacing w:before="60" w:after="120"/>
    </w:pPr>
    <w:rPr>
      <w:sz w:val="18"/>
    </w:rPr>
  </w:style>
  <w:style w:type="paragraph" w:styleId="Header">
    <w:name w:val="header"/>
    <w:basedOn w:val="Normal"/>
    <w:link w:val="HeaderChar"/>
    <w:semiHidden/>
    <w:rsid w:val="00F90D6F"/>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F90D6F"/>
    <w:rPr>
      <w:rFonts w:ascii="Times New Roman" w:hAnsi="Times New Roman"/>
      <w:color w:val="auto"/>
      <w:sz w:val="20"/>
      <w:szCs w:val="20"/>
      <w:u w:val="none"/>
      <w:lang w:val="fr-FR"/>
    </w:rPr>
  </w:style>
  <w:style w:type="numbering" w:customStyle="1" w:styleId="Normallist">
    <w:name w:val="Normal_list"/>
    <w:basedOn w:val="NoList"/>
    <w:semiHidden/>
    <w:rsid w:val="00F90D6F"/>
    <w:pPr>
      <w:numPr>
        <w:numId w:val="3"/>
      </w:numPr>
    </w:pPr>
  </w:style>
  <w:style w:type="paragraph" w:customStyle="1" w:styleId="NormalNonumber">
    <w:name w:val="Normal_No_number"/>
    <w:basedOn w:val="Normalpool"/>
    <w:rsid w:val="00F90D6F"/>
    <w:pPr>
      <w:spacing w:after="120"/>
      <w:ind w:left="1247"/>
    </w:pPr>
  </w:style>
  <w:style w:type="paragraph" w:customStyle="1" w:styleId="Normalnumber">
    <w:name w:val="Normal_number"/>
    <w:basedOn w:val="Normalpool"/>
    <w:link w:val="NormalnumberChar"/>
    <w:rsid w:val="00F90D6F"/>
    <w:pPr>
      <w:numPr>
        <w:numId w:val="4"/>
      </w:numPr>
      <w:spacing w:after="120"/>
    </w:pPr>
  </w:style>
  <w:style w:type="paragraph" w:customStyle="1" w:styleId="Titletable">
    <w:name w:val="Title_table"/>
    <w:basedOn w:val="Normalpool"/>
    <w:rsid w:val="00F90D6F"/>
    <w:pPr>
      <w:keepNext/>
      <w:keepLines/>
      <w:suppressAutoHyphens/>
      <w:spacing w:after="60"/>
      <w:ind w:left="1247"/>
    </w:pPr>
    <w:rPr>
      <w:b/>
      <w:bCs/>
    </w:rPr>
  </w:style>
  <w:style w:type="paragraph" w:styleId="TOC1">
    <w:name w:val="toc 1"/>
    <w:basedOn w:val="Normalpool"/>
    <w:next w:val="Normalpool"/>
    <w:rsid w:val="00F90D6F"/>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F90D6F"/>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F90D6F"/>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F90D6F"/>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F90D6F"/>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F90D6F"/>
    <w:rPr>
      <w:b/>
      <w:bCs/>
      <w:sz w:val="28"/>
      <w:szCs w:val="22"/>
    </w:rPr>
  </w:style>
  <w:style w:type="paragraph" w:customStyle="1" w:styleId="ZZAnxtitle">
    <w:name w:val="ZZ_Anx_title"/>
    <w:basedOn w:val="Normalpool"/>
    <w:rsid w:val="00F90D6F"/>
    <w:pPr>
      <w:spacing w:before="360" w:after="120"/>
      <w:ind w:left="1247"/>
    </w:pPr>
    <w:rPr>
      <w:b/>
      <w:bCs/>
      <w:sz w:val="28"/>
      <w:szCs w:val="26"/>
    </w:rPr>
  </w:style>
  <w:style w:type="paragraph" w:styleId="BalloonText">
    <w:name w:val="Balloon Text"/>
    <w:basedOn w:val="Normal"/>
    <w:link w:val="BalloonTextChar"/>
    <w:rsid w:val="001A54A9"/>
    <w:rPr>
      <w:rFonts w:ascii="Tahoma" w:hAnsi="Tahoma" w:cs="Tahoma"/>
      <w:sz w:val="16"/>
      <w:szCs w:val="16"/>
    </w:rPr>
  </w:style>
  <w:style w:type="character" w:customStyle="1" w:styleId="BalloonTextChar">
    <w:name w:val="Balloon Text Char"/>
    <w:basedOn w:val="DefaultParagraphFont"/>
    <w:link w:val="BalloonText"/>
    <w:rsid w:val="001A54A9"/>
    <w:rPr>
      <w:rFonts w:ascii="Tahoma" w:eastAsia="Calibri" w:hAnsi="Tahoma" w:cs="Tahoma"/>
      <w:sz w:val="16"/>
      <w:szCs w:val="16"/>
    </w:rPr>
  </w:style>
  <w:style w:type="character" w:styleId="CommentReference">
    <w:name w:val="annotation reference"/>
    <w:basedOn w:val="DefaultParagraphFont"/>
    <w:rsid w:val="002B675B"/>
    <w:rPr>
      <w:sz w:val="16"/>
      <w:szCs w:val="16"/>
    </w:rPr>
  </w:style>
  <w:style w:type="paragraph" w:styleId="CommentText">
    <w:name w:val="annotation text"/>
    <w:basedOn w:val="Normal"/>
    <w:link w:val="CommentTextChar"/>
    <w:rsid w:val="002B675B"/>
  </w:style>
  <w:style w:type="character" w:customStyle="1" w:styleId="CommentTextChar">
    <w:name w:val="Comment Text Char"/>
    <w:basedOn w:val="DefaultParagraphFont"/>
    <w:link w:val="CommentText"/>
    <w:rsid w:val="002B675B"/>
    <w:rPr>
      <w:rFonts w:ascii="Calibri" w:eastAsia="Calibri" w:hAnsi="Calibri"/>
    </w:rPr>
  </w:style>
  <w:style w:type="paragraph" w:styleId="CommentSubject">
    <w:name w:val="annotation subject"/>
    <w:basedOn w:val="CommentText"/>
    <w:next w:val="CommentText"/>
    <w:link w:val="CommentSubjectChar"/>
    <w:rsid w:val="002B675B"/>
    <w:rPr>
      <w:b/>
      <w:bCs/>
    </w:rPr>
  </w:style>
  <w:style w:type="character" w:customStyle="1" w:styleId="CommentSubjectChar">
    <w:name w:val="Comment Subject Char"/>
    <w:basedOn w:val="CommentTextChar"/>
    <w:link w:val="CommentSubject"/>
    <w:rsid w:val="002B675B"/>
    <w:rPr>
      <w:rFonts w:ascii="Calibri" w:eastAsia="Calibri" w:hAnsi="Calibri"/>
      <w:b/>
      <w:bCs/>
    </w:rPr>
  </w:style>
  <w:style w:type="character" w:styleId="Emphasis">
    <w:name w:val="Emphasis"/>
    <w:basedOn w:val="DefaultParagraphFont"/>
    <w:qFormat/>
    <w:rsid w:val="00EE67D1"/>
    <w:rPr>
      <w:i/>
      <w:iCs/>
    </w:rPr>
  </w:style>
  <w:style w:type="paragraph" w:styleId="BodyText">
    <w:name w:val="Body Text"/>
    <w:basedOn w:val="Normal"/>
    <w:link w:val="BodyTextChar"/>
    <w:uiPriority w:val="1"/>
    <w:qFormat/>
    <w:rsid w:val="00BE18CD"/>
    <w:pPr>
      <w:widowControl w:val="0"/>
      <w:autoSpaceDE w:val="0"/>
      <w:autoSpaceDN w:val="0"/>
    </w:pPr>
    <w:rPr>
      <w:lang w:val="en-GB" w:eastAsia="en-GB" w:bidi="en-GB"/>
    </w:rPr>
  </w:style>
  <w:style w:type="character" w:customStyle="1" w:styleId="BodyTextChar">
    <w:name w:val="Body Text Char"/>
    <w:basedOn w:val="DefaultParagraphFont"/>
    <w:link w:val="BodyText"/>
    <w:uiPriority w:val="1"/>
    <w:rsid w:val="00BE18CD"/>
    <w:rPr>
      <w:lang w:val="en-GB" w:eastAsia="en-GB" w:bidi="en-GB"/>
    </w:rPr>
  </w:style>
  <w:style w:type="character" w:customStyle="1" w:styleId="FooterChar">
    <w:name w:val="Footer Char"/>
    <w:basedOn w:val="DefaultParagraphFont"/>
    <w:link w:val="Footer"/>
    <w:rsid w:val="003F2079"/>
    <w:rPr>
      <w:sz w:val="18"/>
      <w:lang w:val="fr-FR"/>
    </w:rPr>
  </w:style>
  <w:style w:type="character" w:customStyle="1" w:styleId="HeaderChar">
    <w:name w:val="Header Char"/>
    <w:basedOn w:val="DefaultParagraphFont"/>
    <w:link w:val="Header"/>
    <w:semiHidden/>
    <w:rsid w:val="003F2079"/>
    <w:rPr>
      <w:b/>
      <w:sz w:val="18"/>
      <w:lang w:val="fr-FR"/>
    </w:rPr>
  </w:style>
  <w:style w:type="character" w:customStyle="1" w:styleId="Heading1Char">
    <w:name w:val="Heading 1 Char"/>
    <w:basedOn w:val="DefaultParagraphFont"/>
    <w:link w:val="Heading1"/>
    <w:rsid w:val="003F2079"/>
    <w:rPr>
      <w:b/>
      <w:sz w:val="28"/>
      <w:lang w:val="fr-FR"/>
    </w:rPr>
  </w:style>
  <w:style w:type="character" w:customStyle="1" w:styleId="Heading2Char">
    <w:name w:val="Heading 2 Char"/>
    <w:basedOn w:val="DefaultParagraphFont"/>
    <w:link w:val="Heading2"/>
    <w:rsid w:val="003F2079"/>
    <w:rPr>
      <w:b/>
      <w:sz w:val="24"/>
      <w:szCs w:val="24"/>
      <w:lang w:val="fr-FR"/>
    </w:rPr>
  </w:style>
  <w:style w:type="character" w:customStyle="1" w:styleId="Heading3Char">
    <w:name w:val="Heading 3 Char"/>
    <w:basedOn w:val="DefaultParagraphFont"/>
    <w:link w:val="Heading3"/>
    <w:rsid w:val="003F2079"/>
    <w:rPr>
      <w:b/>
      <w:lang w:val="fr-FR"/>
    </w:rPr>
  </w:style>
  <w:style w:type="character" w:customStyle="1" w:styleId="Heading4Char">
    <w:name w:val="Heading 4 Char"/>
    <w:basedOn w:val="DefaultParagraphFont"/>
    <w:link w:val="Heading4"/>
    <w:rsid w:val="003F2079"/>
    <w:rPr>
      <w:b/>
      <w:lang w:val="fr-FR"/>
    </w:rPr>
  </w:style>
  <w:style w:type="character" w:customStyle="1" w:styleId="Heading5Char">
    <w:name w:val="Heading 5 Char"/>
    <w:basedOn w:val="DefaultParagraphFont"/>
    <w:link w:val="Heading5"/>
    <w:rsid w:val="003F2079"/>
    <w:rPr>
      <w:rFonts w:ascii="Univers" w:hAnsi="Univers"/>
      <w:b/>
      <w:sz w:val="24"/>
      <w:lang w:val="fr-FR"/>
    </w:rPr>
  </w:style>
  <w:style w:type="character" w:customStyle="1" w:styleId="Heading6Char">
    <w:name w:val="Heading 6 Char"/>
    <w:basedOn w:val="DefaultParagraphFont"/>
    <w:link w:val="Heading6"/>
    <w:rsid w:val="003F2079"/>
    <w:rPr>
      <w:b/>
      <w:bCs/>
      <w:sz w:val="24"/>
      <w:lang w:val="fr-FR"/>
    </w:rPr>
  </w:style>
  <w:style w:type="character" w:customStyle="1" w:styleId="Heading7Char">
    <w:name w:val="Heading 7 Char"/>
    <w:basedOn w:val="DefaultParagraphFont"/>
    <w:link w:val="Heading7"/>
    <w:rsid w:val="003F2079"/>
    <w:rPr>
      <w:snapToGrid w:val="0"/>
      <w:u w:val="single"/>
    </w:rPr>
  </w:style>
  <w:style w:type="character" w:customStyle="1" w:styleId="Heading8Char">
    <w:name w:val="Heading 8 Char"/>
    <w:basedOn w:val="DefaultParagraphFont"/>
    <w:link w:val="Heading8"/>
    <w:rsid w:val="003F2079"/>
    <w:rPr>
      <w:snapToGrid w:val="0"/>
      <w:u w:val="single"/>
    </w:rPr>
  </w:style>
  <w:style w:type="character" w:customStyle="1" w:styleId="Heading9Char">
    <w:name w:val="Heading 9 Char"/>
    <w:basedOn w:val="DefaultParagraphFont"/>
    <w:link w:val="Heading9"/>
    <w:rsid w:val="003F2079"/>
    <w:rPr>
      <w:snapToGrid w:val="0"/>
      <w:u w:val="single"/>
    </w:rPr>
  </w:style>
  <w:style w:type="character" w:styleId="Strong">
    <w:name w:val="Strong"/>
    <w:basedOn w:val="DefaultParagraphFont"/>
    <w:uiPriority w:val="22"/>
    <w:qFormat/>
    <w:rsid w:val="00CF6CEA"/>
    <w:rPr>
      <w:b/>
      <w:bCs/>
    </w:rPr>
  </w:style>
  <w:style w:type="character" w:customStyle="1" w:styleId="Normal-poolChar">
    <w:name w:val="Normal-pool Char"/>
    <w:locked/>
    <w:rsid w:val="0083403A"/>
    <w:rPr>
      <w:lang w:val="en-GB"/>
    </w:rPr>
  </w:style>
  <w:style w:type="character" w:styleId="FootnoteReference">
    <w:name w:val="footnote reference"/>
    <w:rsid w:val="00F90D6F"/>
    <w:rPr>
      <w:rFonts w:ascii="Times New Roman" w:hAnsi="Times New Roman"/>
      <w:color w:val="auto"/>
      <w:sz w:val="20"/>
      <w:szCs w:val="18"/>
      <w:vertAlign w:val="superscript"/>
    </w:rPr>
  </w:style>
  <w:style w:type="character" w:styleId="FollowedHyperlink">
    <w:name w:val="FollowedHyperlink"/>
    <w:basedOn w:val="DefaultParagraphFont"/>
    <w:unhideWhenUsed/>
    <w:rsid w:val="00C83D89"/>
    <w:rPr>
      <w:color w:val="000000" w:themeColor="text1"/>
      <w:sz w:val="20"/>
      <w:u w:val="none"/>
    </w:rPr>
  </w:style>
  <w:style w:type="paragraph" w:styleId="Revision">
    <w:name w:val="Revision"/>
    <w:hidden/>
    <w:uiPriority w:val="99"/>
    <w:semiHidden/>
    <w:rsid w:val="00B351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5491059">
      <w:bodyDiv w:val="1"/>
      <w:marLeft w:val="0"/>
      <w:marRight w:val="0"/>
      <w:marTop w:val="0"/>
      <w:marBottom w:val="0"/>
      <w:divBdr>
        <w:top w:val="none" w:sz="0" w:space="0" w:color="auto"/>
        <w:left w:val="none" w:sz="0" w:space="0" w:color="auto"/>
        <w:bottom w:val="none" w:sz="0" w:space="0" w:color="auto"/>
        <w:right w:val="none" w:sz="0" w:space="0" w:color="auto"/>
      </w:divBdr>
    </w:div>
    <w:div w:id="1021510709">
      <w:bodyDiv w:val="1"/>
      <w:marLeft w:val="0"/>
      <w:marRight w:val="0"/>
      <w:marTop w:val="0"/>
      <w:marBottom w:val="0"/>
      <w:divBdr>
        <w:top w:val="none" w:sz="0" w:space="0" w:color="auto"/>
        <w:left w:val="none" w:sz="0" w:space="0" w:color="auto"/>
        <w:bottom w:val="none" w:sz="0" w:space="0" w:color="auto"/>
        <w:right w:val="none" w:sz="0" w:space="0" w:color="auto"/>
      </w:divBdr>
    </w:div>
    <w:div w:id="1094396083">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554776895">
      <w:bodyDiv w:val="1"/>
      <w:marLeft w:val="0"/>
      <w:marRight w:val="0"/>
      <w:marTop w:val="0"/>
      <w:marBottom w:val="0"/>
      <w:divBdr>
        <w:top w:val="none" w:sz="0" w:space="0" w:color="auto"/>
        <w:left w:val="none" w:sz="0" w:space="0" w:color="auto"/>
        <w:bottom w:val="none" w:sz="0" w:space="0" w:color="auto"/>
        <w:right w:val="none" w:sz="0" w:space="0" w:color="auto"/>
      </w:divBdr>
      <w:divsChild>
        <w:div w:id="16275445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49DCCFF06D044688251B3E010FA2BB" ma:contentTypeVersion="11" ma:contentTypeDescription="Create a new document." ma:contentTypeScope="" ma:versionID="b6f641573d54f8d8378caecf1fa365de">
  <xsd:schema xmlns:xsd="http://www.w3.org/2001/XMLSchema" xmlns:xs="http://www.w3.org/2001/XMLSchema" xmlns:p="http://schemas.microsoft.com/office/2006/metadata/properties" xmlns:ns2="786100a8-bbaa-48b6-aa10-6d2082f346b4" xmlns:ns3="25a4600d-fc45-4aed-ad1e-9b44b590e5cc" targetNamespace="http://schemas.microsoft.com/office/2006/metadata/properties" ma:root="true" ma:fieldsID="889ed279879ba929ffe081c12af4a8a5" ns2:_="" ns3:_="">
    <xsd:import namespace="786100a8-bbaa-48b6-aa10-6d2082f346b4"/>
    <xsd:import namespace="25a4600d-fc45-4aed-ad1e-9b44b590e5c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6100a8-bbaa-48b6-aa10-6d2082f34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a4600d-fc45-4aed-ad1e-9b44b590e5c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25a4600d-fc45-4aed-ad1e-9b44b590e5cc">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BC638-0F1A-42D9-ADB4-FAE036DB94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6100a8-bbaa-48b6-aa10-6d2082f346b4"/>
    <ds:schemaRef ds:uri="25a4600d-fc45-4aed-ad1e-9b44b590e5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786952-7FC6-4B2D-AE07-12A860504490}">
  <ds:schemaRefs>
    <ds:schemaRef ds:uri="http://schemas.microsoft.com/sharepoint/v3/contenttype/forms"/>
  </ds:schemaRefs>
</ds:datastoreItem>
</file>

<file path=customXml/itemProps3.xml><?xml version="1.0" encoding="utf-8"?>
<ds:datastoreItem xmlns:ds="http://schemas.openxmlformats.org/officeDocument/2006/customXml" ds:itemID="{20207342-5C06-41BA-9BC1-52F98AF05A8D}">
  <ds:schemaRefs>
    <ds:schemaRef ds:uri="http://schemas.microsoft.com/office/2006/metadata/properties"/>
    <ds:schemaRef ds:uri="http://schemas.microsoft.com/office/infopath/2007/PartnerControls"/>
    <ds:schemaRef ds:uri="25a4600d-fc45-4aed-ad1e-9b44b590e5cc"/>
  </ds:schemaRefs>
</ds:datastoreItem>
</file>

<file path=customXml/itemProps4.xml><?xml version="1.0" encoding="utf-8"?>
<ds:datastoreItem xmlns:ds="http://schemas.openxmlformats.org/officeDocument/2006/customXml" ds:itemID="{27E2CEB8-267B-46C3-9BCB-4561FDB9F379}">
  <ds:schemaRefs>
    <ds:schemaRef ds:uri="http://schemas.openxmlformats.org/officeDocument/2006/bibliography"/>
  </ds:schemaRefs>
</ds:datastoreItem>
</file>

<file path=customXml/itemProps5.xml><?xml version="1.0" encoding="utf-8"?>
<ds:datastoreItem xmlns:ds="http://schemas.openxmlformats.org/officeDocument/2006/customXml" ds:itemID="{2FE8C3C1-EFDA-4F8D-A69A-1432E8DA2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3107</Words>
  <Characters>17710</Characters>
  <Application>Microsoft Office Word</Application>
  <DocSecurity>0</DocSecurity>
  <Lines>147</Lines>
  <Paragraphs>41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NATIONS UNIES</vt:lpstr>
      <vt:lpstr>NATIONS UNIES</vt:lpstr>
    </vt:vector>
  </TitlesOfParts>
  <Company>unon</Company>
  <LinksUpToDate>false</LinksUpToDate>
  <CharactersWithSpaces>20776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Herimalala Raveloarinjato</cp:lastModifiedBy>
  <cp:revision>2</cp:revision>
  <cp:lastPrinted>2019-01-21T08:38:00Z</cp:lastPrinted>
  <dcterms:created xsi:type="dcterms:W3CDTF">2020-12-30T06:03:00Z</dcterms:created>
  <dcterms:modified xsi:type="dcterms:W3CDTF">2020-12-30T06:03:00Z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0x0101001C49DCCFF06D044688251B3E010FA2BB</vt:lpwstr>
  </property>
  <property fmtid="{D5CDD505-2E9C-101B-9397-08002B2CF9AE}" pid="3" name="Order">
    <vt:r8>100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TranslatedWith">
    <vt:lpwstr>Mercury</vt:lpwstr>
  </property>
  <property fmtid="{D5CDD505-2E9C-101B-9397-08002B2CF9AE}" pid="9" name="GeneratedBy">
    <vt:lpwstr>diane.belud</vt:lpwstr>
  </property>
  <property fmtid="{D5CDD505-2E9C-101B-9397-08002B2CF9AE}" pid="10" name="GeneratedDate">
    <vt:lpwstr>12/03/2020 21:03:37</vt:lpwstr>
  </property>
  <property fmtid="{D5CDD505-2E9C-101B-9397-08002B2CF9AE}" pid="11" name="OriginalDocID">
    <vt:lpwstr>fb0cf045-fd01-4af8-8ea8-e8ac2293b2dc</vt:lpwstr>
  </property>
</Properties>
</file>