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96" w:type="pct"/>
        <w:jc w:val="right"/>
        <w:tblLayout w:type="fixed"/>
        <w:tblLook w:val="0000" w:firstRow="0" w:lastRow="0" w:firstColumn="0" w:lastColumn="0" w:noHBand="0" w:noVBand="0"/>
      </w:tblPr>
      <w:tblGrid>
        <w:gridCol w:w="1701"/>
        <w:gridCol w:w="5224"/>
        <w:gridCol w:w="2753"/>
      </w:tblGrid>
      <w:tr w:rsidR="0052639A" w:rsidRPr="00675A7F" w14:paraId="6CCCCB0B" w14:textId="77777777" w:rsidTr="0052639A">
        <w:trPr>
          <w:cantSplit/>
          <w:trHeight w:val="57"/>
          <w:jc w:val="right"/>
        </w:trPr>
        <w:tc>
          <w:tcPr>
            <w:tcW w:w="1701" w:type="dxa"/>
          </w:tcPr>
          <w:p w14:paraId="70FA6CC6" w14:textId="4734F15A" w:rsidR="008C2F27" w:rsidRPr="00675A7F" w:rsidRDefault="008C2F27" w:rsidP="0052639A">
            <w:pPr>
              <w:pStyle w:val="Normal-pool"/>
              <w:tabs>
                <w:tab w:val="clear" w:pos="1247"/>
                <w:tab w:val="left" w:pos="1296"/>
              </w:tabs>
              <w:rPr>
                <w:rFonts w:asciiTheme="minorBidi" w:hAnsiTheme="minorBidi" w:cstheme="minorBidi"/>
                <w:b/>
                <w:bCs/>
                <w:sz w:val="27"/>
                <w:szCs w:val="27"/>
                <w:lang w:val="es-ES"/>
              </w:rPr>
            </w:pPr>
            <w:r w:rsidRPr="00675A7F">
              <w:rPr>
                <w:rFonts w:asciiTheme="minorBidi" w:hAnsiTheme="minorBidi" w:cstheme="minorBidi"/>
                <w:b/>
                <w:bCs/>
                <w:sz w:val="27"/>
                <w:szCs w:val="27"/>
                <w:lang w:val="es-ES"/>
              </w:rPr>
              <w:t>NACIONES UNIDAS</w:t>
            </w:r>
          </w:p>
        </w:tc>
        <w:tc>
          <w:tcPr>
            <w:tcW w:w="5224" w:type="dxa"/>
          </w:tcPr>
          <w:p w14:paraId="522BEB0E" w14:textId="77777777" w:rsidR="008C2F27" w:rsidRPr="00675A7F" w:rsidRDefault="008C2F27" w:rsidP="003F2079">
            <w:pPr>
              <w:pStyle w:val="Normal-pool"/>
              <w:rPr>
                <w:lang w:val="es-ES"/>
              </w:rPr>
            </w:pPr>
          </w:p>
        </w:tc>
        <w:tc>
          <w:tcPr>
            <w:tcW w:w="2753" w:type="dxa"/>
          </w:tcPr>
          <w:p w14:paraId="79E54D20" w14:textId="77777777" w:rsidR="008C2F27" w:rsidRPr="00675A7F" w:rsidRDefault="008C2F27" w:rsidP="003F2079">
            <w:pPr>
              <w:pStyle w:val="Normal-pool"/>
              <w:jc w:val="right"/>
              <w:rPr>
                <w:rFonts w:asciiTheme="minorBidi" w:hAnsiTheme="minorBidi" w:cstheme="minorBidi"/>
                <w:b/>
                <w:bCs/>
                <w:sz w:val="64"/>
                <w:szCs w:val="64"/>
                <w:lang w:val="es-ES"/>
              </w:rPr>
            </w:pPr>
            <w:r w:rsidRPr="00675A7F">
              <w:rPr>
                <w:rFonts w:asciiTheme="minorBidi" w:hAnsiTheme="minorBidi" w:cstheme="minorBidi"/>
                <w:b/>
                <w:bCs/>
                <w:sz w:val="64"/>
                <w:szCs w:val="64"/>
                <w:lang w:val="es-ES"/>
              </w:rPr>
              <w:t>EP</w:t>
            </w:r>
          </w:p>
        </w:tc>
      </w:tr>
      <w:tr w:rsidR="0052639A" w:rsidRPr="00675A7F" w14:paraId="563729B3" w14:textId="77777777" w:rsidTr="0052639A">
        <w:trPr>
          <w:cantSplit/>
          <w:trHeight w:val="57"/>
          <w:jc w:val="right"/>
        </w:trPr>
        <w:tc>
          <w:tcPr>
            <w:tcW w:w="1701" w:type="dxa"/>
            <w:tcBorders>
              <w:bottom w:val="single" w:sz="4" w:space="0" w:color="auto"/>
            </w:tcBorders>
          </w:tcPr>
          <w:p w14:paraId="0796601B" w14:textId="77777777" w:rsidR="008C2F27" w:rsidRPr="00675A7F" w:rsidRDefault="008C2F27" w:rsidP="003F2079">
            <w:pPr>
              <w:pStyle w:val="Normal-pool"/>
              <w:rPr>
                <w:lang w:val="es-ES"/>
              </w:rPr>
            </w:pPr>
          </w:p>
        </w:tc>
        <w:tc>
          <w:tcPr>
            <w:tcW w:w="5224" w:type="dxa"/>
            <w:tcBorders>
              <w:bottom w:val="single" w:sz="4" w:space="0" w:color="auto"/>
            </w:tcBorders>
          </w:tcPr>
          <w:p w14:paraId="2EF1B012" w14:textId="77777777" w:rsidR="008C2F27" w:rsidRPr="00675A7F" w:rsidRDefault="008C2F27" w:rsidP="003F2079">
            <w:pPr>
              <w:pStyle w:val="Normal-pool"/>
              <w:rPr>
                <w:sz w:val="18"/>
                <w:szCs w:val="18"/>
                <w:lang w:val="es-ES"/>
              </w:rPr>
            </w:pPr>
          </w:p>
        </w:tc>
        <w:tc>
          <w:tcPr>
            <w:tcW w:w="2753" w:type="dxa"/>
            <w:tcBorders>
              <w:bottom w:val="single" w:sz="4" w:space="0" w:color="auto"/>
            </w:tcBorders>
          </w:tcPr>
          <w:p w14:paraId="08FC683A" w14:textId="77777777" w:rsidR="008C2F27" w:rsidRPr="00675A7F" w:rsidRDefault="008C2F27" w:rsidP="003F2079">
            <w:pPr>
              <w:pStyle w:val="Normal-pool"/>
              <w:rPr>
                <w:sz w:val="18"/>
                <w:szCs w:val="18"/>
                <w:lang w:val="es-ES"/>
              </w:rPr>
            </w:pPr>
            <w:r w:rsidRPr="00675A7F">
              <w:rPr>
                <w:b/>
                <w:bCs/>
                <w:sz w:val="28"/>
                <w:szCs w:val="28"/>
                <w:lang w:val="es-ES"/>
              </w:rPr>
              <w:t>UNEP</w:t>
            </w:r>
            <w:r w:rsidRPr="00675A7F">
              <w:rPr>
                <w:lang w:val="es-ES"/>
              </w:rPr>
              <w:t>/EA.5/7</w:t>
            </w:r>
          </w:p>
        </w:tc>
      </w:tr>
      <w:bookmarkStart w:id="0" w:name="_MON_1021710510"/>
      <w:bookmarkEnd w:id="0"/>
      <w:tr w:rsidR="0052639A" w:rsidRPr="00675A7F" w14:paraId="4721142B" w14:textId="77777777" w:rsidTr="0052639A">
        <w:trPr>
          <w:cantSplit/>
          <w:trHeight w:val="57"/>
          <w:jc w:val="right"/>
        </w:trPr>
        <w:tc>
          <w:tcPr>
            <w:tcW w:w="1701" w:type="dxa"/>
            <w:tcBorders>
              <w:top w:val="single" w:sz="4" w:space="0" w:color="auto"/>
              <w:bottom w:val="single" w:sz="24" w:space="0" w:color="auto"/>
            </w:tcBorders>
          </w:tcPr>
          <w:p w14:paraId="1D478D73" w14:textId="77777777" w:rsidR="008C2F27" w:rsidRPr="00675A7F" w:rsidRDefault="00B646B5" w:rsidP="003F2079">
            <w:pPr>
              <w:pStyle w:val="Normal-pool"/>
              <w:rPr>
                <w:lang w:val="es-ES"/>
              </w:rPr>
            </w:pPr>
            <w:r w:rsidRPr="00B646B5">
              <w:rPr>
                <w:noProof/>
                <w:lang w:val="es-ES"/>
              </w:rPr>
              <w:object w:dxaOrig="1831" w:dyaOrig="1726" w14:anchorId="4581B0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6.55pt;height:61.8pt;mso-width-percent:0;mso-height-percent:0;mso-width-percent:0;mso-height-percent:0" o:ole="" fillcolor="window">
                  <v:imagedata r:id="rId12" o:title=""/>
                </v:shape>
                <o:OLEObject Type="Embed" ProgID="Word.Picture.8" ShapeID="_x0000_i1025" DrawAspect="Content" ObjectID="_1670768366" r:id="rId13"/>
              </w:object>
            </w:r>
            <w:r w:rsidR="002E48CE" w:rsidRPr="00675A7F">
              <w:rPr>
                <w:noProof/>
                <w:lang w:val="es-ES" w:eastAsia="en-GB"/>
              </w:rPr>
              <w:drawing>
                <wp:inline distT="0" distB="0" distL="0" distR="0" wp14:anchorId="6FE8DC83" wp14:editId="53608E17">
                  <wp:extent cx="723900" cy="76200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p>
        </w:tc>
        <w:tc>
          <w:tcPr>
            <w:tcW w:w="5224" w:type="dxa"/>
            <w:tcBorders>
              <w:top w:val="single" w:sz="4" w:space="0" w:color="auto"/>
              <w:bottom w:val="single" w:sz="24" w:space="0" w:color="auto"/>
            </w:tcBorders>
          </w:tcPr>
          <w:p w14:paraId="5D0A2AF3" w14:textId="77777777" w:rsidR="008C2F27" w:rsidRPr="00675A7F" w:rsidRDefault="008C2F27" w:rsidP="003B444A">
            <w:pPr>
              <w:pStyle w:val="Normal-pool"/>
              <w:spacing w:before="1400" w:after="120"/>
              <w:rPr>
                <w:rFonts w:asciiTheme="minorBidi" w:hAnsiTheme="minorBidi" w:cstheme="minorBidi"/>
                <w:b/>
                <w:bCs/>
                <w:sz w:val="28"/>
                <w:szCs w:val="28"/>
                <w:lang w:val="es-ES"/>
              </w:rPr>
            </w:pPr>
            <w:r w:rsidRPr="00675A7F">
              <w:rPr>
                <w:rFonts w:asciiTheme="minorBidi" w:hAnsiTheme="minorBidi" w:cstheme="minorBidi"/>
                <w:b/>
                <w:bCs/>
                <w:sz w:val="28"/>
                <w:szCs w:val="28"/>
                <w:lang w:val="es-ES"/>
              </w:rPr>
              <w:t>Asamblea de las Na</w:t>
            </w:r>
            <w:bookmarkStart w:id="1" w:name="_GoBack"/>
            <w:bookmarkEnd w:id="1"/>
            <w:r w:rsidRPr="00675A7F">
              <w:rPr>
                <w:rFonts w:asciiTheme="minorBidi" w:hAnsiTheme="minorBidi" w:cstheme="minorBidi"/>
                <w:b/>
                <w:bCs/>
                <w:sz w:val="28"/>
                <w:szCs w:val="28"/>
                <w:lang w:val="es-ES"/>
              </w:rPr>
              <w:t>ciones Unidas sobre el Medio Ambiente del Programa de las Naciones Unidas para el Medio Ambiente</w:t>
            </w:r>
          </w:p>
        </w:tc>
        <w:tc>
          <w:tcPr>
            <w:tcW w:w="2753" w:type="dxa"/>
            <w:tcBorders>
              <w:top w:val="single" w:sz="4" w:space="0" w:color="auto"/>
              <w:bottom w:val="single" w:sz="24" w:space="0" w:color="auto"/>
            </w:tcBorders>
          </w:tcPr>
          <w:p w14:paraId="6A1E92A1" w14:textId="2EF41117" w:rsidR="008C2F27" w:rsidRPr="00675A7F" w:rsidRDefault="008C2F27" w:rsidP="00FA0727">
            <w:pPr>
              <w:pStyle w:val="Normal-pool"/>
              <w:spacing w:before="120"/>
              <w:rPr>
                <w:lang w:val="es-ES"/>
              </w:rPr>
            </w:pPr>
            <w:proofErr w:type="spellStart"/>
            <w:r w:rsidRPr="00675A7F">
              <w:rPr>
                <w:lang w:val="es-ES"/>
              </w:rPr>
              <w:t>Distr</w:t>
            </w:r>
            <w:proofErr w:type="spellEnd"/>
            <w:r w:rsidRPr="00675A7F">
              <w:rPr>
                <w:lang w:val="es-ES"/>
              </w:rPr>
              <w:t xml:space="preserve">. general  </w:t>
            </w:r>
            <w:r w:rsidR="0052639A" w:rsidRPr="00675A7F">
              <w:rPr>
                <w:lang w:val="es-ES"/>
              </w:rPr>
              <w:br/>
            </w:r>
            <w:r w:rsidRPr="00675A7F">
              <w:rPr>
                <w:lang w:val="es-ES"/>
              </w:rPr>
              <w:t>12 de noviembre de 2020</w:t>
            </w:r>
          </w:p>
          <w:p w14:paraId="31EC08F9" w14:textId="64406842" w:rsidR="008C2F27" w:rsidRPr="00675A7F" w:rsidRDefault="00866282" w:rsidP="003F2079">
            <w:pPr>
              <w:pStyle w:val="Normal-pool"/>
              <w:spacing w:before="120"/>
              <w:rPr>
                <w:lang w:val="es-ES"/>
              </w:rPr>
            </w:pPr>
            <w:r w:rsidRPr="00675A7F">
              <w:rPr>
                <w:lang w:val="es-ES"/>
              </w:rPr>
              <w:t xml:space="preserve">Español  </w:t>
            </w:r>
            <w:r w:rsidR="0052639A" w:rsidRPr="00675A7F">
              <w:rPr>
                <w:lang w:val="es-ES"/>
              </w:rPr>
              <w:br/>
            </w:r>
            <w:r w:rsidRPr="00675A7F">
              <w:rPr>
                <w:lang w:val="es-ES"/>
              </w:rPr>
              <w:t>Original: inglés</w:t>
            </w:r>
          </w:p>
        </w:tc>
      </w:tr>
    </w:tbl>
    <w:p w14:paraId="5B0F9C0C" w14:textId="15ECA211" w:rsidR="008C2F27" w:rsidRPr="00675A7F" w:rsidRDefault="008C2F27" w:rsidP="003F2079">
      <w:pPr>
        <w:pStyle w:val="AATitle"/>
        <w:rPr>
          <w:lang w:val="es-ES"/>
        </w:rPr>
      </w:pPr>
      <w:r w:rsidRPr="00675A7F">
        <w:rPr>
          <w:bCs/>
          <w:lang w:val="es-ES"/>
        </w:rPr>
        <w:t xml:space="preserve">Asamblea de las Naciones Unidas sobre el Medio Ambiente  </w:t>
      </w:r>
      <w:r w:rsidR="0052639A" w:rsidRPr="00675A7F">
        <w:rPr>
          <w:bCs/>
          <w:lang w:val="es-ES"/>
        </w:rPr>
        <w:br/>
      </w:r>
      <w:r w:rsidRPr="00675A7F">
        <w:rPr>
          <w:bCs/>
          <w:lang w:val="es-ES"/>
        </w:rPr>
        <w:t>del Programa de las Naciones Unidas para el Medio Ambiente</w:t>
      </w:r>
    </w:p>
    <w:p w14:paraId="00E25DD1" w14:textId="77777777" w:rsidR="00BE5F64" w:rsidRPr="00675A7F" w:rsidRDefault="002A1F8A" w:rsidP="003F2079">
      <w:pPr>
        <w:pStyle w:val="AATitle"/>
        <w:rPr>
          <w:lang w:val="es-ES"/>
        </w:rPr>
      </w:pPr>
      <w:r w:rsidRPr="00675A7F">
        <w:rPr>
          <w:bCs/>
          <w:lang w:val="es-ES"/>
        </w:rPr>
        <w:t>Quinto período de sesiones</w:t>
      </w:r>
    </w:p>
    <w:p w14:paraId="0735CC28" w14:textId="7A7AF1C0" w:rsidR="009A0C7B" w:rsidRPr="00D65E67" w:rsidRDefault="009A0C7B" w:rsidP="009A0C7B">
      <w:pPr>
        <w:pStyle w:val="AATitle"/>
        <w:keepNext w:val="0"/>
        <w:keepLines w:val="0"/>
        <w:rPr>
          <w:b w:val="0"/>
          <w:bCs/>
          <w:lang w:val="es-ES"/>
        </w:rPr>
      </w:pPr>
      <w:r w:rsidRPr="00675A7F">
        <w:rPr>
          <w:b w:val="0"/>
          <w:bCs/>
          <w:lang w:val="es-ES"/>
        </w:rPr>
        <w:t>Nairobi</w:t>
      </w:r>
      <w:r w:rsidR="00092AAB">
        <w:rPr>
          <w:b w:val="0"/>
          <w:bCs/>
          <w:lang w:val="es-ES"/>
        </w:rPr>
        <w:t xml:space="preserve"> (en línea)</w:t>
      </w:r>
      <w:r w:rsidRPr="00675A7F">
        <w:rPr>
          <w:b w:val="0"/>
          <w:bCs/>
          <w:lang w:val="es-ES"/>
        </w:rPr>
        <w:t xml:space="preserve">, 22 a 26 de febrero </w:t>
      </w:r>
      <w:r w:rsidRPr="00D65E67">
        <w:rPr>
          <w:b w:val="0"/>
          <w:bCs/>
          <w:lang w:val="es-ES"/>
        </w:rPr>
        <w:t>de 2021</w:t>
      </w:r>
      <w:r w:rsidR="00D65E67" w:rsidRPr="00D65E67">
        <w:rPr>
          <w:rStyle w:val="FootnoteReference"/>
          <w:b w:val="0"/>
          <w:bCs/>
          <w:vertAlign w:val="baseline"/>
          <w:lang w:val="es-ES"/>
        </w:rPr>
        <w:footnoteReference w:customMarkFollows="1" w:id="2"/>
        <w:sym w:font="Symbol" w:char="F02A"/>
      </w:r>
    </w:p>
    <w:p w14:paraId="35E5DAF9" w14:textId="452506EE" w:rsidR="009A0C7B" w:rsidRPr="00D65E67" w:rsidRDefault="009A0C7B" w:rsidP="009A0C7B">
      <w:pPr>
        <w:pStyle w:val="AATitle"/>
        <w:keepNext w:val="0"/>
        <w:keepLines w:val="0"/>
        <w:rPr>
          <w:b w:val="0"/>
          <w:bCs/>
          <w:lang w:val="es-ES"/>
        </w:rPr>
      </w:pPr>
      <w:r w:rsidRPr="00D65E67">
        <w:rPr>
          <w:b w:val="0"/>
          <w:bCs/>
          <w:lang w:val="es-ES"/>
        </w:rPr>
        <w:t>Tema 5 del programa provisional</w:t>
      </w:r>
      <w:r w:rsidR="00D65E67" w:rsidRPr="00D65E67">
        <w:rPr>
          <w:rStyle w:val="FootnoteReference"/>
          <w:b w:val="0"/>
          <w:bCs/>
          <w:vertAlign w:val="baseline"/>
          <w:lang w:val="es-ES"/>
        </w:rPr>
        <w:footnoteReference w:customMarkFollows="1" w:id="3"/>
        <w:sym w:font="Symbol" w:char="F02A"/>
      </w:r>
      <w:r w:rsidR="00D65E67" w:rsidRPr="00D65E67">
        <w:rPr>
          <w:rStyle w:val="FootnoteReference"/>
          <w:b w:val="0"/>
          <w:bCs/>
          <w:vertAlign w:val="baseline"/>
          <w:lang w:val="es-ES"/>
        </w:rPr>
        <w:sym w:font="Symbol" w:char="F02A"/>
      </w:r>
    </w:p>
    <w:p w14:paraId="4E0E4987" w14:textId="04A40BF5" w:rsidR="0093687C" w:rsidRPr="00675A7F" w:rsidRDefault="0093687C" w:rsidP="00FA0727">
      <w:pPr>
        <w:pStyle w:val="AATitle2"/>
        <w:spacing w:before="60" w:after="0"/>
        <w:rPr>
          <w:lang w:val="es-ES"/>
        </w:rPr>
      </w:pPr>
      <w:r w:rsidRPr="00675A7F">
        <w:rPr>
          <w:bCs/>
          <w:lang w:val="es-ES"/>
        </w:rPr>
        <w:t xml:space="preserve">Políticas ambientales internacionales y </w:t>
      </w:r>
      <w:r w:rsidR="00D65E67">
        <w:rPr>
          <w:bCs/>
          <w:lang w:val="es-ES"/>
        </w:rPr>
        <w:br/>
      </w:r>
      <w:r w:rsidRPr="00675A7F">
        <w:rPr>
          <w:bCs/>
          <w:lang w:val="es-ES"/>
        </w:rPr>
        <w:t>cuestiones de gobernanza</w:t>
      </w:r>
    </w:p>
    <w:p w14:paraId="152791B8" w14:textId="5CD82442" w:rsidR="00852629" w:rsidRPr="00675A7F" w:rsidRDefault="00BD4A91" w:rsidP="00C83D89">
      <w:pPr>
        <w:pStyle w:val="CH1"/>
        <w:rPr>
          <w:lang w:val="es-ES"/>
        </w:rPr>
      </w:pPr>
      <w:r w:rsidRPr="00675A7F">
        <w:rPr>
          <w:lang w:val="es-ES"/>
        </w:rPr>
        <w:tab/>
      </w:r>
      <w:r w:rsidRPr="00675A7F">
        <w:rPr>
          <w:lang w:val="es-ES"/>
        </w:rPr>
        <w:tab/>
      </w:r>
      <w:r w:rsidRPr="00675A7F">
        <w:rPr>
          <w:bCs/>
          <w:lang w:val="es-ES"/>
        </w:rPr>
        <w:t>Progresos en la aplicación de la resolución 4/5 sobre infraestructura sostenible</w:t>
      </w:r>
    </w:p>
    <w:p w14:paraId="2A0DF2DF" w14:textId="77777777" w:rsidR="00C83D89" w:rsidRPr="00675A7F" w:rsidRDefault="00852629" w:rsidP="00FA0727">
      <w:pPr>
        <w:pStyle w:val="CH2"/>
        <w:rPr>
          <w:lang w:val="es-ES"/>
        </w:rPr>
      </w:pPr>
      <w:r w:rsidRPr="00675A7F">
        <w:rPr>
          <w:lang w:val="es-ES"/>
        </w:rPr>
        <w:tab/>
      </w:r>
      <w:r w:rsidRPr="00675A7F">
        <w:rPr>
          <w:lang w:val="es-ES"/>
        </w:rPr>
        <w:tab/>
      </w:r>
      <w:r w:rsidRPr="00675A7F">
        <w:rPr>
          <w:bCs/>
          <w:lang w:val="es-ES"/>
        </w:rPr>
        <w:t>Informe de la Directora Ejecutiva</w:t>
      </w:r>
    </w:p>
    <w:p w14:paraId="742B233C" w14:textId="77777777" w:rsidR="00BD4A91" w:rsidRPr="00675A7F" w:rsidRDefault="00BD4A91" w:rsidP="00BD4A91">
      <w:pPr>
        <w:pStyle w:val="CH1"/>
        <w:rPr>
          <w:lang w:val="es-ES"/>
        </w:rPr>
      </w:pPr>
      <w:r w:rsidRPr="00675A7F">
        <w:rPr>
          <w:lang w:val="es-ES"/>
        </w:rPr>
        <w:tab/>
      </w:r>
      <w:r w:rsidRPr="00675A7F">
        <w:rPr>
          <w:lang w:val="es-ES"/>
        </w:rPr>
        <w:tab/>
      </w:r>
      <w:r w:rsidRPr="00675A7F">
        <w:rPr>
          <w:bCs/>
          <w:lang w:val="es-ES"/>
        </w:rPr>
        <w:t>Introducción</w:t>
      </w:r>
    </w:p>
    <w:p w14:paraId="35F3A6EA" w14:textId="45F5059F" w:rsidR="0078186C" w:rsidRPr="00675A7F" w:rsidRDefault="004B1F5F" w:rsidP="008B6BFE">
      <w:pPr>
        <w:pStyle w:val="Normalnumber"/>
        <w:numPr>
          <w:ilvl w:val="0"/>
          <w:numId w:val="14"/>
        </w:numPr>
        <w:tabs>
          <w:tab w:val="clear" w:pos="1814"/>
          <w:tab w:val="clear" w:pos="2381"/>
          <w:tab w:val="clear" w:pos="2948"/>
          <w:tab w:val="clear" w:pos="3515"/>
          <w:tab w:val="clear" w:pos="4082"/>
          <w:tab w:val="left" w:pos="624"/>
        </w:tabs>
        <w:ind w:left="1247" w:firstLine="0"/>
        <w:rPr>
          <w:rFonts w:eastAsia="MS Mincho"/>
          <w:color w:val="000000" w:themeColor="text1"/>
          <w:lang w:val="es-ES"/>
        </w:rPr>
      </w:pPr>
      <w:r w:rsidRPr="00675A7F">
        <w:rPr>
          <w:lang w:val="es-ES"/>
        </w:rPr>
        <w:t xml:space="preserve">En su resolución 4/5 sobre infraestructura sostenible, la Asamblea de las Naciones Unidas sobre el Medio Ambiente del Programa de las Naciones Unidas para el Medio Ambiente (PNUMA) pidió a la Directora Ejecutiva del PNUMA que velase por que el PNUMA apoyase el desarrollo de una infraestructura sostenible como medio </w:t>
      </w:r>
      <w:r w:rsidR="0094442E" w:rsidRPr="00675A7F">
        <w:rPr>
          <w:lang w:val="es-ES"/>
        </w:rPr>
        <w:t>para</w:t>
      </w:r>
      <w:r w:rsidRPr="00675A7F">
        <w:rPr>
          <w:lang w:val="es-ES"/>
        </w:rPr>
        <w:t xml:space="preserve"> alcanzar los objetivos y las metas de la Agenda 2030 para el Desarrollo Sostenible. Ese apoyo debía incluir la promoción de las directrices y mejores prácticas existentes; el fomento del diálogo entre múltiples interesados; la creación y el fortalecimiento de alianzas; el desarrollo de la capacidad de los encargados de formular políticas y otros interesados para</w:t>
      </w:r>
      <w:r w:rsidR="0069073A">
        <w:rPr>
          <w:lang w:val="es-ES"/>
        </w:rPr>
        <w:t> </w:t>
      </w:r>
      <w:r w:rsidRPr="00675A7F">
        <w:rPr>
          <w:lang w:val="es-ES"/>
        </w:rPr>
        <w:t>utilizar los datos, los conocimientos, l</w:t>
      </w:r>
      <w:r w:rsidR="00553E66" w:rsidRPr="00675A7F">
        <w:rPr>
          <w:lang w:val="es-ES"/>
        </w:rPr>
        <w:t>o</w:t>
      </w:r>
      <w:r w:rsidRPr="00675A7F">
        <w:rPr>
          <w:lang w:val="es-ES"/>
        </w:rPr>
        <w:t xml:space="preserve">s </w:t>
      </w:r>
      <w:r w:rsidR="00553E66" w:rsidRPr="00675A7F">
        <w:rPr>
          <w:lang w:val="es-ES"/>
        </w:rPr>
        <w:t>instrumentos</w:t>
      </w:r>
      <w:r w:rsidRPr="00675A7F">
        <w:rPr>
          <w:lang w:val="es-ES"/>
        </w:rPr>
        <w:t>, los enfoques y otros mecanismos a fin de</w:t>
      </w:r>
      <w:r w:rsidR="0069073A">
        <w:rPr>
          <w:lang w:val="es-ES"/>
        </w:rPr>
        <w:t> </w:t>
      </w:r>
      <w:r w:rsidRPr="00675A7F">
        <w:rPr>
          <w:lang w:val="es-ES"/>
        </w:rPr>
        <w:t>incorporar las infraestructuras sostenibles en las estrategias de desarrollo y empresariales; y el fortalecimiento de las asociaciones entre el sector público y el privado para facilitar la inversión privada en infraestructura sostenible.</w:t>
      </w:r>
    </w:p>
    <w:p w14:paraId="5F572B0F" w14:textId="22788571" w:rsidR="0078186C" w:rsidRPr="00675A7F" w:rsidRDefault="006A4C0A" w:rsidP="008B6BFE">
      <w:pPr>
        <w:pStyle w:val="Normalnumber"/>
        <w:numPr>
          <w:ilvl w:val="0"/>
          <w:numId w:val="14"/>
        </w:numPr>
        <w:tabs>
          <w:tab w:val="clear" w:pos="1814"/>
          <w:tab w:val="clear" w:pos="2381"/>
          <w:tab w:val="clear" w:pos="2948"/>
          <w:tab w:val="clear" w:pos="3515"/>
          <w:tab w:val="clear" w:pos="4082"/>
          <w:tab w:val="left" w:pos="624"/>
        </w:tabs>
        <w:ind w:left="1247" w:firstLine="0"/>
        <w:rPr>
          <w:rFonts w:eastAsia="MS Mincho"/>
          <w:color w:val="000000" w:themeColor="text1"/>
          <w:lang w:val="es-ES"/>
        </w:rPr>
      </w:pPr>
      <w:r w:rsidRPr="00675A7F">
        <w:rPr>
          <w:lang w:val="es-ES"/>
        </w:rPr>
        <w:t>En la resolución, la Asamblea sobre el Medio Ambiente solicitó también a la Directora</w:t>
      </w:r>
      <w:r w:rsidR="00CF0669">
        <w:rPr>
          <w:lang w:val="es-ES"/>
        </w:rPr>
        <w:t> </w:t>
      </w:r>
      <w:r w:rsidRPr="00675A7F">
        <w:rPr>
          <w:lang w:val="es-ES"/>
        </w:rPr>
        <w:t>Ejecutiva que preparase una recopilación de las mejores prácticas, sobre la base de la labor</w:t>
      </w:r>
      <w:r w:rsidR="00CF0669">
        <w:rPr>
          <w:lang w:val="es-ES"/>
        </w:rPr>
        <w:t> </w:t>
      </w:r>
      <w:r w:rsidRPr="00675A7F">
        <w:rPr>
          <w:lang w:val="es-ES"/>
        </w:rPr>
        <w:t>de las comisiones regionales de las Naciones Unidas y otros órganos del sistema, haciendo uso</w:t>
      </w:r>
      <w:r w:rsidR="00CF0669">
        <w:rPr>
          <w:lang w:val="es-ES"/>
        </w:rPr>
        <w:t> </w:t>
      </w:r>
      <w:r w:rsidRPr="00675A7F">
        <w:rPr>
          <w:lang w:val="es-ES"/>
        </w:rPr>
        <w:t>de las iniciativas existentes y determinando las deficiencias en los conocimientos, para ayudar a</w:t>
      </w:r>
      <w:r w:rsidR="00CF0669">
        <w:rPr>
          <w:lang w:val="es-ES"/>
        </w:rPr>
        <w:t> </w:t>
      </w:r>
      <w:r w:rsidRPr="00675A7F">
        <w:rPr>
          <w:lang w:val="es-ES"/>
        </w:rPr>
        <w:t xml:space="preserve">los Estados </w:t>
      </w:r>
      <w:r w:rsidR="00F56E87">
        <w:rPr>
          <w:lang w:val="es-ES"/>
        </w:rPr>
        <w:t>m</w:t>
      </w:r>
      <w:r w:rsidRPr="00675A7F">
        <w:rPr>
          <w:lang w:val="es-ES"/>
        </w:rPr>
        <w:t>iembros a promover y fortalecer la sostenibilidad de sus infraestructuras, y le</w:t>
      </w:r>
      <w:r w:rsidR="00CF0669">
        <w:rPr>
          <w:lang w:val="es-ES"/>
        </w:rPr>
        <w:t> </w:t>
      </w:r>
      <w:r w:rsidRPr="00675A7F">
        <w:rPr>
          <w:lang w:val="es-ES"/>
        </w:rPr>
        <w:t>pidió que</w:t>
      </w:r>
      <w:r w:rsidR="00D65E67">
        <w:rPr>
          <w:lang w:val="es-ES"/>
        </w:rPr>
        <w:t> </w:t>
      </w:r>
      <w:r w:rsidRPr="00675A7F">
        <w:rPr>
          <w:lang w:val="es-ES"/>
        </w:rPr>
        <w:t>presentase ese informe a la Asamblea sobre el Medio Ambiente en su quinto período de</w:t>
      </w:r>
      <w:r w:rsidR="00CF0669">
        <w:rPr>
          <w:lang w:val="es-ES"/>
        </w:rPr>
        <w:t> </w:t>
      </w:r>
      <w:r w:rsidRPr="00675A7F">
        <w:rPr>
          <w:lang w:val="es-ES"/>
        </w:rPr>
        <w:t>sesiones.</w:t>
      </w:r>
    </w:p>
    <w:p w14:paraId="7A93485E" w14:textId="1C954730" w:rsidR="00846973" w:rsidRPr="00CF0669" w:rsidRDefault="008B6BFE" w:rsidP="00874F01">
      <w:pPr>
        <w:pStyle w:val="Normalnumber"/>
        <w:numPr>
          <w:ilvl w:val="0"/>
          <w:numId w:val="14"/>
        </w:numPr>
        <w:tabs>
          <w:tab w:val="clear" w:pos="1814"/>
          <w:tab w:val="clear" w:pos="2381"/>
          <w:tab w:val="clear" w:pos="2948"/>
          <w:tab w:val="clear" w:pos="3515"/>
          <w:tab w:val="clear" w:pos="4082"/>
          <w:tab w:val="left" w:pos="624"/>
        </w:tabs>
        <w:ind w:left="1247" w:firstLine="0"/>
        <w:rPr>
          <w:lang w:val="es-ES"/>
        </w:rPr>
      </w:pPr>
      <w:r w:rsidRPr="00CF0669">
        <w:rPr>
          <w:lang w:val="es-ES"/>
        </w:rPr>
        <w:t>En el presente informe se describen las acciones emprendidas por el PNUMA para aplicar la</w:t>
      </w:r>
      <w:r w:rsidR="00CF0669" w:rsidRPr="00CF0669">
        <w:rPr>
          <w:lang w:val="es-ES"/>
        </w:rPr>
        <w:t> </w:t>
      </w:r>
      <w:r w:rsidRPr="00CF0669">
        <w:rPr>
          <w:lang w:val="es-ES"/>
        </w:rPr>
        <w:t xml:space="preserve">resolución. Entre ellas figuran: a) </w:t>
      </w:r>
      <w:r w:rsidR="0094442E" w:rsidRPr="00CF0669">
        <w:rPr>
          <w:lang w:val="es-ES"/>
        </w:rPr>
        <w:t>concienciar</w:t>
      </w:r>
      <w:r w:rsidRPr="00CF0669">
        <w:rPr>
          <w:lang w:val="es-ES"/>
        </w:rPr>
        <w:t xml:space="preserve"> acerca de la importancia de la infraestructura para el desarrollo sostenible y el establecimiento de la misma como una cuestión </w:t>
      </w:r>
      <w:r w:rsidR="0094442E" w:rsidRPr="00CF0669">
        <w:rPr>
          <w:lang w:val="es-ES"/>
        </w:rPr>
        <w:t>diferenciada</w:t>
      </w:r>
      <w:r w:rsidRPr="00CF0669">
        <w:rPr>
          <w:lang w:val="es-ES"/>
        </w:rPr>
        <w:t xml:space="preserve"> en el programa de política mundial; b) promover la orientación normativa y técnica, los conocimientos y </w:t>
      </w:r>
      <w:r w:rsidR="0094442E" w:rsidRPr="00CF0669">
        <w:rPr>
          <w:lang w:val="es-ES"/>
        </w:rPr>
        <w:t>l</w:t>
      </w:r>
      <w:r w:rsidR="00553E66" w:rsidRPr="00CF0669">
        <w:rPr>
          <w:lang w:val="es-ES"/>
        </w:rPr>
        <w:t>o</w:t>
      </w:r>
      <w:r w:rsidR="0094442E" w:rsidRPr="00CF0669">
        <w:rPr>
          <w:lang w:val="es-ES"/>
        </w:rPr>
        <w:t xml:space="preserve">s </w:t>
      </w:r>
      <w:r w:rsidR="00553E66" w:rsidRPr="00CF0669">
        <w:rPr>
          <w:lang w:val="es-ES"/>
        </w:rPr>
        <w:lastRenderedPageBreak/>
        <w:t>instrumentos</w:t>
      </w:r>
      <w:r w:rsidRPr="00CF0669">
        <w:rPr>
          <w:lang w:val="es-ES"/>
        </w:rPr>
        <w:t xml:space="preserve"> existentes y desarrollar otr</w:t>
      </w:r>
      <w:r w:rsidR="004313C3" w:rsidRPr="00CF0669">
        <w:rPr>
          <w:lang w:val="es-ES"/>
        </w:rPr>
        <w:t>o</w:t>
      </w:r>
      <w:r w:rsidRPr="00CF0669">
        <w:rPr>
          <w:lang w:val="es-ES"/>
        </w:rPr>
        <w:t>s nuev</w:t>
      </w:r>
      <w:r w:rsidR="004313C3" w:rsidRPr="00CF0669">
        <w:rPr>
          <w:lang w:val="es-ES"/>
        </w:rPr>
        <w:t>o</w:t>
      </w:r>
      <w:r w:rsidRPr="00CF0669">
        <w:rPr>
          <w:lang w:val="es-ES"/>
        </w:rPr>
        <w:t>s relacionad</w:t>
      </w:r>
      <w:r w:rsidR="004313C3" w:rsidRPr="00CF0669">
        <w:rPr>
          <w:lang w:val="es-ES"/>
        </w:rPr>
        <w:t>o</w:t>
      </w:r>
      <w:r w:rsidRPr="00CF0669">
        <w:rPr>
          <w:lang w:val="es-ES"/>
        </w:rPr>
        <w:t>s con los criterios integrados de la infraestructura sostenible; y c) movilizar el apoyo internacional para fortalecer la capacidad técnica e</w:t>
      </w:r>
      <w:r w:rsidR="0069073A" w:rsidRPr="00CF0669">
        <w:rPr>
          <w:lang w:val="es-ES"/>
        </w:rPr>
        <w:t> </w:t>
      </w:r>
      <w:r w:rsidRPr="00CF0669">
        <w:rPr>
          <w:lang w:val="es-ES"/>
        </w:rPr>
        <w:t xml:space="preserve">institucional de los países para adoptar </w:t>
      </w:r>
      <w:r w:rsidR="0094442E" w:rsidRPr="00CF0669">
        <w:rPr>
          <w:lang w:val="es-ES"/>
        </w:rPr>
        <w:t>criterios</w:t>
      </w:r>
      <w:r w:rsidRPr="00CF0669">
        <w:rPr>
          <w:lang w:val="es-ES"/>
        </w:rPr>
        <w:t xml:space="preserve"> integrados de planificación y desarrollo de infraestructuras sostenibles que apoyen sus objetivos nacionales de desarrollo.</w:t>
      </w:r>
    </w:p>
    <w:p w14:paraId="7F4C3A87" w14:textId="62DC086E" w:rsidR="00916E6A" w:rsidRPr="00675A7F" w:rsidRDefault="0052639A" w:rsidP="00916E6A">
      <w:pPr>
        <w:pStyle w:val="CH1"/>
        <w:rPr>
          <w:lang w:val="es-ES"/>
        </w:rPr>
      </w:pPr>
      <w:r w:rsidRPr="00675A7F">
        <w:rPr>
          <w:lang w:val="es-ES"/>
        </w:rPr>
        <w:tab/>
      </w:r>
      <w:r w:rsidR="00916E6A" w:rsidRPr="00675A7F">
        <w:rPr>
          <w:lang w:val="es-ES"/>
        </w:rPr>
        <w:t>I.</w:t>
      </w:r>
      <w:r w:rsidR="00916E6A" w:rsidRPr="00675A7F">
        <w:rPr>
          <w:lang w:val="es-ES"/>
        </w:rPr>
        <w:tab/>
      </w:r>
      <w:r w:rsidR="00916E6A" w:rsidRPr="00675A7F">
        <w:rPr>
          <w:bCs/>
          <w:lang w:val="es-ES"/>
        </w:rPr>
        <w:t>Progresos en la aplicación de la resolución 4/5</w:t>
      </w:r>
    </w:p>
    <w:p w14:paraId="2A6E3AF7" w14:textId="5D1AD998" w:rsidR="00C83D89" w:rsidRPr="00675A7F" w:rsidRDefault="00C83D89" w:rsidP="00C83D89">
      <w:pPr>
        <w:pStyle w:val="Normalnumber"/>
        <w:numPr>
          <w:ilvl w:val="0"/>
          <w:numId w:val="14"/>
        </w:numPr>
        <w:tabs>
          <w:tab w:val="clear" w:pos="1814"/>
          <w:tab w:val="clear" w:pos="2381"/>
          <w:tab w:val="clear" w:pos="2948"/>
          <w:tab w:val="clear" w:pos="3515"/>
          <w:tab w:val="clear" w:pos="4082"/>
          <w:tab w:val="left" w:pos="624"/>
        </w:tabs>
        <w:ind w:left="1247" w:firstLine="0"/>
        <w:rPr>
          <w:color w:val="000000" w:themeColor="text1"/>
          <w:lang w:val="es-ES"/>
        </w:rPr>
      </w:pPr>
      <w:r w:rsidRPr="00675A7F">
        <w:rPr>
          <w:lang w:val="es-ES"/>
        </w:rPr>
        <w:t xml:space="preserve">La infraestructura sostenible </w:t>
      </w:r>
      <w:r w:rsidR="004313C3" w:rsidRPr="00675A7F">
        <w:rPr>
          <w:lang w:val="es-ES"/>
        </w:rPr>
        <w:t>se encuentra en el núcleo mismo de</w:t>
      </w:r>
      <w:r w:rsidRPr="00675A7F">
        <w:rPr>
          <w:lang w:val="es-ES"/>
        </w:rPr>
        <w:t xml:space="preserve"> los Objetivos de Desarrollo Sostenible, ya que atañe a los 17 Objetivos e influye en el 92</w:t>
      </w:r>
      <w:r w:rsidR="004313C3" w:rsidRPr="00675A7F">
        <w:rPr>
          <w:lang w:val="es-ES"/>
        </w:rPr>
        <w:t> </w:t>
      </w:r>
      <w:r w:rsidRPr="00675A7F">
        <w:rPr>
          <w:lang w:val="es-ES"/>
        </w:rPr>
        <w:t>% de las 169 metas. La crisis de la enfermedad por coronavirus (COVID-19) ha magnificado la importancia de los sistemas de infraestructura sostenibles y resilientes, que resultan fundamentales para los planes de recuperación</w:t>
      </w:r>
      <w:r w:rsidR="0069073A">
        <w:rPr>
          <w:lang w:val="es-ES"/>
        </w:rPr>
        <w:t> </w:t>
      </w:r>
      <w:r w:rsidR="004313C3" w:rsidRPr="00675A7F">
        <w:rPr>
          <w:lang w:val="es-ES"/>
        </w:rPr>
        <w:t>verdes</w:t>
      </w:r>
      <w:r w:rsidRPr="00675A7F">
        <w:rPr>
          <w:lang w:val="es-ES"/>
        </w:rPr>
        <w:t xml:space="preserve">. </w:t>
      </w:r>
    </w:p>
    <w:p w14:paraId="61D8DB30" w14:textId="2612A454" w:rsidR="00C83D89" w:rsidRPr="00675A7F" w:rsidRDefault="00C83D89" w:rsidP="00C83D89">
      <w:pPr>
        <w:pStyle w:val="Normalnumber"/>
        <w:numPr>
          <w:ilvl w:val="0"/>
          <w:numId w:val="14"/>
        </w:numPr>
        <w:tabs>
          <w:tab w:val="clear" w:pos="1814"/>
          <w:tab w:val="clear" w:pos="2381"/>
          <w:tab w:val="clear" w:pos="2948"/>
          <w:tab w:val="clear" w:pos="3515"/>
          <w:tab w:val="clear" w:pos="4082"/>
          <w:tab w:val="left" w:pos="624"/>
        </w:tabs>
        <w:ind w:left="1247" w:firstLine="0"/>
        <w:rPr>
          <w:rFonts w:eastAsia="MS Mincho"/>
          <w:color w:val="000000" w:themeColor="text1"/>
          <w:lang w:val="es-ES"/>
        </w:rPr>
      </w:pPr>
      <w:r w:rsidRPr="00675A7F">
        <w:rPr>
          <w:lang w:val="es-ES"/>
        </w:rPr>
        <w:t>Las medidas para aplicar la resolución contribuyen al subprograma 6 del PNUMA sobre</w:t>
      </w:r>
      <w:r w:rsidR="0069073A">
        <w:rPr>
          <w:lang w:val="es-ES"/>
        </w:rPr>
        <w:t> </w:t>
      </w:r>
      <w:r w:rsidRPr="00675A7F">
        <w:rPr>
          <w:lang w:val="es-ES"/>
        </w:rPr>
        <w:t xml:space="preserve">aprovechamiento eficaz de los recursos, logro previsto a), indicador i). </w:t>
      </w:r>
      <w:r w:rsidR="004313C3" w:rsidRPr="00675A7F">
        <w:rPr>
          <w:lang w:val="es-ES"/>
        </w:rPr>
        <w:t>Se han utilizado aproximadamente 335.000 dólares</w:t>
      </w:r>
      <w:r w:rsidR="0069073A">
        <w:rPr>
          <w:lang w:val="es-ES"/>
        </w:rPr>
        <w:t xml:space="preserve"> de los Estados Unidos</w:t>
      </w:r>
      <w:r w:rsidR="004313C3" w:rsidRPr="00675A7F">
        <w:rPr>
          <w:lang w:val="es-ES"/>
        </w:rPr>
        <w:t xml:space="preserve"> de los recursos del Fondo para el Medio Ambiente para llevar a cabo las actividades descritas en el presente informe. Para sustentar la</w:t>
      </w:r>
      <w:r w:rsidR="00CF0669">
        <w:rPr>
          <w:lang w:val="es-ES"/>
        </w:rPr>
        <w:t> </w:t>
      </w:r>
      <w:r w:rsidR="004313C3" w:rsidRPr="00675A7F">
        <w:rPr>
          <w:lang w:val="es-ES"/>
        </w:rPr>
        <w:t>aplicación de la resolución se han movilizado unos 3,1 millones de dólares en recursos extrapresupuestarios adicionales</w:t>
      </w:r>
      <w:r w:rsidRPr="00675A7F">
        <w:rPr>
          <w:lang w:val="es-ES"/>
        </w:rPr>
        <w:t>, que cubren las actividades descritas anteriormente, así como la</w:t>
      </w:r>
      <w:r w:rsidR="00CF0669">
        <w:rPr>
          <w:lang w:val="es-ES"/>
        </w:rPr>
        <w:t> </w:t>
      </w:r>
      <w:r w:rsidRPr="00675A7F">
        <w:rPr>
          <w:lang w:val="es-ES"/>
        </w:rPr>
        <w:t>labor</w:t>
      </w:r>
      <w:r w:rsidR="00CF0669">
        <w:rPr>
          <w:lang w:val="es-ES"/>
        </w:rPr>
        <w:t> </w:t>
      </w:r>
      <w:r w:rsidRPr="00675A7F">
        <w:rPr>
          <w:lang w:val="es-ES"/>
        </w:rPr>
        <w:t>conexa en curso hasta el final de 2021.</w:t>
      </w:r>
      <w:bookmarkStart w:id="2" w:name="_Hlk56697532"/>
      <w:bookmarkEnd w:id="2"/>
    </w:p>
    <w:p w14:paraId="575DA8E3" w14:textId="2A950AAB" w:rsidR="00C83D89" w:rsidRPr="00675A7F" w:rsidRDefault="0052639A" w:rsidP="00916E6A">
      <w:pPr>
        <w:pStyle w:val="CH2"/>
        <w:rPr>
          <w:lang w:val="es-ES"/>
        </w:rPr>
      </w:pPr>
      <w:r w:rsidRPr="00675A7F">
        <w:rPr>
          <w:lang w:val="es-ES"/>
        </w:rPr>
        <w:tab/>
      </w:r>
      <w:r w:rsidR="00916E6A" w:rsidRPr="00675A7F">
        <w:rPr>
          <w:lang w:val="es-ES"/>
        </w:rPr>
        <w:t>A.</w:t>
      </w:r>
      <w:r w:rsidR="00916E6A" w:rsidRPr="00675A7F">
        <w:rPr>
          <w:lang w:val="es-ES"/>
        </w:rPr>
        <w:tab/>
      </w:r>
      <w:r w:rsidR="004313C3" w:rsidRPr="00675A7F">
        <w:rPr>
          <w:bCs/>
          <w:lang w:val="es-ES"/>
        </w:rPr>
        <w:t>Balance</w:t>
      </w:r>
      <w:r w:rsidR="00916E6A" w:rsidRPr="00675A7F">
        <w:rPr>
          <w:bCs/>
          <w:lang w:val="es-ES"/>
        </w:rPr>
        <w:t xml:space="preserve"> y análisis de deficiencias</w:t>
      </w:r>
    </w:p>
    <w:p w14:paraId="3F24EE3F" w14:textId="1A0E718B" w:rsidR="00C83D89" w:rsidRPr="00675A7F" w:rsidRDefault="00DF0A04" w:rsidP="00C83D89">
      <w:pPr>
        <w:pStyle w:val="Normalnumber"/>
        <w:numPr>
          <w:ilvl w:val="0"/>
          <w:numId w:val="14"/>
        </w:numPr>
        <w:tabs>
          <w:tab w:val="clear" w:pos="1814"/>
          <w:tab w:val="clear" w:pos="2381"/>
          <w:tab w:val="clear" w:pos="2948"/>
          <w:tab w:val="clear" w:pos="3515"/>
          <w:tab w:val="clear" w:pos="4082"/>
          <w:tab w:val="left" w:pos="624"/>
        </w:tabs>
        <w:ind w:left="1247" w:firstLine="0"/>
        <w:rPr>
          <w:rFonts w:eastAsia="MS Mincho"/>
          <w:i/>
          <w:iCs/>
          <w:color w:val="000000" w:themeColor="text1"/>
          <w:lang w:val="es-ES"/>
        </w:rPr>
      </w:pPr>
      <w:r w:rsidRPr="00675A7F">
        <w:rPr>
          <w:lang w:val="es-ES"/>
        </w:rPr>
        <w:t xml:space="preserve">La aplicación de la resolución por parte del PNUMA comenzó con el </w:t>
      </w:r>
      <w:r w:rsidR="004313C3" w:rsidRPr="00675A7F">
        <w:rPr>
          <w:lang w:val="es-ES"/>
        </w:rPr>
        <w:t>balance</w:t>
      </w:r>
      <w:r w:rsidRPr="00675A7F">
        <w:rPr>
          <w:lang w:val="es-ES"/>
        </w:rPr>
        <w:t xml:space="preserve"> de los criterios, conocimientos e instrumentos existentes para aumentar la sostenibilidad de la</w:t>
      </w:r>
      <w:r w:rsidR="004313C3" w:rsidRPr="00675A7F">
        <w:rPr>
          <w:lang w:val="es-ES"/>
        </w:rPr>
        <w:t>s</w:t>
      </w:r>
      <w:r w:rsidRPr="00675A7F">
        <w:rPr>
          <w:lang w:val="es-ES"/>
        </w:rPr>
        <w:t xml:space="preserve"> infraestructura</w:t>
      </w:r>
      <w:r w:rsidR="004313C3" w:rsidRPr="00675A7F">
        <w:rPr>
          <w:lang w:val="es-ES"/>
        </w:rPr>
        <w:t>s</w:t>
      </w:r>
      <w:r w:rsidRPr="00675A7F">
        <w:rPr>
          <w:lang w:val="es-ES"/>
        </w:rPr>
        <w:t xml:space="preserve">. Los resultados del balance se publicaron en abril de 2019 en el informe del PNUMA titulado </w:t>
      </w:r>
      <w:proofErr w:type="spellStart"/>
      <w:r w:rsidRPr="00675A7F">
        <w:rPr>
          <w:i/>
          <w:iCs/>
          <w:lang w:val="es-ES"/>
        </w:rPr>
        <w:t>Integrated</w:t>
      </w:r>
      <w:proofErr w:type="spellEnd"/>
      <w:r w:rsidRPr="00675A7F">
        <w:rPr>
          <w:i/>
          <w:iCs/>
          <w:lang w:val="es-ES"/>
        </w:rPr>
        <w:t xml:space="preserve"> </w:t>
      </w:r>
      <w:proofErr w:type="spellStart"/>
      <w:r w:rsidRPr="00675A7F">
        <w:rPr>
          <w:i/>
          <w:iCs/>
          <w:lang w:val="es-ES"/>
        </w:rPr>
        <w:t>Approaches</w:t>
      </w:r>
      <w:proofErr w:type="spellEnd"/>
      <w:r w:rsidRPr="00675A7F">
        <w:rPr>
          <w:i/>
          <w:iCs/>
          <w:lang w:val="es-ES"/>
        </w:rPr>
        <w:t xml:space="preserve"> </w:t>
      </w:r>
      <w:proofErr w:type="spellStart"/>
      <w:r w:rsidRPr="00675A7F">
        <w:rPr>
          <w:i/>
          <w:iCs/>
          <w:lang w:val="es-ES"/>
        </w:rPr>
        <w:t>to</w:t>
      </w:r>
      <w:proofErr w:type="spellEnd"/>
      <w:r w:rsidRPr="00675A7F">
        <w:rPr>
          <w:i/>
          <w:iCs/>
          <w:lang w:val="es-ES"/>
        </w:rPr>
        <w:t xml:space="preserve"> </w:t>
      </w:r>
      <w:proofErr w:type="spellStart"/>
      <w:r w:rsidRPr="00675A7F">
        <w:rPr>
          <w:i/>
          <w:iCs/>
          <w:lang w:val="es-ES"/>
        </w:rPr>
        <w:t>Sustainable</w:t>
      </w:r>
      <w:proofErr w:type="spellEnd"/>
      <w:r w:rsidRPr="00675A7F">
        <w:rPr>
          <w:i/>
          <w:iCs/>
          <w:lang w:val="es-ES"/>
        </w:rPr>
        <w:t xml:space="preserve"> </w:t>
      </w:r>
      <w:proofErr w:type="spellStart"/>
      <w:r w:rsidRPr="00675A7F">
        <w:rPr>
          <w:i/>
          <w:iCs/>
          <w:lang w:val="es-ES"/>
        </w:rPr>
        <w:t>Infrastructure</w:t>
      </w:r>
      <w:proofErr w:type="spellEnd"/>
      <w:r w:rsidR="004313C3" w:rsidRPr="00675A7F">
        <w:rPr>
          <w:lang w:val="es-ES"/>
        </w:rPr>
        <w:t xml:space="preserve"> (Criterios integrados para una infraestructura sostenible)</w:t>
      </w:r>
      <w:r w:rsidRPr="00675A7F">
        <w:rPr>
          <w:lang w:val="es-ES"/>
        </w:rPr>
        <w:t>.</w:t>
      </w:r>
    </w:p>
    <w:p w14:paraId="06D4C24E" w14:textId="370099F8" w:rsidR="00C83D89" w:rsidRPr="00675A7F" w:rsidRDefault="005C72D8" w:rsidP="00C83D89">
      <w:pPr>
        <w:pStyle w:val="Normalnumber"/>
        <w:numPr>
          <w:ilvl w:val="0"/>
          <w:numId w:val="14"/>
        </w:numPr>
        <w:tabs>
          <w:tab w:val="clear" w:pos="1814"/>
          <w:tab w:val="clear" w:pos="2381"/>
          <w:tab w:val="clear" w:pos="2948"/>
          <w:tab w:val="clear" w:pos="3515"/>
          <w:tab w:val="clear" w:pos="4082"/>
          <w:tab w:val="left" w:pos="624"/>
        </w:tabs>
        <w:ind w:left="1247" w:firstLine="0"/>
        <w:rPr>
          <w:rFonts w:eastAsia="MS Mincho"/>
          <w:color w:val="000000" w:themeColor="text1"/>
          <w:lang w:val="es-ES"/>
        </w:rPr>
      </w:pPr>
      <w:r w:rsidRPr="00675A7F">
        <w:rPr>
          <w:lang w:val="es-ES"/>
        </w:rPr>
        <w:t xml:space="preserve">En el informe, el PNUMA determinó que, si bien existían orientaciones e instrumentos para incorporar la sostenibilidad al desarrollo de las infraestructuras, había deficiencias importantes que contribuían a que ese desarrollo de las infraestructuras fuese insostenible. En primer lugar, la mayoría de las orientaciones e instrumentos se aplican a la sostenibilidad a nivel de proyecto, </w:t>
      </w:r>
      <w:r w:rsidR="00675A7F" w:rsidRPr="00675A7F">
        <w:rPr>
          <w:lang w:val="es-ES"/>
        </w:rPr>
        <w:t>pero sus posibilidades de generar efectos positivos son limitadas,</w:t>
      </w:r>
      <w:r w:rsidRPr="00675A7F">
        <w:rPr>
          <w:lang w:val="es-ES"/>
        </w:rPr>
        <w:t xml:space="preserve"> porque ya se han tomado decisiones importantes sobre qué construir y dónde construirlo. En segundo lugar, a menudo se suele tratar</w:t>
      </w:r>
      <w:r w:rsidR="00675A7F" w:rsidRPr="00675A7F">
        <w:rPr>
          <w:lang w:val="es-ES"/>
        </w:rPr>
        <w:t xml:space="preserve"> la sostenibilidad</w:t>
      </w:r>
      <w:r w:rsidRPr="00675A7F">
        <w:rPr>
          <w:lang w:val="es-ES"/>
        </w:rPr>
        <w:t xml:space="preserve"> </w:t>
      </w:r>
      <w:r w:rsidR="00675A7F" w:rsidRPr="00675A7F">
        <w:rPr>
          <w:lang w:val="es-ES"/>
        </w:rPr>
        <w:t>con</w:t>
      </w:r>
      <w:r w:rsidRPr="00675A7F">
        <w:rPr>
          <w:lang w:val="es-ES"/>
        </w:rPr>
        <w:t xml:space="preserve"> una perspectiva restrictiva, </w:t>
      </w:r>
      <w:r w:rsidR="00675A7F" w:rsidRPr="00675A7F">
        <w:rPr>
          <w:lang w:val="es-ES"/>
        </w:rPr>
        <w:t>poniendo el foco principalmente</w:t>
      </w:r>
      <w:r w:rsidRPr="00675A7F">
        <w:rPr>
          <w:lang w:val="es-ES"/>
        </w:rPr>
        <w:t xml:space="preserve"> en el clima y sin prestar la suficiente atención a otros aspectos, como la biodiversidad o la inclusividad. En tercer lugar, </w:t>
      </w:r>
      <w:r w:rsidR="00675A7F" w:rsidRPr="00675A7F">
        <w:rPr>
          <w:lang w:val="es-ES"/>
        </w:rPr>
        <w:t>por</w:t>
      </w:r>
      <w:r w:rsidRPr="00675A7F">
        <w:rPr>
          <w:lang w:val="es-ES"/>
        </w:rPr>
        <w:t xml:space="preserve"> lo que respecta a la financiación de la</w:t>
      </w:r>
      <w:r w:rsidR="00675A7F" w:rsidRPr="00675A7F">
        <w:rPr>
          <w:lang w:val="es-ES"/>
        </w:rPr>
        <w:t>s</w:t>
      </w:r>
      <w:r w:rsidRPr="00675A7F">
        <w:rPr>
          <w:lang w:val="es-ES"/>
        </w:rPr>
        <w:t xml:space="preserve"> infraestructura</w:t>
      </w:r>
      <w:r w:rsidR="00675A7F" w:rsidRPr="00675A7F">
        <w:rPr>
          <w:lang w:val="es-ES"/>
        </w:rPr>
        <w:t>s</w:t>
      </w:r>
      <w:r w:rsidRPr="00675A7F">
        <w:rPr>
          <w:lang w:val="es-ES"/>
        </w:rPr>
        <w:t xml:space="preserve"> sostenible</w:t>
      </w:r>
      <w:r w:rsidR="00675A7F" w:rsidRPr="00675A7F">
        <w:rPr>
          <w:lang w:val="es-ES"/>
        </w:rPr>
        <w:t>s</w:t>
      </w:r>
      <w:r w:rsidRPr="00675A7F">
        <w:rPr>
          <w:lang w:val="es-ES"/>
        </w:rPr>
        <w:t xml:space="preserve">, existe una tendencia a centrarse en la cantidad de inversiones en infraestructura que se necesitan (por ejemplo, </w:t>
      </w:r>
      <w:r w:rsidR="00675A7F" w:rsidRPr="00675A7F">
        <w:rPr>
          <w:lang w:val="es-ES"/>
        </w:rPr>
        <w:t>“</w:t>
      </w:r>
      <w:r w:rsidRPr="00675A7F">
        <w:rPr>
          <w:lang w:val="es-ES"/>
        </w:rPr>
        <w:t>cerrar la brecha de inversión en infraestructura</w:t>
      </w:r>
      <w:r w:rsidR="00CF0669">
        <w:rPr>
          <w:lang w:val="es-ES"/>
        </w:rPr>
        <w:t>”</w:t>
      </w:r>
      <w:r w:rsidRPr="00675A7F">
        <w:rPr>
          <w:lang w:val="es-ES"/>
        </w:rPr>
        <w:t xml:space="preserve">) en lugar de en la calidad de esas inversiones (por ejemplo, la sostenibilidad y la adaptación a las necesidades de los servicios). </w:t>
      </w:r>
    </w:p>
    <w:p w14:paraId="2B2ECE87" w14:textId="509C0528" w:rsidR="00C83D89" w:rsidRPr="00675A7F" w:rsidRDefault="00532011" w:rsidP="00C83D89">
      <w:pPr>
        <w:pStyle w:val="Normalnumber"/>
        <w:numPr>
          <w:ilvl w:val="0"/>
          <w:numId w:val="14"/>
        </w:numPr>
        <w:tabs>
          <w:tab w:val="clear" w:pos="1814"/>
          <w:tab w:val="clear" w:pos="2381"/>
          <w:tab w:val="clear" w:pos="2948"/>
          <w:tab w:val="clear" w:pos="3515"/>
          <w:tab w:val="clear" w:pos="4082"/>
          <w:tab w:val="left" w:pos="624"/>
        </w:tabs>
        <w:ind w:left="1247" w:firstLine="0"/>
        <w:rPr>
          <w:rFonts w:eastAsia="MS Mincho"/>
          <w:color w:val="000000" w:themeColor="text1"/>
          <w:lang w:val="es-ES"/>
        </w:rPr>
      </w:pPr>
      <w:r w:rsidRPr="00675A7F">
        <w:rPr>
          <w:lang w:val="es-ES"/>
        </w:rPr>
        <w:t xml:space="preserve">En el informe se propone que esas deficiencias se aborden mediante </w:t>
      </w:r>
      <w:r w:rsidR="00675A7F" w:rsidRPr="00675A7F">
        <w:rPr>
          <w:lang w:val="es-ES"/>
        </w:rPr>
        <w:t>“criterios</w:t>
      </w:r>
      <w:r w:rsidRPr="00675A7F">
        <w:rPr>
          <w:lang w:val="es-ES"/>
        </w:rPr>
        <w:t xml:space="preserve"> integrados</w:t>
      </w:r>
      <w:r w:rsidR="00675A7F" w:rsidRPr="00675A7F">
        <w:rPr>
          <w:lang w:val="es-ES"/>
        </w:rPr>
        <w:t>”</w:t>
      </w:r>
      <w:r w:rsidRPr="00675A7F">
        <w:rPr>
          <w:lang w:val="es-ES"/>
        </w:rPr>
        <w:t xml:space="preserve"> que:</w:t>
      </w:r>
      <w:r w:rsidR="0069073A">
        <w:rPr>
          <w:lang w:val="es-ES"/>
        </w:rPr>
        <w:t> </w:t>
      </w:r>
      <w:r w:rsidRPr="00675A7F">
        <w:rPr>
          <w:lang w:val="es-ES"/>
        </w:rPr>
        <w:t xml:space="preserve">a) consideren la sostenibilidad en la etapa más temprana posible del ciclo de vida de la infraestructura, cuando todavía son viables política, técnica y económicamente más opciones para aumentar </w:t>
      </w:r>
      <w:r w:rsidR="00675A7F" w:rsidRPr="00675A7F">
        <w:rPr>
          <w:lang w:val="es-ES"/>
        </w:rPr>
        <w:t>su</w:t>
      </w:r>
      <w:r w:rsidRPr="00675A7F">
        <w:rPr>
          <w:lang w:val="es-ES"/>
        </w:rPr>
        <w:t xml:space="preserve"> sostenibilidad; b) tengan en cuenta las interrelaciones entre los diferentes sistemas de infraestructura en diferentes sectores y lugares, y los efectos agregados en términos de sostenibilidad ambiental, social y económica a lo largo de todo el ciclo de vida de la infraestructura; y c) creen instituciones, políticas y procesos que posibiliten esas medidas y ofrezcan incentivos para aplicarlas. </w:t>
      </w:r>
    </w:p>
    <w:p w14:paraId="3DB5E09E" w14:textId="0F0F69F2" w:rsidR="00C83D89" w:rsidRPr="00675A7F" w:rsidRDefault="0052639A" w:rsidP="00916E6A">
      <w:pPr>
        <w:pStyle w:val="CH2"/>
        <w:rPr>
          <w:lang w:val="es-ES"/>
        </w:rPr>
      </w:pPr>
      <w:r w:rsidRPr="00675A7F">
        <w:rPr>
          <w:lang w:val="es-ES"/>
        </w:rPr>
        <w:tab/>
      </w:r>
      <w:r w:rsidR="00916E6A" w:rsidRPr="00675A7F">
        <w:rPr>
          <w:lang w:val="es-ES"/>
        </w:rPr>
        <w:t>B.</w:t>
      </w:r>
      <w:r w:rsidR="00916E6A" w:rsidRPr="00675A7F">
        <w:rPr>
          <w:lang w:val="es-ES"/>
        </w:rPr>
        <w:tab/>
      </w:r>
      <w:r w:rsidR="00916E6A" w:rsidRPr="00675A7F">
        <w:rPr>
          <w:bCs/>
          <w:lang w:val="es-ES"/>
        </w:rPr>
        <w:t>Alianza para una Infraestructura Sostenible</w:t>
      </w:r>
    </w:p>
    <w:p w14:paraId="0576E37F" w14:textId="2DFBF45D" w:rsidR="00C83D89" w:rsidRPr="00675A7F" w:rsidRDefault="00C83D89" w:rsidP="00C83D89">
      <w:pPr>
        <w:pStyle w:val="Normalnumber"/>
        <w:numPr>
          <w:ilvl w:val="0"/>
          <w:numId w:val="14"/>
        </w:numPr>
        <w:tabs>
          <w:tab w:val="clear" w:pos="1814"/>
          <w:tab w:val="clear" w:pos="2381"/>
          <w:tab w:val="clear" w:pos="2948"/>
          <w:tab w:val="clear" w:pos="3515"/>
          <w:tab w:val="clear" w:pos="4082"/>
          <w:tab w:val="left" w:pos="624"/>
        </w:tabs>
        <w:ind w:left="1247" w:firstLine="0"/>
        <w:rPr>
          <w:rFonts w:eastAsia="MS Mincho"/>
          <w:color w:val="000000" w:themeColor="text1"/>
          <w:lang w:val="es-ES"/>
        </w:rPr>
      </w:pPr>
      <w:r w:rsidRPr="00675A7F">
        <w:rPr>
          <w:lang w:val="es-ES"/>
        </w:rPr>
        <w:t>El PNUMA está trabajando para subsanar esas deficiencias mediante la Alianza para una Infraestructura Sostenible, una red de más de treinta instituciones, entre las que figuran organizaciones internacionales, bancos multilaterales de desarrollo, organizaciones no gubernamentales, grupos de reflexión, académicos, asociaciones profesionales y gobiernos. La Alianza trabaja para a) concienciar sobre la importancia de la infraestructura para el desarrollo sostenible; b) promover la orientación, los</w:t>
      </w:r>
      <w:r w:rsidR="00CF0669">
        <w:rPr>
          <w:lang w:val="es-ES"/>
        </w:rPr>
        <w:t> </w:t>
      </w:r>
      <w:r w:rsidRPr="00675A7F">
        <w:rPr>
          <w:lang w:val="es-ES"/>
        </w:rPr>
        <w:t xml:space="preserve">conocimientos y los instrumentos existentes y desarrollar otros nuevos relacionados con los criterios integrados de la infraestructura sostenible; y c) movilizar el apoyo internacional para fortalecer la capacidad técnica e institucional de los países para adoptar </w:t>
      </w:r>
      <w:r w:rsidR="00675A7F" w:rsidRPr="00675A7F">
        <w:rPr>
          <w:lang w:val="es-ES"/>
        </w:rPr>
        <w:t>criterios</w:t>
      </w:r>
      <w:r w:rsidRPr="00675A7F">
        <w:rPr>
          <w:lang w:val="es-ES"/>
        </w:rPr>
        <w:t xml:space="preserve"> integrados de infraestructuras sostenibles.</w:t>
      </w:r>
    </w:p>
    <w:p w14:paraId="3D02274C" w14:textId="5D60295A" w:rsidR="00C83D89" w:rsidRPr="00675A7F" w:rsidRDefault="0052639A" w:rsidP="00916E6A">
      <w:pPr>
        <w:pStyle w:val="CH2"/>
        <w:rPr>
          <w:lang w:val="es-ES"/>
        </w:rPr>
      </w:pPr>
      <w:r w:rsidRPr="00675A7F">
        <w:rPr>
          <w:lang w:val="es-ES"/>
        </w:rPr>
        <w:lastRenderedPageBreak/>
        <w:tab/>
      </w:r>
      <w:r w:rsidR="002A50DE" w:rsidRPr="00675A7F">
        <w:rPr>
          <w:lang w:val="es-ES"/>
        </w:rPr>
        <w:t>C.</w:t>
      </w:r>
      <w:r w:rsidR="002A50DE" w:rsidRPr="00675A7F">
        <w:rPr>
          <w:lang w:val="es-ES"/>
        </w:rPr>
        <w:tab/>
      </w:r>
      <w:r w:rsidR="002A50DE" w:rsidRPr="00675A7F">
        <w:rPr>
          <w:bCs/>
          <w:lang w:val="es-ES"/>
        </w:rPr>
        <w:t>Marco de Orientación sobre Buenas Prácticas para la Infraestructura Sostenible</w:t>
      </w:r>
    </w:p>
    <w:p w14:paraId="16AA763D" w14:textId="65FA4789" w:rsidR="00C83D89" w:rsidRPr="00675A7F" w:rsidRDefault="00C83D89" w:rsidP="00C83D89">
      <w:pPr>
        <w:pStyle w:val="Normalnumber"/>
        <w:numPr>
          <w:ilvl w:val="0"/>
          <w:numId w:val="14"/>
        </w:numPr>
        <w:tabs>
          <w:tab w:val="clear" w:pos="1814"/>
          <w:tab w:val="clear" w:pos="2381"/>
          <w:tab w:val="clear" w:pos="2948"/>
          <w:tab w:val="clear" w:pos="3515"/>
          <w:tab w:val="clear" w:pos="4082"/>
          <w:tab w:val="left" w:pos="624"/>
        </w:tabs>
        <w:ind w:left="1247" w:firstLine="0"/>
        <w:rPr>
          <w:color w:val="000000" w:themeColor="text1"/>
          <w:lang w:val="es-ES"/>
        </w:rPr>
      </w:pPr>
      <w:r w:rsidRPr="00675A7F">
        <w:rPr>
          <w:lang w:val="es-ES"/>
        </w:rPr>
        <w:t>Con el apoyo financiero del Fondo para el Medio Ambiente Mundial, el PNUMA dirige un grupo de trabajo de expertos de los miembros de la Alianza para una Infraestructura Sostenible cuyo objetivo es subsanar las deficiencias det</w:t>
      </w:r>
      <w:r w:rsidR="00675A7F" w:rsidRPr="00675A7F">
        <w:rPr>
          <w:lang w:val="es-ES"/>
        </w:rPr>
        <w:t>e</w:t>
      </w:r>
      <w:r w:rsidRPr="00675A7F">
        <w:rPr>
          <w:lang w:val="es-ES"/>
        </w:rPr>
        <w:t xml:space="preserve">ctadas en el informe </w:t>
      </w:r>
      <w:proofErr w:type="spellStart"/>
      <w:r w:rsidRPr="00675A7F">
        <w:rPr>
          <w:i/>
          <w:iCs/>
          <w:lang w:val="es-ES"/>
        </w:rPr>
        <w:t>Integrated</w:t>
      </w:r>
      <w:proofErr w:type="spellEnd"/>
      <w:r w:rsidRPr="00675A7F">
        <w:rPr>
          <w:i/>
          <w:iCs/>
          <w:lang w:val="es-ES"/>
        </w:rPr>
        <w:t xml:space="preserve"> </w:t>
      </w:r>
      <w:proofErr w:type="spellStart"/>
      <w:r w:rsidRPr="00675A7F">
        <w:rPr>
          <w:i/>
          <w:iCs/>
          <w:lang w:val="es-ES"/>
        </w:rPr>
        <w:t>Approaches</w:t>
      </w:r>
      <w:proofErr w:type="spellEnd"/>
      <w:r w:rsidRPr="00675A7F">
        <w:rPr>
          <w:i/>
          <w:iCs/>
          <w:lang w:val="es-ES"/>
        </w:rPr>
        <w:t xml:space="preserve"> </w:t>
      </w:r>
      <w:proofErr w:type="spellStart"/>
      <w:r w:rsidRPr="00675A7F">
        <w:rPr>
          <w:i/>
          <w:iCs/>
          <w:lang w:val="es-ES"/>
        </w:rPr>
        <w:t>to</w:t>
      </w:r>
      <w:proofErr w:type="spellEnd"/>
      <w:r w:rsidRPr="00675A7F">
        <w:rPr>
          <w:i/>
          <w:iCs/>
          <w:lang w:val="es-ES"/>
        </w:rPr>
        <w:t xml:space="preserve"> </w:t>
      </w:r>
      <w:proofErr w:type="spellStart"/>
      <w:r w:rsidRPr="00675A7F">
        <w:rPr>
          <w:i/>
          <w:iCs/>
          <w:lang w:val="es-ES"/>
        </w:rPr>
        <w:t>Sustainable</w:t>
      </w:r>
      <w:proofErr w:type="spellEnd"/>
      <w:r w:rsidRPr="00675A7F">
        <w:rPr>
          <w:i/>
          <w:iCs/>
          <w:lang w:val="es-ES"/>
        </w:rPr>
        <w:t xml:space="preserve"> </w:t>
      </w:r>
      <w:proofErr w:type="spellStart"/>
      <w:r w:rsidRPr="00675A7F">
        <w:rPr>
          <w:i/>
          <w:iCs/>
          <w:lang w:val="es-ES"/>
        </w:rPr>
        <w:t>Infrastructure</w:t>
      </w:r>
      <w:proofErr w:type="spellEnd"/>
      <w:r w:rsidRPr="00675A7F">
        <w:rPr>
          <w:lang w:val="es-ES"/>
        </w:rPr>
        <w:t xml:space="preserve"> </w:t>
      </w:r>
      <w:r w:rsidR="00675A7F">
        <w:rPr>
          <w:lang w:val="es-ES"/>
        </w:rPr>
        <w:t xml:space="preserve">(Criterios integrados para la infraestructura sostenible) </w:t>
      </w:r>
      <w:r w:rsidRPr="00675A7F">
        <w:rPr>
          <w:lang w:val="es-ES"/>
        </w:rPr>
        <w:t>mediante la elaboración de un Marco de Orientación sobre las Buenas Prácticas para la Infraestructura Sostenible, consolidado, racionalizado y aplicable a escala internacional, destinado a los encargados de adoptar decisiones de</w:t>
      </w:r>
      <w:r w:rsidR="0069073A">
        <w:rPr>
          <w:lang w:val="es-ES"/>
        </w:rPr>
        <w:t> </w:t>
      </w:r>
      <w:r w:rsidRPr="00675A7F">
        <w:rPr>
          <w:lang w:val="es-ES"/>
        </w:rPr>
        <w:t xml:space="preserve">alto nivel en los gobiernos. El Marco consta de diez principios que sustentan los </w:t>
      </w:r>
      <w:r w:rsidR="00A001A7">
        <w:rPr>
          <w:lang w:val="es-ES"/>
        </w:rPr>
        <w:t>criterios</w:t>
      </w:r>
      <w:r w:rsidRPr="00675A7F">
        <w:rPr>
          <w:lang w:val="es-ES"/>
        </w:rPr>
        <w:t xml:space="preserve"> integrados</w:t>
      </w:r>
      <w:r w:rsidR="0069073A">
        <w:rPr>
          <w:lang w:val="es-ES"/>
        </w:rPr>
        <w:t> </w:t>
      </w:r>
      <w:r w:rsidRPr="00675A7F">
        <w:rPr>
          <w:lang w:val="es-ES"/>
        </w:rPr>
        <w:t>basados en las necesidades y a nivel de los sistemas para la planificación y el desarrollo de</w:t>
      </w:r>
      <w:r w:rsidR="0069073A">
        <w:rPr>
          <w:lang w:val="es-ES"/>
        </w:rPr>
        <w:t> </w:t>
      </w:r>
      <w:r w:rsidRPr="00675A7F">
        <w:rPr>
          <w:lang w:val="es-ES"/>
        </w:rPr>
        <w:t>infraestructuras sostenibles, y se presentará en el quinto período de sesiones de la Asamblea sobre</w:t>
      </w:r>
      <w:r w:rsidR="0069073A">
        <w:rPr>
          <w:lang w:val="es-ES"/>
        </w:rPr>
        <w:t> </w:t>
      </w:r>
      <w:r w:rsidRPr="00675A7F">
        <w:rPr>
          <w:lang w:val="es-ES"/>
        </w:rPr>
        <w:t>el</w:t>
      </w:r>
      <w:r w:rsidR="0069073A">
        <w:rPr>
          <w:lang w:val="es-ES"/>
        </w:rPr>
        <w:t> </w:t>
      </w:r>
      <w:r w:rsidRPr="00675A7F">
        <w:rPr>
          <w:lang w:val="es-ES"/>
        </w:rPr>
        <w:t xml:space="preserve">Medio Ambiente. </w:t>
      </w:r>
    </w:p>
    <w:p w14:paraId="2486BDA8" w14:textId="2EBC942A" w:rsidR="00C83D89" w:rsidRPr="00675A7F" w:rsidRDefault="00C83D89" w:rsidP="00C83D89">
      <w:pPr>
        <w:pStyle w:val="Normalnumber"/>
        <w:numPr>
          <w:ilvl w:val="0"/>
          <w:numId w:val="14"/>
        </w:numPr>
        <w:tabs>
          <w:tab w:val="clear" w:pos="1814"/>
          <w:tab w:val="clear" w:pos="2381"/>
          <w:tab w:val="clear" w:pos="2948"/>
          <w:tab w:val="clear" w:pos="3515"/>
          <w:tab w:val="clear" w:pos="4082"/>
          <w:tab w:val="left" w:pos="624"/>
        </w:tabs>
        <w:ind w:left="1247" w:firstLine="0"/>
        <w:rPr>
          <w:rFonts w:eastAsia="Arial"/>
          <w:lang w:val="es-ES"/>
        </w:rPr>
      </w:pPr>
      <w:r w:rsidRPr="00675A7F">
        <w:rPr>
          <w:lang w:val="es-ES"/>
        </w:rPr>
        <w:t xml:space="preserve">En mayo de 2020 se compartió un proyecto del Marco de Orientación con expertos internacionales y Estados </w:t>
      </w:r>
      <w:r w:rsidR="0069073A">
        <w:rPr>
          <w:lang w:val="es-ES"/>
        </w:rPr>
        <w:t>m</w:t>
      </w:r>
      <w:r w:rsidRPr="00675A7F">
        <w:rPr>
          <w:lang w:val="es-ES"/>
        </w:rPr>
        <w:t xml:space="preserve">iembros para su examen. El proceso de revisión por pares y de consulta con los interesados, que contó con el apoyo financiero del Gobierno de Suiza, consistió en siete reuniones regionales de consulta en línea en las que participaron setenta y dos países, así como representantes de un amplio espectro de organizaciones multilaterales. Los objetivos de las consultas eran informar y recabar información sobre el proyecto de orientación, brindar a los países la oportunidad de compartir sus experiencias en la aplicación de la resolución 4/5 y en la infraestructura sostenible en general, y analizar las actividades en curso para la aplicación de la resolución y el posible seguimiento en el quinto período de sesiones de la Asamblea sobre el Medio Ambiente. Las consultas se complementaron con un cuestionario, que generó </w:t>
      </w:r>
      <w:r w:rsidR="00092AAB">
        <w:rPr>
          <w:lang w:val="es-ES"/>
        </w:rPr>
        <w:t>62</w:t>
      </w:r>
      <w:r w:rsidRPr="00675A7F">
        <w:rPr>
          <w:lang w:val="es-ES"/>
        </w:rPr>
        <w:t xml:space="preserve"> respuestas de </w:t>
      </w:r>
      <w:r w:rsidR="00092AAB">
        <w:rPr>
          <w:lang w:val="es-ES"/>
        </w:rPr>
        <w:t xml:space="preserve">39 </w:t>
      </w:r>
      <w:r w:rsidRPr="00675A7F">
        <w:rPr>
          <w:lang w:val="es-ES"/>
        </w:rPr>
        <w:t xml:space="preserve">países, y una revisión por pares del proyecto de orientación a cargo de </w:t>
      </w:r>
      <w:r w:rsidR="00092AAB">
        <w:rPr>
          <w:lang w:val="es-ES"/>
        </w:rPr>
        <w:t xml:space="preserve">32 </w:t>
      </w:r>
      <w:r w:rsidRPr="00675A7F">
        <w:rPr>
          <w:lang w:val="es-ES"/>
        </w:rPr>
        <w:t>expertos internacionales.</w:t>
      </w:r>
    </w:p>
    <w:p w14:paraId="6026920C" w14:textId="3FBB334D" w:rsidR="00C83D89" w:rsidRPr="00675A7F" w:rsidRDefault="00C83D89" w:rsidP="00C83D89">
      <w:pPr>
        <w:pStyle w:val="Normalnumber"/>
        <w:numPr>
          <w:ilvl w:val="0"/>
          <w:numId w:val="14"/>
        </w:numPr>
        <w:tabs>
          <w:tab w:val="clear" w:pos="1814"/>
          <w:tab w:val="clear" w:pos="2381"/>
          <w:tab w:val="clear" w:pos="2948"/>
          <w:tab w:val="clear" w:pos="3515"/>
          <w:tab w:val="clear" w:pos="4082"/>
          <w:tab w:val="left" w:pos="624"/>
        </w:tabs>
        <w:ind w:left="1247" w:firstLine="0"/>
        <w:rPr>
          <w:color w:val="000000" w:themeColor="text1"/>
          <w:lang w:val="es-ES"/>
        </w:rPr>
      </w:pPr>
      <w:r w:rsidRPr="00675A7F">
        <w:rPr>
          <w:lang w:val="es-ES"/>
        </w:rPr>
        <w:t xml:space="preserve">El Marco de Orientación sobre las Buenas Prácticas para una Infraestructura Sostenible se complementa con dos productos adicionales. El primero es una colección de estudios de casos basados en las experiencias de los Estados </w:t>
      </w:r>
      <w:r w:rsidR="0069073A">
        <w:rPr>
          <w:lang w:val="es-ES"/>
        </w:rPr>
        <w:t>m</w:t>
      </w:r>
      <w:r w:rsidRPr="00675A7F">
        <w:rPr>
          <w:lang w:val="es-ES"/>
        </w:rPr>
        <w:t xml:space="preserve">iembros durante la puesta en marcha de infraestructuras sostenibles. La publicación, que ha sido elaborada con el apoyo financiero del Gobierno de Suiza y de la Alianza de Acción para una Economía Verde, y en cooperación con socios de la Alianza para una Infraestructura Sostenible, presentará estudios de casos de diez países diferentes (Afganistán, Austria, Chile, Ecuador, Irán (República Islámica del), Malawi, Mongolia, Santa Lucía, Singapur y </w:t>
      </w:r>
      <w:proofErr w:type="spellStart"/>
      <w:r w:rsidRPr="00675A7F">
        <w:rPr>
          <w:lang w:val="es-ES"/>
        </w:rPr>
        <w:t>Zimbabwe</w:t>
      </w:r>
      <w:proofErr w:type="spellEnd"/>
      <w:r w:rsidRPr="00675A7F">
        <w:rPr>
          <w:lang w:val="es-ES"/>
        </w:rPr>
        <w:t xml:space="preserve">) para cada uno de los diez principios del Marco. El segundo producto adicional es un centro de intercambio de conocimientos basado en el Navegador de </w:t>
      </w:r>
      <w:r w:rsidR="00A001A7">
        <w:rPr>
          <w:lang w:val="es-ES"/>
        </w:rPr>
        <w:t>Instrumentos</w:t>
      </w:r>
      <w:r w:rsidRPr="00675A7F">
        <w:rPr>
          <w:lang w:val="es-ES"/>
        </w:rPr>
        <w:t xml:space="preserve"> de Infraestructura Sostenible en línea creado por la Agencia Alemana de Cooperación Internacional (GIZ), con la que el PNUMA se ha asociado para ampliar el alcance del Navegador. </w:t>
      </w:r>
    </w:p>
    <w:p w14:paraId="42BDC328" w14:textId="4D1F43A0" w:rsidR="00C83D89" w:rsidRPr="00675A7F" w:rsidRDefault="0052639A" w:rsidP="002A50DE">
      <w:pPr>
        <w:pStyle w:val="CH2"/>
        <w:rPr>
          <w:lang w:val="es-ES"/>
        </w:rPr>
      </w:pPr>
      <w:r w:rsidRPr="00675A7F">
        <w:rPr>
          <w:lang w:val="es-ES"/>
        </w:rPr>
        <w:tab/>
      </w:r>
      <w:r w:rsidR="002A50DE" w:rsidRPr="00675A7F">
        <w:rPr>
          <w:lang w:val="es-ES"/>
        </w:rPr>
        <w:t>D.</w:t>
      </w:r>
      <w:r w:rsidR="002A50DE" w:rsidRPr="00675A7F">
        <w:rPr>
          <w:lang w:val="es-ES"/>
        </w:rPr>
        <w:tab/>
      </w:r>
      <w:r w:rsidR="002A50DE" w:rsidRPr="00675A7F">
        <w:rPr>
          <w:bCs/>
          <w:lang w:val="es-ES"/>
        </w:rPr>
        <w:t>Generación e intercambio de conocimientos</w:t>
      </w:r>
    </w:p>
    <w:p w14:paraId="04F4A57C" w14:textId="1AD5C42D" w:rsidR="00C83D89" w:rsidRPr="00675A7F" w:rsidRDefault="00C83D89" w:rsidP="00C83D89">
      <w:pPr>
        <w:pStyle w:val="Normalnumber"/>
        <w:numPr>
          <w:ilvl w:val="0"/>
          <w:numId w:val="14"/>
        </w:numPr>
        <w:tabs>
          <w:tab w:val="clear" w:pos="1814"/>
          <w:tab w:val="clear" w:pos="2381"/>
          <w:tab w:val="clear" w:pos="2948"/>
          <w:tab w:val="clear" w:pos="3515"/>
          <w:tab w:val="clear" w:pos="4082"/>
          <w:tab w:val="left" w:pos="624"/>
        </w:tabs>
        <w:ind w:left="1247" w:firstLine="0"/>
        <w:rPr>
          <w:lang w:val="es-ES"/>
        </w:rPr>
      </w:pPr>
      <w:r w:rsidRPr="00675A7F">
        <w:rPr>
          <w:lang w:val="es-ES"/>
        </w:rPr>
        <w:t xml:space="preserve">El PNUMA ha colaborado con sus asociados para organizar eventos y publicar productos del conocimiento relacionados con diversos aspectos de la infraestructura sostenible, como la inclusión social, el clima, la diversidad biológica, la infraestructura para el aprovechamiento eficaz de los recursos, las adquisiciones públicas sostenibles, la función del sector privado, la integración de las infraestructuras verde, azul y gris, y la función de la infraestructura sostenible en una recuperación post-COVID-19 verde. A nivel de las ciudades, el PNUMA ha elaborado directrices integradas para el diseño de barrios sostenibles, que convierten las conclusiones del informe del Panel Internacional de Recursos titulado </w:t>
      </w:r>
      <w:r w:rsidRPr="00675A7F">
        <w:rPr>
          <w:i/>
          <w:iCs/>
          <w:lang w:val="es-ES"/>
        </w:rPr>
        <w:t xml:space="preserve">The </w:t>
      </w:r>
      <w:proofErr w:type="spellStart"/>
      <w:r w:rsidRPr="00675A7F">
        <w:rPr>
          <w:i/>
          <w:iCs/>
          <w:lang w:val="es-ES"/>
        </w:rPr>
        <w:t>Weight</w:t>
      </w:r>
      <w:proofErr w:type="spellEnd"/>
      <w:r w:rsidRPr="00675A7F">
        <w:rPr>
          <w:i/>
          <w:iCs/>
          <w:lang w:val="es-ES"/>
        </w:rPr>
        <w:t xml:space="preserve"> </w:t>
      </w:r>
      <w:proofErr w:type="spellStart"/>
      <w:r w:rsidRPr="00675A7F">
        <w:rPr>
          <w:i/>
          <w:iCs/>
          <w:lang w:val="es-ES"/>
        </w:rPr>
        <w:t>of</w:t>
      </w:r>
      <w:proofErr w:type="spellEnd"/>
      <w:r w:rsidRPr="00675A7F">
        <w:rPr>
          <w:i/>
          <w:iCs/>
          <w:lang w:val="es-ES"/>
        </w:rPr>
        <w:t xml:space="preserve"> </w:t>
      </w:r>
      <w:proofErr w:type="spellStart"/>
      <w:r w:rsidRPr="00675A7F">
        <w:rPr>
          <w:i/>
          <w:iCs/>
          <w:lang w:val="es-ES"/>
        </w:rPr>
        <w:t>Cities</w:t>
      </w:r>
      <w:proofErr w:type="spellEnd"/>
      <w:r w:rsidRPr="00675A7F">
        <w:rPr>
          <w:lang w:val="es-ES"/>
        </w:rPr>
        <w:t xml:space="preserve"> (El peso de las ciudades) en una guía para aprovechar </w:t>
      </w:r>
      <w:r w:rsidR="00A001A7">
        <w:rPr>
          <w:lang w:val="es-ES"/>
        </w:rPr>
        <w:t>las posibilidades del clima y la reducción de</w:t>
      </w:r>
      <w:r w:rsidRPr="00675A7F">
        <w:rPr>
          <w:lang w:val="es-ES"/>
        </w:rPr>
        <w:t xml:space="preserve"> recursos. </w:t>
      </w:r>
    </w:p>
    <w:p w14:paraId="387D3241" w14:textId="43723A79" w:rsidR="00C83D89" w:rsidRPr="00675A7F" w:rsidRDefault="0052639A" w:rsidP="002A50DE">
      <w:pPr>
        <w:pStyle w:val="CH2"/>
        <w:rPr>
          <w:lang w:val="es-ES"/>
        </w:rPr>
      </w:pPr>
      <w:r w:rsidRPr="00675A7F">
        <w:rPr>
          <w:lang w:val="es-ES"/>
        </w:rPr>
        <w:tab/>
      </w:r>
      <w:r w:rsidR="002A50DE" w:rsidRPr="00675A7F">
        <w:rPr>
          <w:lang w:val="es-ES"/>
        </w:rPr>
        <w:t>E.</w:t>
      </w:r>
      <w:r w:rsidR="002A50DE" w:rsidRPr="00675A7F">
        <w:rPr>
          <w:lang w:val="es-ES"/>
        </w:rPr>
        <w:tab/>
      </w:r>
      <w:r w:rsidR="002A50DE" w:rsidRPr="00675A7F">
        <w:rPr>
          <w:bCs/>
          <w:lang w:val="es-ES"/>
        </w:rPr>
        <w:t>Creación de capacidad y apoyo a los países</w:t>
      </w:r>
    </w:p>
    <w:p w14:paraId="35FDC7E6" w14:textId="71A422AE" w:rsidR="00C83D89" w:rsidRPr="00675A7F" w:rsidRDefault="00C83D89" w:rsidP="00C83D89">
      <w:pPr>
        <w:pStyle w:val="Normalnumber"/>
        <w:numPr>
          <w:ilvl w:val="0"/>
          <w:numId w:val="14"/>
        </w:numPr>
        <w:tabs>
          <w:tab w:val="clear" w:pos="1814"/>
          <w:tab w:val="clear" w:pos="2381"/>
          <w:tab w:val="clear" w:pos="2948"/>
          <w:tab w:val="clear" w:pos="3515"/>
          <w:tab w:val="clear" w:pos="4082"/>
          <w:tab w:val="left" w:pos="624"/>
        </w:tabs>
        <w:ind w:left="1247" w:firstLine="0"/>
        <w:rPr>
          <w:rFonts w:eastAsia="MS Mincho"/>
          <w:color w:val="000000" w:themeColor="text1"/>
          <w:lang w:val="es-ES"/>
        </w:rPr>
      </w:pPr>
      <w:r w:rsidRPr="00675A7F">
        <w:rPr>
          <w:lang w:val="es-ES"/>
        </w:rPr>
        <w:t>Desde septiembre de 2019, con el apoyo financiero del Fondo para el Medio Ambiente Mundial, el PNUMA colabora con el Centro Mundial de Vigilancia de la Conservación para evaluar los efectos ambientales, sociales y económicos del desarrollo de la infraestructura a escala mundial. La evaluación se completará en agosto de 2021. Al mismo tiempo, se está adaptando la metodología de evaluación para aplicarla a escala nacional y se pondrá a prueba en Mongolia en el primer semestre de</w:t>
      </w:r>
      <w:r w:rsidR="0069073A">
        <w:rPr>
          <w:lang w:val="es-ES"/>
        </w:rPr>
        <w:t> </w:t>
      </w:r>
      <w:r w:rsidRPr="00675A7F">
        <w:rPr>
          <w:lang w:val="es-ES"/>
        </w:rPr>
        <w:t xml:space="preserve">2021 para evaluar la sostenibilidad del sector del transporte en ese país. </w:t>
      </w:r>
    </w:p>
    <w:p w14:paraId="63EA85B0" w14:textId="634E847F" w:rsidR="00C83D89" w:rsidRPr="00675A7F" w:rsidRDefault="00C83D89" w:rsidP="00C83D89">
      <w:pPr>
        <w:pStyle w:val="Normalnumber"/>
        <w:numPr>
          <w:ilvl w:val="0"/>
          <w:numId w:val="14"/>
        </w:numPr>
        <w:tabs>
          <w:tab w:val="clear" w:pos="1814"/>
          <w:tab w:val="clear" w:pos="2381"/>
          <w:tab w:val="clear" w:pos="2948"/>
          <w:tab w:val="clear" w:pos="3515"/>
          <w:tab w:val="clear" w:pos="4082"/>
          <w:tab w:val="left" w:pos="624"/>
        </w:tabs>
        <w:ind w:left="1247" w:firstLine="0"/>
        <w:rPr>
          <w:rFonts w:eastAsia="MS Mincho"/>
          <w:color w:val="000000" w:themeColor="text1"/>
          <w:lang w:val="es-ES"/>
        </w:rPr>
      </w:pPr>
      <w:r w:rsidRPr="00675A7F">
        <w:rPr>
          <w:lang w:val="es-ES"/>
        </w:rPr>
        <w:t xml:space="preserve">En Ghana, el PNUMA colabora con el Global Center </w:t>
      </w:r>
      <w:proofErr w:type="spellStart"/>
      <w:r w:rsidRPr="00675A7F">
        <w:rPr>
          <w:lang w:val="es-ES"/>
        </w:rPr>
        <w:t>of</w:t>
      </w:r>
      <w:proofErr w:type="spellEnd"/>
      <w:r w:rsidRPr="00675A7F">
        <w:rPr>
          <w:lang w:val="es-ES"/>
        </w:rPr>
        <w:t xml:space="preserve"> </w:t>
      </w:r>
      <w:proofErr w:type="spellStart"/>
      <w:r w:rsidRPr="00675A7F">
        <w:rPr>
          <w:lang w:val="es-ES"/>
        </w:rPr>
        <w:t>Adaptation</w:t>
      </w:r>
      <w:proofErr w:type="spellEnd"/>
      <w:r w:rsidRPr="00675A7F">
        <w:rPr>
          <w:lang w:val="es-ES"/>
        </w:rPr>
        <w:t xml:space="preserve">, la Universidad de Oxford, la Oficina de las Naciones Unidas de Servicios para Proyectos y el Gobierno de Ghana en el marco de un proyecto de la Comisión Global de Adaptación para realizar una evaluación integrada de los entornos construidos y naturales más propicios. La evaluación servirá de base para </w:t>
      </w:r>
      <w:r w:rsidR="00A001A7">
        <w:rPr>
          <w:lang w:val="es-ES"/>
        </w:rPr>
        <w:t>elaborar</w:t>
      </w:r>
      <w:r w:rsidRPr="00675A7F">
        <w:rPr>
          <w:lang w:val="es-ES"/>
        </w:rPr>
        <w:t xml:space="preserve"> un plan nacional para aumentar la resiliencia y la sostenibilidad de la infraestructura en los sectores del agua, el transporte y la energía. Este plan contribuirá a la revisión de las contribuciones determinadas a nivel </w:t>
      </w:r>
      <w:r w:rsidRPr="00675A7F">
        <w:rPr>
          <w:lang w:val="es-ES"/>
        </w:rPr>
        <w:lastRenderedPageBreak/>
        <w:t xml:space="preserve">nacional de Ghana en el marco del Acuerdo de París, así como a la elaboración de un plan de acción nacional de Ghana para </w:t>
      </w:r>
      <w:r w:rsidR="00A001A7">
        <w:rPr>
          <w:lang w:val="es-ES"/>
        </w:rPr>
        <w:t>su</w:t>
      </w:r>
      <w:r w:rsidRPr="00675A7F">
        <w:rPr>
          <w:lang w:val="es-ES"/>
        </w:rPr>
        <w:t xml:space="preserve"> adaptación al clima. </w:t>
      </w:r>
    </w:p>
    <w:p w14:paraId="3717A78D" w14:textId="2353E31D" w:rsidR="00C83D89" w:rsidRPr="00675A7F" w:rsidRDefault="00C83D89" w:rsidP="00C83D89">
      <w:pPr>
        <w:pStyle w:val="Normalnumber"/>
        <w:numPr>
          <w:ilvl w:val="0"/>
          <w:numId w:val="14"/>
        </w:numPr>
        <w:tabs>
          <w:tab w:val="clear" w:pos="1814"/>
          <w:tab w:val="clear" w:pos="2381"/>
          <w:tab w:val="clear" w:pos="2948"/>
          <w:tab w:val="clear" w:pos="3515"/>
          <w:tab w:val="clear" w:pos="4082"/>
          <w:tab w:val="left" w:pos="624"/>
        </w:tabs>
        <w:ind w:left="1247" w:firstLine="0"/>
        <w:rPr>
          <w:rFonts w:eastAsia="MS Mincho"/>
          <w:color w:val="000000" w:themeColor="text1"/>
          <w:lang w:val="es-ES"/>
        </w:rPr>
      </w:pPr>
      <w:r w:rsidRPr="00675A7F">
        <w:rPr>
          <w:lang w:val="es-ES"/>
        </w:rPr>
        <w:t xml:space="preserve">En colaboración con los asociados regionales y con el apoyo financiero del Gobierno de China, el PNUMA ha organizado talleres regionales de </w:t>
      </w:r>
      <w:r w:rsidR="00A001A7">
        <w:rPr>
          <w:lang w:val="es-ES"/>
        </w:rPr>
        <w:t>fomento</w:t>
      </w:r>
      <w:r w:rsidRPr="00675A7F">
        <w:rPr>
          <w:lang w:val="es-ES"/>
        </w:rPr>
        <w:t xml:space="preserve"> de </w:t>
      </w:r>
      <w:r w:rsidR="00A001A7">
        <w:rPr>
          <w:lang w:val="es-ES"/>
        </w:rPr>
        <w:t xml:space="preserve">la </w:t>
      </w:r>
      <w:r w:rsidRPr="00675A7F">
        <w:rPr>
          <w:lang w:val="es-ES"/>
        </w:rPr>
        <w:t>capacidad</w:t>
      </w:r>
      <w:r w:rsidR="00A001A7">
        <w:rPr>
          <w:lang w:val="es-ES"/>
        </w:rPr>
        <w:t>,</w:t>
      </w:r>
      <w:r w:rsidRPr="00675A7F">
        <w:rPr>
          <w:lang w:val="es-ES"/>
        </w:rPr>
        <w:t xml:space="preserve"> de tres semanas de</w:t>
      </w:r>
      <w:r w:rsidR="00CF0669">
        <w:rPr>
          <w:lang w:val="es-ES"/>
        </w:rPr>
        <w:t> </w:t>
      </w:r>
      <w:r w:rsidRPr="00675A7F">
        <w:rPr>
          <w:lang w:val="es-ES"/>
        </w:rPr>
        <w:t>duración</w:t>
      </w:r>
      <w:r w:rsidR="00A001A7">
        <w:rPr>
          <w:lang w:val="es-ES"/>
        </w:rPr>
        <w:t>,</w:t>
      </w:r>
      <w:r w:rsidRPr="00675A7F">
        <w:rPr>
          <w:lang w:val="es-ES"/>
        </w:rPr>
        <w:t xml:space="preserve"> sobre infraestructuras sostenibles para los encargados de formular políticas. Uno de los</w:t>
      </w:r>
      <w:r w:rsidR="00CF0669">
        <w:rPr>
          <w:lang w:val="es-ES"/>
        </w:rPr>
        <w:t> </w:t>
      </w:r>
      <w:r w:rsidRPr="00675A7F">
        <w:rPr>
          <w:lang w:val="es-ES"/>
        </w:rPr>
        <w:t xml:space="preserve">tres talleres se impartió a los encargados de formular políticas de países de Asia </w:t>
      </w:r>
      <w:r w:rsidR="00A001A7">
        <w:rPr>
          <w:lang w:val="es-ES"/>
        </w:rPr>
        <w:t>C</w:t>
      </w:r>
      <w:r w:rsidRPr="00675A7F">
        <w:rPr>
          <w:lang w:val="es-ES"/>
        </w:rPr>
        <w:t>entral, mientras que los dos restantes (para Asia Sudoriental y África, respectivamente), que estaban previstos para febrero y octubre de 2020, se han suspendido hasta 2021 debido a las restricciones derivadas de la COVID-19. El PNUMA está dirigiendo, en colaboración con la Universidad de Duke, la creación de</w:t>
      </w:r>
      <w:r w:rsidR="00CF0669">
        <w:rPr>
          <w:lang w:val="es-ES"/>
        </w:rPr>
        <w:t> </w:t>
      </w:r>
      <w:r w:rsidRPr="00675A7F">
        <w:rPr>
          <w:lang w:val="es-ES"/>
        </w:rPr>
        <w:t xml:space="preserve">una Comunidad de Alumnos de Infraestructura Sostenible, que de momento incluye otras </w:t>
      </w:r>
      <w:r w:rsidR="00A75860">
        <w:rPr>
          <w:lang w:val="es-ES"/>
        </w:rPr>
        <w:t>veinte</w:t>
      </w:r>
      <w:r w:rsidRPr="00675A7F">
        <w:rPr>
          <w:lang w:val="es-ES"/>
        </w:rPr>
        <w:t xml:space="preserve"> organizaciones, a fin de institucionalizar y coordinar mejor las actividades de fomento de la capacidad.</w:t>
      </w:r>
    </w:p>
    <w:p w14:paraId="2183944E" w14:textId="103A1CA3" w:rsidR="00C83D89" w:rsidRPr="00675A7F" w:rsidRDefault="0052639A" w:rsidP="002A50DE">
      <w:pPr>
        <w:pStyle w:val="CH2"/>
        <w:rPr>
          <w:sz w:val="28"/>
          <w:szCs w:val="28"/>
          <w:lang w:val="es-ES"/>
        </w:rPr>
      </w:pPr>
      <w:r w:rsidRPr="00675A7F">
        <w:rPr>
          <w:sz w:val="28"/>
          <w:szCs w:val="28"/>
          <w:lang w:val="es-ES"/>
        </w:rPr>
        <w:tab/>
      </w:r>
      <w:r w:rsidR="002A50DE" w:rsidRPr="00675A7F">
        <w:rPr>
          <w:sz w:val="28"/>
          <w:szCs w:val="28"/>
          <w:lang w:val="es-ES"/>
        </w:rPr>
        <w:t>II.</w:t>
      </w:r>
      <w:r w:rsidR="002A50DE" w:rsidRPr="00675A7F">
        <w:rPr>
          <w:sz w:val="28"/>
          <w:szCs w:val="28"/>
          <w:lang w:val="es-ES"/>
        </w:rPr>
        <w:tab/>
      </w:r>
      <w:r w:rsidR="002A50DE" w:rsidRPr="00675A7F">
        <w:rPr>
          <w:bCs/>
          <w:sz w:val="28"/>
          <w:szCs w:val="28"/>
          <w:lang w:val="es-ES"/>
        </w:rPr>
        <w:t>Enseñanzas extraídas</w:t>
      </w:r>
    </w:p>
    <w:p w14:paraId="4FDD4422" w14:textId="1A55D088" w:rsidR="00C83D89" w:rsidRPr="00675A7F" w:rsidRDefault="00C83D89" w:rsidP="00C83D89">
      <w:pPr>
        <w:pStyle w:val="Normalnumber"/>
        <w:numPr>
          <w:ilvl w:val="0"/>
          <w:numId w:val="14"/>
        </w:numPr>
        <w:tabs>
          <w:tab w:val="clear" w:pos="1814"/>
          <w:tab w:val="clear" w:pos="2381"/>
          <w:tab w:val="clear" w:pos="2948"/>
          <w:tab w:val="clear" w:pos="3515"/>
          <w:tab w:val="clear" w:pos="4082"/>
          <w:tab w:val="left" w:pos="624"/>
        </w:tabs>
        <w:ind w:left="1247" w:firstLine="0"/>
        <w:rPr>
          <w:rFonts w:eastAsia="MS Mincho"/>
          <w:color w:val="000000" w:themeColor="text1"/>
          <w:lang w:val="es-ES"/>
        </w:rPr>
      </w:pPr>
      <w:r w:rsidRPr="00675A7F">
        <w:rPr>
          <w:lang w:val="es-ES"/>
        </w:rPr>
        <w:t xml:space="preserve">En las amplias consultas sobre el Marco de Orientación sobre las Buenas Prácticas para la Infraestructura Sostenible descrito en el párrafo 10 se </w:t>
      </w:r>
      <w:r w:rsidR="00A75860">
        <w:rPr>
          <w:lang w:val="es-ES"/>
        </w:rPr>
        <w:t>pusieron de manifiesto</w:t>
      </w:r>
      <w:r w:rsidRPr="00675A7F">
        <w:rPr>
          <w:lang w:val="es-ES"/>
        </w:rPr>
        <w:t xml:space="preserve"> diversas enseñanzas sobre la infraestructura sostenible, a saber: </w:t>
      </w:r>
    </w:p>
    <w:p w14:paraId="768BB759" w14:textId="14A447B8" w:rsidR="00C83D89" w:rsidRPr="00675A7F" w:rsidRDefault="00C83D89" w:rsidP="0052639A">
      <w:pPr>
        <w:pStyle w:val="Normalnumber"/>
        <w:numPr>
          <w:ilvl w:val="0"/>
          <w:numId w:val="24"/>
        </w:numPr>
        <w:tabs>
          <w:tab w:val="clear" w:pos="1814"/>
          <w:tab w:val="clear" w:pos="2381"/>
          <w:tab w:val="clear" w:pos="2948"/>
          <w:tab w:val="clear" w:pos="3515"/>
          <w:tab w:val="clear" w:pos="4082"/>
          <w:tab w:val="left" w:pos="624"/>
        </w:tabs>
        <w:ind w:left="1276" w:firstLine="567"/>
        <w:rPr>
          <w:lang w:val="es-ES"/>
        </w:rPr>
      </w:pPr>
      <w:r w:rsidRPr="00675A7F">
        <w:rPr>
          <w:lang w:val="es-ES"/>
        </w:rPr>
        <w:t xml:space="preserve">El desarrollo de la infraestructura </w:t>
      </w:r>
      <w:r w:rsidR="00A75860">
        <w:rPr>
          <w:lang w:val="es-ES"/>
        </w:rPr>
        <w:t>“como hasta el momento”</w:t>
      </w:r>
      <w:r w:rsidRPr="00675A7F">
        <w:rPr>
          <w:lang w:val="es-ES"/>
        </w:rPr>
        <w:t xml:space="preserve"> no ha logrado crear una infraestructura sostenible en la escala necesaria para alcanzar los Objetivos de Desarrollo Sostenible. A menudo la sostenibilidad se tiene en cuenta demasiado tarde, de manera superficial y para cada proyecto por separado. Como alternativa a ello, es posible que se obtengan resultados más sostenibles y eficaces si se aplican enfoques más integrados en los que se incluyan todos los aspectos de la sostenibilidad, lo antes posible en el ciclo de vida de la infraestructura y de forma que se consideren las interrelaciones entre los diferentes sistemas de infraestructura, incluido el medio ambiente natural.</w:t>
      </w:r>
      <w:r w:rsidR="00CF0669">
        <w:rPr>
          <w:lang w:val="es-ES"/>
        </w:rPr>
        <w:t> </w:t>
      </w:r>
      <w:r w:rsidRPr="00675A7F">
        <w:rPr>
          <w:lang w:val="es-ES"/>
        </w:rPr>
        <w:t xml:space="preserve">Cuando la infraestructura se ve como un </w:t>
      </w:r>
      <w:r w:rsidR="00A75860">
        <w:rPr>
          <w:lang w:val="es-ES"/>
        </w:rPr>
        <w:t>“</w:t>
      </w:r>
      <w:r w:rsidRPr="00675A7F">
        <w:rPr>
          <w:lang w:val="es-ES"/>
        </w:rPr>
        <w:t>sistema de sistemas</w:t>
      </w:r>
      <w:r w:rsidR="00A75860">
        <w:rPr>
          <w:lang w:val="es-ES"/>
        </w:rPr>
        <w:t>”</w:t>
      </w:r>
      <w:r w:rsidRPr="00675A7F">
        <w:rPr>
          <w:lang w:val="es-ES"/>
        </w:rPr>
        <w:t>, pueden equilibrarse las compensaciones y sinergias de los diferentes proyectos y sectores a fin de lograr una asignación más</w:t>
      </w:r>
      <w:r w:rsidR="0069073A">
        <w:rPr>
          <w:lang w:val="es-ES"/>
        </w:rPr>
        <w:t> </w:t>
      </w:r>
      <w:r w:rsidRPr="00675A7F">
        <w:rPr>
          <w:lang w:val="es-ES"/>
        </w:rPr>
        <w:t>eficiente de las inversiones en infraestructura para la prestación de servicios y el cumplimiento de</w:t>
      </w:r>
      <w:r w:rsidR="0069073A">
        <w:rPr>
          <w:lang w:val="es-ES"/>
        </w:rPr>
        <w:t> </w:t>
      </w:r>
      <w:r w:rsidRPr="00675A7F">
        <w:rPr>
          <w:lang w:val="es-ES"/>
        </w:rPr>
        <w:t>los objetivos nacionales de desarrollo sostenible. Los posibles riesgos pueden identificarse y abordarse en una etapa más temprana del proceso de planificación, lo que da lugar a proyectos más</w:t>
      </w:r>
      <w:r w:rsidR="0069073A">
        <w:rPr>
          <w:lang w:val="es-ES"/>
        </w:rPr>
        <w:t> </w:t>
      </w:r>
      <w:r w:rsidRPr="00675A7F">
        <w:rPr>
          <w:lang w:val="es-ES"/>
        </w:rPr>
        <w:t>sostenibles que se ajustan mejor a las necesidades y expectativas de los usuarios.</w:t>
      </w:r>
    </w:p>
    <w:p w14:paraId="6905B9DB" w14:textId="77777777" w:rsidR="00C83D89" w:rsidRPr="00675A7F" w:rsidRDefault="00C83D89" w:rsidP="0052639A">
      <w:pPr>
        <w:pStyle w:val="Normalnumber"/>
        <w:numPr>
          <w:ilvl w:val="0"/>
          <w:numId w:val="24"/>
        </w:numPr>
        <w:tabs>
          <w:tab w:val="clear" w:pos="1814"/>
          <w:tab w:val="clear" w:pos="2381"/>
          <w:tab w:val="clear" w:pos="2948"/>
          <w:tab w:val="clear" w:pos="3515"/>
          <w:tab w:val="clear" w:pos="4082"/>
          <w:tab w:val="left" w:pos="624"/>
        </w:tabs>
        <w:ind w:left="1276" w:firstLine="567"/>
        <w:rPr>
          <w:lang w:val="es-ES"/>
        </w:rPr>
      </w:pPr>
      <w:r w:rsidRPr="00675A7F">
        <w:rPr>
          <w:lang w:val="es-ES"/>
        </w:rPr>
        <w:t xml:space="preserve">Hay una falta de coordinación entre los principales agentes en los planos internacional y nacional. En el plano internacional, esto se refiere a los asociados para el desarrollo que trabajan en la infraestructura sostenible, por ejemplo, las entidades de las Naciones Unidas, el Grupo de los 20 y los bancos multilaterales de desarrollo. A escala nacional, tiene que ver con la cooperación interministerial y la gobernanza a varios niveles. En ambos planos, la </w:t>
      </w:r>
      <w:proofErr w:type="spellStart"/>
      <w:r w:rsidRPr="00675A7F">
        <w:rPr>
          <w:lang w:val="es-ES"/>
        </w:rPr>
        <w:t>cocreación</w:t>
      </w:r>
      <w:proofErr w:type="spellEnd"/>
      <w:r w:rsidRPr="00675A7F">
        <w:rPr>
          <w:lang w:val="es-ES"/>
        </w:rPr>
        <w:t xml:space="preserve"> con agentes del sector privado también es fundamental. Los agentes internacionales y los gobiernos nacionales y locales deben crear entornos institucionales, normativos y reglamentarios que posibiliten la planificación y la producción coordinadas e integradas de una infraestructura sostenible.</w:t>
      </w:r>
    </w:p>
    <w:p w14:paraId="1BB7EF63" w14:textId="2359D712" w:rsidR="00C83D89" w:rsidRPr="00675A7F" w:rsidRDefault="00C83D89" w:rsidP="0052639A">
      <w:pPr>
        <w:pStyle w:val="Normalnumber"/>
        <w:numPr>
          <w:ilvl w:val="0"/>
          <w:numId w:val="24"/>
        </w:numPr>
        <w:tabs>
          <w:tab w:val="clear" w:pos="1814"/>
          <w:tab w:val="clear" w:pos="2381"/>
          <w:tab w:val="clear" w:pos="2948"/>
          <w:tab w:val="clear" w:pos="3515"/>
          <w:tab w:val="clear" w:pos="4082"/>
          <w:tab w:val="left" w:pos="624"/>
        </w:tabs>
        <w:ind w:left="1276" w:firstLine="567"/>
        <w:rPr>
          <w:lang w:val="es-ES"/>
        </w:rPr>
      </w:pPr>
      <w:r w:rsidRPr="00675A7F">
        <w:rPr>
          <w:lang w:val="es-ES"/>
        </w:rPr>
        <w:t>Las inversiones en infraestructura deben responder a múltiples crisis, entre ellas el cambio climático (tanto en lo que respecta a la mitigación como a la adaptación), el uso excesivo de recursos, la pérdida de biodiversidad y la contaminación. Las soluciones basadas en la naturaleza y las</w:t>
      </w:r>
      <w:r w:rsidR="0069073A">
        <w:rPr>
          <w:lang w:val="es-ES"/>
        </w:rPr>
        <w:t> </w:t>
      </w:r>
      <w:r w:rsidRPr="00675A7F">
        <w:rPr>
          <w:lang w:val="es-ES"/>
        </w:rPr>
        <w:t>inversiones en infraestructura natural desempeñan un papel fundamental en la conexión entre estos</w:t>
      </w:r>
      <w:r w:rsidR="0069073A">
        <w:rPr>
          <w:lang w:val="es-ES"/>
        </w:rPr>
        <w:t> </w:t>
      </w:r>
      <w:r w:rsidRPr="00675A7F">
        <w:rPr>
          <w:lang w:val="es-ES"/>
        </w:rPr>
        <w:t>programas.</w:t>
      </w:r>
    </w:p>
    <w:p w14:paraId="7A6760DC" w14:textId="3BDF70A5" w:rsidR="00C83D89" w:rsidRPr="00675A7F" w:rsidRDefault="00C83D89" w:rsidP="0052639A">
      <w:pPr>
        <w:pStyle w:val="Normalnumber"/>
        <w:numPr>
          <w:ilvl w:val="0"/>
          <w:numId w:val="24"/>
        </w:numPr>
        <w:tabs>
          <w:tab w:val="clear" w:pos="1814"/>
          <w:tab w:val="clear" w:pos="2381"/>
          <w:tab w:val="clear" w:pos="2948"/>
          <w:tab w:val="clear" w:pos="3515"/>
          <w:tab w:val="clear" w:pos="4082"/>
          <w:tab w:val="left" w:pos="624"/>
        </w:tabs>
        <w:ind w:left="1276" w:firstLine="567"/>
        <w:rPr>
          <w:lang w:val="es-ES"/>
        </w:rPr>
      </w:pPr>
      <w:r w:rsidRPr="00675A7F">
        <w:rPr>
          <w:lang w:val="es-ES"/>
        </w:rPr>
        <w:t>En la actualidad, la falta de orientación y de instrumentos no es, en la mayoría de los casos, la principal barrera para la infraestructura sostenible; la barrera es la falta de capacidad para navegar por la gran cantidad de información e instrumentos disponibles, para comprender cuándo, cómo y por qué utilizarlas, y luego para crear las instituciones, políticas y marcos gubernamentales (es</w:t>
      </w:r>
      <w:r w:rsidR="0069073A">
        <w:rPr>
          <w:lang w:val="es-ES"/>
        </w:rPr>
        <w:t> </w:t>
      </w:r>
      <w:r w:rsidRPr="00675A7F">
        <w:rPr>
          <w:lang w:val="es-ES"/>
        </w:rPr>
        <w:t xml:space="preserve">decir, el entorno propicio) necesarios para aplicarlas eficazmente. </w:t>
      </w:r>
    </w:p>
    <w:p w14:paraId="6AFBC517" w14:textId="5BF1ABC8" w:rsidR="00C83D89" w:rsidRPr="00675A7F" w:rsidRDefault="00C83D89" w:rsidP="0052639A">
      <w:pPr>
        <w:pStyle w:val="Normalnumber"/>
        <w:numPr>
          <w:ilvl w:val="0"/>
          <w:numId w:val="24"/>
        </w:numPr>
        <w:tabs>
          <w:tab w:val="clear" w:pos="1814"/>
          <w:tab w:val="clear" w:pos="2381"/>
          <w:tab w:val="clear" w:pos="2948"/>
          <w:tab w:val="clear" w:pos="3515"/>
          <w:tab w:val="clear" w:pos="4082"/>
          <w:tab w:val="left" w:pos="624"/>
        </w:tabs>
        <w:ind w:left="1276" w:firstLine="567"/>
        <w:rPr>
          <w:lang w:val="es-ES"/>
        </w:rPr>
      </w:pPr>
      <w:r w:rsidRPr="00675A7F">
        <w:rPr>
          <w:lang w:val="es-ES"/>
        </w:rPr>
        <w:t>Es muy necesario complementar la labor normativa y de sensibilización a escala mundial con un mayor apoyo directo a los gobiernos nacionales y subnacionales en forma de intercambio de conocimientos, fomento de la capacidad y asistencia técnica, incidiendo especialmente en la utilización de los instrumentos existentes al máximo de su potencial. Ello incluye la creación de</w:t>
      </w:r>
      <w:r w:rsidR="0069073A">
        <w:rPr>
          <w:lang w:val="es-ES"/>
        </w:rPr>
        <w:t> </w:t>
      </w:r>
      <w:r w:rsidRPr="00675A7F">
        <w:rPr>
          <w:lang w:val="es-ES"/>
        </w:rPr>
        <w:t xml:space="preserve">una </w:t>
      </w:r>
      <w:r w:rsidR="00A75860">
        <w:rPr>
          <w:lang w:val="es-ES"/>
        </w:rPr>
        <w:t>“</w:t>
      </w:r>
      <w:r w:rsidRPr="00675A7F">
        <w:rPr>
          <w:lang w:val="es-ES"/>
        </w:rPr>
        <w:t>ventanilla única</w:t>
      </w:r>
      <w:r w:rsidR="00A75860">
        <w:rPr>
          <w:lang w:val="es-ES"/>
        </w:rPr>
        <w:t>”</w:t>
      </w:r>
      <w:r w:rsidRPr="00675A7F">
        <w:rPr>
          <w:lang w:val="es-ES"/>
        </w:rPr>
        <w:t xml:space="preserve"> para los productos del conocimiento y los instrumentos dedicados a la infraestructura sostenible, incluidos estudios de casos que muestren a los usuarios cuándo, dónde,</w:t>
      </w:r>
      <w:r w:rsidR="00A75860">
        <w:rPr>
          <w:lang w:val="es-ES"/>
        </w:rPr>
        <w:t xml:space="preserve"> cuándo y</w:t>
      </w:r>
      <w:r w:rsidRPr="00675A7F">
        <w:rPr>
          <w:lang w:val="es-ES"/>
        </w:rPr>
        <w:t xml:space="preserve"> por qué se han aplicado los productos e instrumentos y pongan de manifiesto los éxitos y las</w:t>
      </w:r>
      <w:r w:rsidR="0069073A">
        <w:rPr>
          <w:lang w:val="es-ES"/>
        </w:rPr>
        <w:t> </w:t>
      </w:r>
      <w:r w:rsidRPr="00675A7F">
        <w:rPr>
          <w:lang w:val="es-ES"/>
        </w:rPr>
        <w:t>enseñanzas extraídas, así como el fomento de la capacidad específica y coordinada para ayudar a</w:t>
      </w:r>
      <w:r w:rsidR="0069073A">
        <w:rPr>
          <w:lang w:val="es-ES"/>
        </w:rPr>
        <w:t> </w:t>
      </w:r>
      <w:r w:rsidRPr="00675A7F">
        <w:rPr>
          <w:lang w:val="es-ES"/>
        </w:rPr>
        <w:t>los gobiernos a adaptar y aplicar los conocimientos e instrumentos pertinentes en diversos contextos</w:t>
      </w:r>
      <w:r w:rsidR="0069073A">
        <w:rPr>
          <w:lang w:val="es-ES"/>
        </w:rPr>
        <w:t> </w:t>
      </w:r>
      <w:r w:rsidRPr="00675A7F">
        <w:rPr>
          <w:lang w:val="es-ES"/>
        </w:rPr>
        <w:t>locales.</w:t>
      </w:r>
    </w:p>
    <w:p w14:paraId="57C4F638" w14:textId="6979C8FA" w:rsidR="00C83D89" w:rsidRPr="00675A7F" w:rsidRDefault="00C83D89" w:rsidP="0052639A">
      <w:pPr>
        <w:pStyle w:val="Normalnumber"/>
        <w:numPr>
          <w:ilvl w:val="0"/>
          <w:numId w:val="24"/>
        </w:numPr>
        <w:tabs>
          <w:tab w:val="clear" w:pos="1814"/>
          <w:tab w:val="clear" w:pos="2381"/>
          <w:tab w:val="clear" w:pos="2948"/>
          <w:tab w:val="clear" w:pos="3515"/>
          <w:tab w:val="clear" w:pos="4082"/>
          <w:tab w:val="left" w:pos="624"/>
        </w:tabs>
        <w:ind w:left="1276" w:firstLine="567"/>
        <w:rPr>
          <w:lang w:val="es-ES"/>
        </w:rPr>
      </w:pPr>
      <w:r w:rsidRPr="00675A7F">
        <w:rPr>
          <w:lang w:val="es-ES"/>
        </w:rPr>
        <w:lastRenderedPageBreak/>
        <w:t>Hay una falta de financiación para la infraestructura sostenible y, debido a las crecientes limitaciones de los presupuestos públicos, una necesidad de incentivos para que los inversores del sector privado inviertan en proyectos sostenibles. Entre los obstáculos actuales al aumento de la inversión pública y privada figuran la percepción de que la infraestructura sostenible es</w:t>
      </w:r>
      <w:r w:rsidR="00CF0669">
        <w:rPr>
          <w:lang w:val="es-ES"/>
        </w:rPr>
        <w:t> </w:t>
      </w:r>
      <w:r w:rsidRPr="00675A7F">
        <w:rPr>
          <w:lang w:val="es-ES"/>
        </w:rPr>
        <w:t xml:space="preserve">más cara que las opciones menos sostenibles de </w:t>
      </w:r>
      <w:r w:rsidR="00A75860">
        <w:rPr>
          <w:lang w:val="es-ES"/>
        </w:rPr>
        <w:t>“</w:t>
      </w:r>
      <w:r w:rsidRPr="00675A7F">
        <w:rPr>
          <w:lang w:val="es-ES"/>
        </w:rPr>
        <w:t xml:space="preserve">seguir como hasta </w:t>
      </w:r>
      <w:r w:rsidR="00A75860">
        <w:rPr>
          <w:lang w:val="es-ES"/>
        </w:rPr>
        <w:t>el momento”</w:t>
      </w:r>
      <w:r w:rsidRPr="00675A7F">
        <w:rPr>
          <w:lang w:val="es-ES"/>
        </w:rPr>
        <w:t xml:space="preserve"> y la falta de mecanismos de financiación para la infraestructura sostenible. Esto apunta a la necesidad de elaborar estudios de viabilidad de la infraestructura sostenible, buscando soluciones basadas en la naturaleza que tengan en cuenta los beneficios económicos, sociales y ambientales a largo plazo que puedan compensar los costos iniciales, y de mecanismos de financiación innovadores que incorporen esos costos y beneficios y asignen el riesgo en consecuencia. </w:t>
      </w:r>
    </w:p>
    <w:p w14:paraId="3A26ADB7" w14:textId="77777777" w:rsidR="00C83D89" w:rsidRPr="00675A7F" w:rsidRDefault="00C83D89" w:rsidP="0052639A">
      <w:pPr>
        <w:pStyle w:val="Normalnumber"/>
        <w:numPr>
          <w:ilvl w:val="0"/>
          <w:numId w:val="24"/>
        </w:numPr>
        <w:tabs>
          <w:tab w:val="clear" w:pos="1814"/>
          <w:tab w:val="clear" w:pos="2381"/>
          <w:tab w:val="clear" w:pos="2948"/>
          <w:tab w:val="clear" w:pos="3515"/>
          <w:tab w:val="clear" w:pos="4082"/>
          <w:tab w:val="left" w:pos="624"/>
        </w:tabs>
        <w:ind w:left="1276" w:firstLine="567"/>
        <w:rPr>
          <w:lang w:val="es-ES"/>
        </w:rPr>
      </w:pPr>
      <w:r w:rsidRPr="00675A7F">
        <w:rPr>
          <w:lang w:val="es-ES"/>
        </w:rPr>
        <w:t xml:space="preserve">No existe un marco de medición para vigilar la sostenibilidad de la infraestructura de manera integral a nivel agregado (por ejemplo, nacional). El indicador actual para medir el progreso hacia la meta 9.1 de los Objetivos de Desarrollo Sostenible solo capta directamente los aspectos económicos de la infraestructura. </w:t>
      </w:r>
    </w:p>
    <w:p w14:paraId="78E32A7B" w14:textId="08174CF2" w:rsidR="00C83D89" w:rsidRPr="00675A7F" w:rsidRDefault="00C83D89" w:rsidP="0052639A">
      <w:pPr>
        <w:pStyle w:val="Normalnumber"/>
        <w:numPr>
          <w:ilvl w:val="0"/>
          <w:numId w:val="24"/>
        </w:numPr>
        <w:tabs>
          <w:tab w:val="clear" w:pos="1814"/>
          <w:tab w:val="clear" w:pos="2381"/>
          <w:tab w:val="clear" w:pos="2948"/>
          <w:tab w:val="clear" w:pos="3515"/>
          <w:tab w:val="clear" w:pos="4082"/>
          <w:tab w:val="left" w:pos="624"/>
        </w:tabs>
        <w:ind w:left="1276" w:firstLine="567"/>
        <w:rPr>
          <w:color w:val="000000" w:themeColor="text1"/>
          <w:lang w:val="es-ES"/>
        </w:rPr>
      </w:pPr>
      <w:r w:rsidRPr="00675A7F">
        <w:rPr>
          <w:lang w:val="es-ES"/>
        </w:rPr>
        <w:t>La pandemia de COVID-19 y la crisis económica resultante han acentuado la urgencia</w:t>
      </w:r>
      <w:r w:rsidR="0069073A">
        <w:rPr>
          <w:lang w:val="es-ES"/>
        </w:rPr>
        <w:t> </w:t>
      </w:r>
      <w:r w:rsidRPr="00675A7F">
        <w:rPr>
          <w:lang w:val="es-ES"/>
        </w:rPr>
        <w:t xml:space="preserve">de abordar los problemas de infraestructura, y se han planificado muchas inversiones en infraestructura a gran escala como parte de las medidas de estímulo. Las enseñanzas extraídas de anteriores recuperaciones demuestran la necesidad de asegurar que esas inversiones sean sostenibles, ya que configurarán el futuro de las economías y las sociedades y repercutirán en la consecución de los Objetivos de Desarrollo Sostenible y los objetivos del Acuerdo de París. </w:t>
      </w:r>
    </w:p>
    <w:p w14:paraId="3DE1AB31" w14:textId="320A6A9E" w:rsidR="00C83D89" w:rsidRPr="00675A7F" w:rsidRDefault="009E1B01" w:rsidP="00C83D89">
      <w:pPr>
        <w:pStyle w:val="CH2"/>
        <w:rPr>
          <w:sz w:val="28"/>
          <w:szCs w:val="28"/>
          <w:lang w:val="es-ES"/>
        </w:rPr>
      </w:pPr>
      <w:r w:rsidRPr="00675A7F">
        <w:rPr>
          <w:sz w:val="28"/>
          <w:szCs w:val="28"/>
          <w:lang w:val="es-ES"/>
        </w:rPr>
        <w:tab/>
      </w:r>
      <w:r w:rsidR="002A50DE" w:rsidRPr="00675A7F">
        <w:rPr>
          <w:sz w:val="28"/>
          <w:szCs w:val="28"/>
          <w:lang w:val="es-ES"/>
        </w:rPr>
        <w:t>III.</w:t>
      </w:r>
      <w:r w:rsidR="002A50DE" w:rsidRPr="00675A7F">
        <w:rPr>
          <w:sz w:val="28"/>
          <w:szCs w:val="28"/>
          <w:lang w:val="es-ES"/>
        </w:rPr>
        <w:tab/>
      </w:r>
      <w:r w:rsidR="002A50DE" w:rsidRPr="00675A7F">
        <w:rPr>
          <w:bCs/>
          <w:sz w:val="28"/>
          <w:szCs w:val="28"/>
          <w:lang w:val="es-ES"/>
        </w:rPr>
        <w:t>Recomendaciones y medidas que se proponen</w:t>
      </w:r>
    </w:p>
    <w:p w14:paraId="1571500B" w14:textId="7CDB2C7B" w:rsidR="00C83D89" w:rsidRPr="00675A7F" w:rsidRDefault="00C83D89" w:rsidP="001C7D11">
      <w:pPr>
        <w:pStyle w:val="Normalnumber"/>
        <w:numPr>
          <w:ilvl w:val="0"/>
          <w:numId w:val="14"/>
        </w:numPr>
        <w:tabs>
          <w:tab w:val="clear" w:pos="1814"/>
          <w:tab w:val="clear" w:pos="2381"/>
          <w:tab w:val="clear" w:pos="2948"/>
          <w:tab w:val="clear" w:pos="3515"/>
          <w:tab w:val="clear" w:pos="4082"/>
          <w:tab w:val="left" w:pos="624"/>
        </w:tabs>
        <w:ind w:left="1247" w:firstLine="0"/>
        <w:rPr>
          <w:rFonts w:eastAsia="MS Mincho"/>
          <w:color w:val="000000" w:themeColor="text1"/>
          <w:lang w:val="es-ES"/>
        </w:rPr>
      </w:pPr>
      <w:r w:rsidRPr="00675A7F">
        <w:rPr>
          <w:lang w:val="es-ES"/>
        </w:rPr>
        <w:t>La Asamblea sobre el Medio Ambiente tal vez dese</w:t>
      </w:r>
      <w:r w:rsidR="00092AAB">
        <w:rPr>
          <w:lang w:val="es-ES"/>
        </w:rPr>
        <w:t>ará</w:t>
      </w:r>
      <w:r w:rsidRPr="00675A7F">
        <w:rPr>
          <w:lang w:val="es-ES"/>
        </w:rPr>
        <w:t xml:space="preserve"> reconocer la importancia de la infraestructura sostenible para </w:t>
      </w:r>
      <w:r w:rsidR="00A652EF">
        <w:rPr>
          <w:lang w:val="es-ES"/>
        </w:rPr>
        <w:t>“</w:t>
      </w:r>
      <w:r w:rsidRPr="00675A7F">
        <w:rPr>
          <w:lang w:val="es-ES"/>
        </w:rPr>
        <w:t>reconstruir para mejorar</w:t>
      </w:r>
      <w:r w:rsidR="00A652EF">
        <w:rPr>
          <w:lang w:val="es-ES"/>
        </w:rPr>
        <w:t>”</w:t>
      </w:r>
      <w:r w:rsidRPr="00675A7F">
        <w:rPr>
          <w:lang w:val="es-ES"/>
        </w:rPr>
        <w:t xml:space="preserve"> y lograr una recuperación post-COVID-19 verde, y examinar la forma en que las inversiones en infraestructura social, económica y ecológica pueden apoyar la recuperación económica, crear empleos verdes y fomentar la resilienc</w:t>
      </w:r>
      <w:r w:rsidR="00A652EF">
        <w:rPr>
          <w:lang w:val="es-ES"/>
        </w:rPr>
        <w:t>i</w:t>
      </w:r>
      <w:r w:rsidRPr="00675A7F">
        <w:rPr>
          <w:lang w:val="es-ES"/>
        </w:rPr>
        <w:t xml:space="preserve">a ante futuras crisis, así como sociedades inclusivas y saludables. </w:t>
      </w:r>
    </w:p>
    <w:p w14:paraId="37187649" w14:textId="38B6D6AC" w:rsidR="00C83D89" w:rsidRPr="00675A7F" w:rsidRDefault="00C83D89" w:rsidP="001C7D11">
      <w:pPr>
        <w:pStyle w:val="Normalnumber"/>
        <w:numPr>
          <w:ilvl w:val="0"/>
          <w:numId w:val="14"/>
        </w:numPr>
        <w:tabs>
          <w:tab w:val="clear" w:pos="1814"/>
          <w:tab w:val="clear" w:pos="2381"/>
          <w:tab w:val="clear" w:pos="2948"/>
          <w:tab w:val="clear" w:pos="3515"/>
          <w:tab w:val="clear" w:pos="4082"/>
          <w:tab w:val="left" w:pos="624"/>
        </w:tabs>
        <w:ind w:left="1247" w:firstLine="0"/>
        <w:rPr>
          <w:rFonts w:eastAsia="MS Mincho"/>
          <w:color w:val="000000" w:themeColor="text1"/>
          <w:kern w:val="2"/>
          <w:lang w:val="es-ES"/>
        </w:rPr>
      </w:pPr>
      <w:r w:rsidRPr="00675A7F">
        <w:rPr>
          <w:lang w:val="es-ES"/>
        </w:rPr>
        <w:t>La Asamblea tal vez dese</w:t>
      </w:r>
      <w:r w:rsidR="00092AAB">
        <w:rPr>
          <w:lang w:val="es-ES"/>
        </w:rPr>
        <w:t>ará</w:t>
      </w:r>
      <w:r w:rsidRPr="00675A7F">
        <w:rPr>
          <w:lang w:val="es-ES"/>
        </w:rPr>
        <w:t xml:space="preserve"> considerar la posibilidad de adoptar directrices sobre infraestructura sostenible que, junto con los incentivos normativos y reglamentarios conexos para promover el cumplimiento, puedan ayudar a los Estados </w:t>
      </w:r>
      <w:r w:rsidR="0069073A">
        <w:rPr>
          <w:lang w:val="es-ES"/>
        </w:rPr>
        <w:t>m</w:t>
      </w:r>
      <w:r w:rsidRPr="00675A7F">
        <w:rPr>
          <w:lang w:val="es-ES"/>
        </w:rPr>
        <w:t>iembros a aplicar la resolución 4/5 sobre infraestructura sostenible, incluso mediante la elaboración y el fortalecimiento de enfoques estratégicos a nivel de sistemas nacionales y regionales para la planificación de la infraestructura y</w:t>
      </w:r>
      <w:r w:rsidR="00CF0669">
        <w:rPr>
          <w:lang w:val="es-ES"/>
        </w:rPr>
        <w:t> </w:t>
      </w:r>
      <w:r w:rsidRPr="00675A7F">
        <w:rPr>
          <w:lang w:val="es-ES"/>
        </w:rPr>
        <w:t>promoviendo las soluciones basadas en la naturaleza como componentes fundamentales de esos</w:t>
      </w:r>
      <w:r w:rsidR="00CF0669">
        <w:rPr>
          <w:lang w:val="es-ES"/>
        </w:rPr>
        <w:t> </w:t>
      </w:r>
      <w:r w:rsidRPr="00675A7F">
        <w:rPr>
          <w:lang w:val="es-ES"/>
        </w:rPr>
        <w:t xml:space="preserve">enfoques.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83403A" w:rsidRPr="00D65E67" w14:paraId="51A0FF79" w14:textId="77777777" w:rsidTr="0069073A">
        <w:trPr>
          <w:trHeight w:val="652"/>
        </w:trPr>
        <w:tc>
          <w:tcPr>
            <w:tcW w:w="1897" w:type="dxa"/>
          </w:tcPr>
          <w:p w14:paraId="407EA284" w14:textId="77777777" w:rsidR="0083403A" w:rsidRPr="00675A7F" w:rsidRDefault="0083403A" w:rsidP="0010497A">
            <w:pPr>
              <w:pStyle w:val="Normal-pool"/>
              <w:rPr>
                <w:rFonts w:ascii="Times New Roman" w:hAnsi="Times New Roman"/>
                <w:sz w:val="8"/>
                <w:szCs w:val="8"/>
                <w:lang w:val="es-ES"/>
              </w:rPr>
            </w:pPr>
          </w:p>
        </w:tc>
        <w:tc>
          <w:tcPr>
            <w:tcW w:w="1897" w:type="dxa"/>
          </w:tcPr>
          <w:p w14:paraId="552D6D2E" w14:textId="77777777" w:rsidR="0083403A" w:rsidRPr="00675A7F" w:rsidRDefault="0083403A" w:rsidP="0010497A">
            <w:pPr>
              <w:pStyle w:val="Normal-pool"/>
              <w:rPr>
                <w:rFonts w:ascii="Times New Roman" w:hAnsi="Times New Roman"/>
                <w:sz w:val="8"/>
                <w:szCs w:val="8"/>
                <w:lang w:val="es-ES"/>
              </w:rPr>
            </w:pPr>
          </w:p>
        </w:tc>
        <w:tc>
          <w:tcPr>
            <w:tcW w:w="1897" w:type="dxa"/>
            <w:tcBorders>
              <w:bottom w:val="single" w:sz="4" w:space="0" w:color="auto"/>
            </w:tcBorders>
          </w:tcPr>
          <w:p w14:paraId="4AC265A3" w14:textId="77777777" w:rsidR="0083403A" w:rsidRPr="00675A7F" w:rsidRDefault="0083403A" w:rsidP="0010497A">
            <w:pPr>
              <w:pStyle w:val="Normal-pool"/>
              <w:rPr>
                <w:rFonts w:ascii="Times New Roman" w:hAnsi="Times New Roman"/>
                <w:sz w:val="8"/>
                <w:szCs w:val="8"/>
                <w:lang w:val="es-ES"/>
              </w:rPr>
            </w:pPr>
          </w:p>
        </w:tc>
        <w:tc>
          <w:tcPr>
            <w:tcW w:w="1897" w:type="dxa"/>
          </w:tcPr>
          <w:p w14:paraId="1EC1F595" w14:textId="77777777" w:rsidR="0083403A" w:rsidRPr="00675A7F" w:rsidRDefault="0083403A" w:rsidP="0010497A">
            <w:pPr>
              <w:pStyle w:val="Normal-pool"/>
              <w:rPr>
                <w:rFonts w:ascii="Times New Roman" w:hAnsi="Times New Roman"/>
                <w:sz w:val="8"/>
                <w:szCs w:val="8"/>
                <w:lang w:val="es-ES"/>
              </w:rPr>
            </w:pPr>
          </w:p>
        </w:tc>
        <w:tc>
          <w:tcPr>
            <w:tcW w:w="1898" w:type="dxa"/>
          </w:tcPr>
          <w:p w14:paraId="11F72707" w14:textId="77777777" w:rsidR="0083403A" w:rsidRPr="00675A7F" w:rsidRDefault="0083403A" w:rsidP="0010497A">
            <w:pPr>
              <w:pStyle w:val="Normal-pool"/>
              <w:rPr>
                <w:rFonts w:ascii="Times New Roman" w:hAnsi="Times New Roman"/>
                <w:sz w:val="8"/>
                <w:szCs w:val="8"/>
                <w:lang w:val="es-ES"/>
              </w:rPr>
            </w:pPr>
          </w:p>
        </w:tc>
      </w:tr>
    </w:tbl>
    <w:p w14:paraId="2875AD2F" w14:textId="77777777" w:rsidR="00030898" w:rsidRPr="00675A7F" w:rsidRDefault="00030898" w:rsidP="0010497A">
      <w:pPr>
        <w:pStyle w:val="Normal-pool"/>
        <w:rPr>
          <w:sz w:val="4"/>
          <w:szCs w:val="4"/>
          <w:lang w:val="es-ES"/>
        </w:rPr>
      </w:pPr>
    </w:p>
    <w:sectPr w:rsidR="00030898" w:rsidRPr="00675A7F" w:rsidSect="006E6722">
      <w:headerReference w:type="even" r:id="rId15"/>
      <w:headerReference w:type="default" r:id="rId16"/>
      <w:footerReference w:type="even" r:id="rId17"/>
      <w:footerReference w:type="default" r:id="rId18"/>
      <w:headerReference w:type="first" r:id="rId19"/>
      <w:footerReference w:type="first" r:id="rId20"/>
      <w:footnotePr>
        <w:numRestart w:val="eachSect"/>
      </w:footnotePr>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A7568C" w14:textId="77777777" w:rsidR="00424BFF" w:rsidRDefault="00424BFF">
      <w:r>
        <w:separator/>
      </w:r>
    </w:p>
  </w:endnote>
  <w:endnote w:type="continuationSeparator" w:id="0">
    <w:p w14:paraId="76356376" w14:textId="77777777" w:rsidR="00424BFF" w:rsidRDefault="00424BFF">
      <w:r>
        <w:continuationSeparator/>
      </w:r>
    </w:p>
  </w:endnote>
  <w:endnote w:type="continuationNotice" w:id="1">
    <w:p w14:paraId="19229E72" w14:textId="77777777" w:rsidR="00424BFF" w:rsidRDefault="00424B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8873601"/>
      <w:docPartObj>
        <w:docPartGallery w:val="Page Numbers (Bottom of Page)"/>
        <w:docPartUnique/>
      </w:docPartObj>
    </w:sdtPr>
    <w:sdtEndPr>
      <w:rPr>
        <w:noProof/>
      </w:rPr>
    </w:sdtEndPr>
    <w:sdtContent>
      <w:p w14:paraId="2456186E" w14:textId="77777777" w:rsidR="00601AF9" w:rsidRPr="00B87AB1" w:rsidRDefault="00601AF9" w:rsidP="00B87AB1">
        <w:pPr>
          <w:pStyle w:val="Footer-pool"/>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3744687"/>
      <w:docPartObj>
        <w:docPartGallery w:val="Page Numbers (Bottom of Page)"/>
        <w:docPartUnique/>
      </w:docPartObj>
    </w:sdtPr>
    <w:sdtEndPr/>
    <w:sdtContent>
      <w:p w14:paraId="4E916558" w14:textId="77777777" w:rsidR="00601AF9" w:rsidRPr="00B87AB1" w:rsidRDefault="00601AF9" w:rsidP="00B87AB1">
        <w:pPr>
          <w:pStyle w:val="Footer-pool"/>
          <w:jc w:val="right"/>
        </w:pPr>
        <w:r w:rsidRPr="00B87AB1">
          <w:fldChar w:fldCharType="begin"/>
        </w:r>
        <w:r w:rsidRPr="00B87AB1">
          <w:instrText xml:space="preserve"> PAGE   \* MERGEFORMAT </w:instrText>
        </w:r>
        <w:r w:rsidRPr="00B87AB1">
          <w:fldChar w:fldCharType="separate"/>
        </w:r>
        <w:r w:rsidRPr="00B87AB1">
          <w:t>2</w:t>
        </w:r>
        <w:r w:rsidRPr="00B87AB1">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FAD662" w14:textId="53FA16B5" w:rsidR="00601AF9" w:rsidRPr="00B87AB1" w:rsidRDefault="00601AF9" w:rsidP="00B87AB1">
    <w:pPr>
      <w:pStyle w:val="Footer-pool"/>
      <w:rPr>
        <w:b w:val="0"/>
        <w:bCs/>
        <w:sz w:val="20"/>
      </w:rPr>
    </w:pPr>
    <w:r w:rsidRPr="00B87AB1">
      <w:rPr>
        <w:b w:val="0"/>
        <w:bCs/>
        <w:sz w:val="20"/>
      </w:rPr>
      <w:t>K2002</w:t>
    </w:r>
    <w:r>
      <w:rPr>
        <w:b w:val="0"/>
        <w:bCs/>
        <w:sz w:val="20"/>
      </w:rPr>
      <w:t>5</w:t>
    </w:r>
    <w:r w:rsidR="00CF0669">
      <w:rPr>
        <w:b w:val="0"/>
        <w:bCs/>
        <w:sz w:val="20"/>
      </w:rPr>
      <w:t>72</w:t>
    </w:r>
    <w:r w:rsidRPr="00B87AB1">
      <w:rPr>
        <w:b w:val="0"/>
        <w:bCs/>
        <w:sz w:val="20"/>
      </w:rPr>
      <w:tab/>
    </w:r>
    <w:r w:rsidR="00D65E67">
      <w:rPr>
        <w:b w:val="0"/>
        <w:bCs/>
        <w:sz w:val="20"/>
      </w:rPr>
      <w:t>291220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DC766B" w14:textId="77777777" w:rsidR="00424BFF" w:rsidRPr="00643832" w:rsidRDefault="00424BFF" w:rsidP="0069073A">
      <w:pPr>
        <w:spacing w:before="20" w:after="40"/>
        <w:ind w:left="624"/>
        <w:rPr>
          <w:sz w:val="18"/>
          <w:szCs w:val="18"/>
        </w:rPr>
      </w:pPr>
      <w:r w:rsidRPr="00643832">
        <w:rPr>
          <w:sz w:val="18"/>
          <w:szCs w:val="18"/>
        </w:rPr>
        <w:separator/>
      </w:r>
    </w:p>
  </w:footnote>
  <w:footnote w:type="continuationSeparator" w:id="0">
    <w:p w14:paraId="6896AA35" w14:textId="77777777" w:rsidR="00424BFF" w:rsidRDefault="00424BFF">
      <w:r>
        <w:continuationSeparator/>
      </w:r>
    </w:p>
  </w:footnote>
  <w:footnote w:type="continuationNotice" w:id="1">
    <w:p w14:paraId="3BA11472" w14:textId="77777777" w:rsidR="00424BFF" w:rsidRDefault="00424BFF"/>
  </w:footnote>
  <w:footnote w:id="2">
    <w:p w14:paraId="59993D5F" w14:textId="6682A9DC" w:rsidR="00D65E67" w:rsidRPr="00D65E67" w:rsidRDefault="00D65E67">
      <w:pPr>
        <w:pStyle w:val="FootnoteText"/>
        <w:rPr>
          <w:lang w:val="es-ES"/>
        </w:rPr>
      </w:pPr>
      <w:r w:rsidRPr="00D65E67">
        <w:rPr>
          <w:rStyle w:val="FootnoteReference"/>
          <w:vertAlign w:val="baseline"/>
        </w:rPr>
        <w:sym w:font="Symbol" w:char="F02A"/>
      </w:r>
      <w:r w:rsidRPr="00D65E67">
        <w:t xml:space="preserve"> </w:t>
      </w:r>
      <w:r w:rsidRPr="00D65E67">
        <w:rPr>
          <w:szCs w:val="18"/>
          <w:lang w:val="es-ES_tradnl" w:eastAsia="es-ES"/>
        </w:rPr>
        <w:t>De conformidad con las decisiones adoptadas en la reunión de la Mesa de la Asamblea de las Naciones Unidas sobre el Medio Ambiente, celebrada el 8 de octubre de 2020, y la reunión conjunta de las Mesas de la Asamblea sobre el Medio Ambiente y el Comité de Representantes Permanentes, celebrada el 1 de diciembre de 2020, se prevé que el quinto período de sesiones de la Asamblea se levante el 23 de febrero de 2021 y se reanude como reunión presencial en febrero de 2022.</w:t>
      </w:r>
    </w:p>
  </w:footnote>
  <w:footnote w:id="3">
    <w:p w14:paraId="3887B586" w14:textId="136857D3" w:rsidR="00D65E67" w:rsidRPr="00D65E67" w:rsidRDefault="00D65E67">
      <w:pPr>
        <w:pStyle w:val="FootnoteText"/>
        <w:rPr>
          <w:lang w:val="es-ES"/>
        </w:rPr>
      </w:pPr>
      <w:r w:rsidRPr="00D65E67">
        <w:rPr>
          <w:rStyle w:val="FootnoteReference"/>
          <w:vertAlign w:val="baseline"/>
        </w:rPr>
        <w:sym w:font="Symbol" w:char="F02A"/>
      </w:r>
      <w:r w:rsidRPr="00D65E67">
        <w:rPr>
          <w:rStyle w:val="FootnoteReference"/>
          <w:vertAlign w:val="baseline"/>
        </w:rPr>
        <w:sym w:font="Symbol" w:char="F02A"/>
      </w:r>
      <w:r w:rsidRPr="00D65E67">
        <w:t xml:space="preserve"> </w:t>
      </w:r>
      <w:r w:rsidRPr="00D65E67">
        <w:rPr>
          <w:lang w:val="es-ES"/>
        </w:rPr>
        <w:t>UNEP/EA.5/1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87ED7F" w14:textId="51B76D29" w:rsidR="00601AF9" w:rsidRPr="00A67F0E" w:rsidRDefault="00601AF9" w:rsidP="00177088">
    <w:pPr>
      <w:pStyle w:val="Header-pool"/>
    </w:pPr>
    <w:r w:rsidRPr="00A67F0E">
      <w:rPr>
        <w:bCs/>
        <w:lang w:val="en-GB"/>
      </w:rPr>
      <w:t>UNEP</w:t>
    </w:r>
    <w:r w:rsidRPr="00A67F0E">
      <w:rPr>
        <w:noProof/>
        <w:lang w:val="en-GB"/>
      </w:rPr>
      <w:t>/EA.</w:t>
    </w:r>
    <w:r>
      <w:rPr>
        <w:noProof/>
        <w:lang w:val="en-GB"/>
      </w:rPr>
      <w:t>5</w:t>
    </w:r>
    <w:r w:rsidRPr="00A67F0E">
      <w:rPr>
        <w:noProof/>
        <w:lang w:val="en-GB"/>
      </w:rPr>
      <w:t>/</w:t>
    </w:r>
    <w:r>
      <w:rPr>
        <w:noProof/>
        <w:lang w:val="en-GB"/>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81FDB" w14:textId="04E38DB2" w:rsidR="00601AF9" w:rsidRPr="00A67F0E" w:rsidRDefault="00601AF9" w:rsidP="00B87AB1">
    <w:pPr>
      <w:pStyle w:val="Header-pool"/>
      <w:jc w:val="right"/>
    </w:pPr>
    <w:r w:rsidRPr="00A67F0E">
      <w:rPr>
        <w:bCs/>
        <w:lang w:val="en-GB"/>
      </w:rPr>
      <w:t>UNEP</w:t>
    </w:r>
    <w:r w:rsidRPr="00A67F0E">
      <w:rPr>
        <w:noProof/>
        <w:lang w:val="en-GB"/>
      </w:rPr>
      <w:t>/EA.</w:t>
    </w:r>
    <w:r>
      <w:rPr>
        <w:noProof/>
        <w:lang w:val="en-GB"/>
      </w:rPr>
      <w:t>5</w:t>
    </w:r>
    <w:r w:rsidRPr="00A67F0E">
      <w:rPr>
        <w:noProof/>
        <w:lang w:val="en-GB"/>
      </w:rPr>
      <w:t>/</w:t>
    </w:r>
    <w:r>
      <w:rPr>
        <w:noProof/>
        <w:lang w:val="en-GB"/>
      </w:rPr>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F5528" w14:textId="34664024" w:rsidR="00601AF9" w:rsidRDefault="00601AF9" w:rsidP="00B87AB1">
    <w:pPr>
      <w:pStyle w:val="Header-pool"/>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D6C09"/>
    <w:multiLevelType w:val="multilevel"/>
    <w:tmpl w:val="348E7962"/>
    <w:lvl w:ilvl="0">
      <w:start w:val="1"/>
      <w:numFmt w:val="lowerLetter"/>
      <w:lvlText w:val="%1.."/>
      <w:lvlJc w:val="left"/>
      <w:pPr>
        <w:ind w:left="144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B571867"/>
    <w:multiLevelType w:val="singleLevel"/>
    <w:tmpl w:val="9AB82FE2"/>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1C912711"/>
    <w:multiLevelType w:val="hybridMultilevel"/>
    <w:tmpl w:val="D672679A"/>
    <w:lvl w:ilvl="0" w:tplc="1264D768">
      <w:start w:val="1"/>
      <w:numFmt w:val="decimal"/>
      <w:lvlText w:val="%1."/>
      <w:lvlJc w:val="left"/>
      <w:pPr>
        <w:ind w:left="720" w:hanging="360"/>
      </w:pPr>
      <w:rPr>
        <w:i w:val="0"/>
        <w:iCs w:val="0"/>
      </w:rPr>
    </w:lvl>
    <w:lvl w:ilvl="1" w:tplc="B776CA36">
      <w:start w:val="1"/>
      <w:numFmt w:val="lowerLetter"/>
      <w:lvlText w:val="(%2)"/>
      <w:lvlJc w:val="left"/>
      <w:pPr>
        <w:ind w:left="1440" w:hanging="360"/>
      </w:pPr>
      <w:rPr>
        <w:rFonts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21130CE8"/>
    <w:multiLevelType w:val="hybridMultilevel"/>
    <w:tmpl w:val="B912925C"/>
    <w:lvl w:ilvl="0" w:tplc="2000000F">
      <w:start w:val="1"/>
      <w:numFmt w:val="decimal"/>
      <w:lvlText w:val="%1."/>
      <w:lvlJc w:val="left"/>
      <w:pPr>
        <w:ind w:left="360" w:hanging="360"/>
      </w:pPr>
    </w:lvl>
    <w:lvl w:ilvl="1" w:tplc="B776CA36">
      <w:start w:val="1"/>
      <w:numFmt w:val="lowerLetter"/>
      <w:lvlText w:val="(%2)"/>
      <w:lvlJc w:val="left"/>
      <w:pPr>
        <w:ind w:left="1440" w:hanging="360"/>
      </w:pPr>
      <w:rPr>
        <w:rFonts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269B423A"/>
    <w:multiLevelType w:val="hybridMultilevel"/>
    <w:tmpl w:val="67301284"/>
    <w:lvl w:ilvl="0" w:tplc="1F5C50F0">
      <w:start w:val="1"/>
      <w:numFmt w:val="lowerLetter"/>
      <w:lvlText w:val="(%1)"/>
      <w:lvlJc w:val="left"/>
      <w:pPr>
        <w:ind w:left="1610" w:hanging="360"/>
      </w:pPr>
      <w:rPr>
        <w:rFonts w:hint="default"/>
        <w:sz w:val="16"/>
      </w:rPr>
    </w:lvl>
    <w:lvl w:ilvl="1" w:tplc="04090019" w:tentative="1">
      <w:start w:val="1"/>
      <w:numFmt w:val="lowerLetter"/>
      <w:lvlText w:val="%2."/>
      <w:lvlJc w:val="left"/>
      <w:pPr>
        <w:ind w:left="2330" w:hanging="360"/>
      </w:pPr>
    </w:lvl>
    <w:lvl w:ilvl="2" w:tplc="0409001B" w:tentative="1">
      <w:start w:val="1"/>
      <w:numFmt w:val="lowerRoman"/>
      <w:lvlText w:val="%3."/>
      <w:lvlJc w:val="right"/>
      <w:pPr>
        <w:ind w:left="3050" w:hanging="180"/>
      </w:pPr>
    </w:lvl>
    <w:lvl w:ilvl="3" w:tplc="0409000F" w:tentative="1">
      <w:start w:val="1"/>
      <w:numFmt w:val="decimal"/>
      <w:lvlText w:val="%4."/>
      <w:lvlJc w:val="left"/>
      <w:pPr>
        <w:ind w:left="3770" w:hanging="360"/>
      </w:pPr>
    </w:lvl>
    <w:lvl w:ilvl="4" w:tplc="04090019" w:tentative="1">
      <w:start w:val="1"/>
      <w:numFmt w:val="lowerLetter"/>
      <w:lvlText w:val="%5."/>
      <w:lvlJc w:val="left"/>
      <w:pPr>
        <w:ind w:left="4490" w:hanging="360"/>
      </w:pPr>
    </w:lvl>
    <w:lvl w:ilvl="5" w:tplc="0409001B" w:tentative="1">
      <w:start w:val="1"/>
      <w:numFmt w:val="lowerRoman"/>
      <w:lvlText w:val="%6."/>
      <w:lvlJc w:val="right"/>
      <w:pPr>
        <w:ind w:left="5210" w:hanging="180"/>
      </w:pPr>
    </w:lvl>
    <w:lvl w:ilvl="6" w:tplc="0409000F" w:tentative="1">
      <w:start w:val="1"/>
      <w:numFmt w:val="decimal"/>
      <w:lvlText w:val="%7."/>
      <w:lvlJc w:val="left"/>
      <w:pPr>
        <w:ind w:left="5930" w:hanging="360"/>
      </w:pPr>
    </w:lvl>
    <w:lvl w:ilvl="7" w:tplc="04090019" w:tentative="1">
      <w:start w:val="1"/>
      <w:numFmt w:val="lowerLetter"/>
      <w:lvlText w:val="%8."/>
      <w:lvlJc w:val="left"/>
      <w:pPr>
        <w:ind w:left="6650" w:hanging="360"/>
      </w:pPr>
    </w:lvl>
    <w:lvl w:ilvl="8" w:tplc="0409001B" w:tentative="1">
      <w:start w:val="1"/>
      <w:numFmt w:val="lowerRoman"/>
      <w:lvlText w:val="%9."/>
      <w:lvlJc w:val="right"/>
      <w:pPr>
        <w:ind w:left="7370" w:hanging="180"/>
      </w:pPr>
    </w:lvl>
  </w:abstractNum>
  <w:abstractNum w:abstractNumId="5" w15:restartNumberingAfterBreak="0">
    <w:nsid w:val="35571603"/>
    <w:multiLevelType w:val="singleLevel"/>
    <w:tmpl w:val="53BE2666"/>
    <w:lvl w:ilvl="0">
      <w:start w:val="6"/>
      <w:numFmt w:val="upperLetter"/>
      <w:pStyle w:val="Heading9"/>
      <w:lvlText w:val="%1."/>
      <w:lvlJc w:val="left"/>
      <w:pPr>
        <w:tabs>
          <w:tab w:val="num" w:pos="360"/>
        </w:tabs>
        <w:ind w:left="360" w:hanging="360"/>
      </w:pPr>
      <w:rPr>
        <w:rFonts w:hint="default"/>
      </w:rPr>
    </w:lvl>
  </w:abstractNum>
  <w:abstractNum w:abstractNumId="6" w15:restartNumberingAfterBreak="0">
    <w:nsid w:val="52A66A9D"/>
    <w:multiLevelType w:val="multilevel"/>
    <w:tmpl w:val="3322019A"/>
    <w:styleLink w:val="Normallist"/>
    <w:lvl w:ilvl="0">
      <w:start w:val="1"/>
      <w:numFmt w:val="decimal"/>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7" w15:restartNumberingAfterBreak="0">
    <w:nsid w:val="5A257692"/>
    <w:multiLevelType w:val="hybridMultilevel"/>
    <w:tmpl w:val="FB8A6720"/>
    <w:lvl w:ilvl="0" w:tplc="2000000F">
      <w:start w:val="1"/>
      <w:numFmt w:val="decimal"/>
      <w:lvlText w:val="%1."/>
      <w:lvlJc w:val="left"/>
      <w:pPr>
        <w:ind w:left="360" w:hanging="360"/>
      </w:pPr>
    </w:lvl>
    <w:lvl w:ilvl="1" w:tplc="B776CA36">
      <w:start w:val="1"/>
      <w:numFmt w:val="lowerLetter"/>
      <w:lvlText w:val="(%2)"/>
      <w:lvlJc w:val="left"/>
      <w:pPr>
        <w:ind w:left="1440" w:hanging="360"/>
      </w:pPr>
      <w:rPr>
        <w:rFonts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6A6B5915"/>
    <w:multiLevelType w:val="multilevel"/>
    <w:tmpl w:val="E544F84C"/>
    <w:lvl w:ilvl="0">
      <w:start w:val="1"/>
      <w:numFmt w:val="none"/>
      <w:lvlText w:val="a)"/>
      <w:lvlJc w:val="left"/>
      <w:pPr>
        <w:ind w:left="144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1CB3864"/>
    <w:multiLevelType w:val="hybridMultilevel"/>
    <w:tmpl w:val="AB0A2B6A"/>
    <w:lvl w:ilvl="0" w:tplc="66D4673C">
      <w:start w:val="1"/>
      <w:numFmt w:val="lowerLetter"/>
      <w:lvlText w:val="%1)"/>
      <w:lvlJc w:val="left"/>
      <w:pPr>
        <w:ind w:left="144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78BC1D49"/>
    <w:multiLevelType w:val="hybridMultilevel"/>
    <w:tmpl w:val="DBC2635A"/>
    <w:lvl w:ilvl="0" w:tplc="4E045352">
      <w:start w:val="1"/>
      <w:numFmt w:val="decimal"/>
      <w:lvlText w:val="%1."/>
      <w:lvlJc w:val="left"/>
      <w:pPr>
        <w:ind w:left="735" w:hanging="375"/>
      </w:pPr>
      <w:rPr>
        <w:rFonts w:ascii="Times New Roman" w:hAnsi="Times New Roman" w:cs="Times New Roman" w:hint="default"/>
        <w:sz w:val="20"/>
        <w:szCs w:val="20"/>
        <w:lang w:val="en-GB"/>
      </w:rPr>
    </w:lvl>
    <w:lvl w:ilvl="1" w:tplc="B776CA3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5"/>
  </w:num>
  <w:num w:numId="4">
    <w:abstractNumId w:val="6"/>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5">
    <w:abstractNumId w:val="10"/>
  </w:num>
  <w:num w:numId="6">
    <w:abstractNumId w:val="3"/>
  </w:num>
  <w:num w:numId="7">
    <w:abstractNumId w:val="7"/>
  </w:num>
  <w:num w:numId="8">
    <w:abstractNumId w:val="6"/>
    <w:lvlOverride w:ilvl="0">
      <w:lvl w:ilvl="0">
        <w:start w:val="1"/>
        <w:numFmt w:val="decimal"/>
        <w:lvlText w:val="%1."/>
        <w:lvlJc w:val="left"/>
        <w:pPr>
          <w:tabs>
            <w:tab w:val="num" w:pos="1247"/>
          </w:tabs>
          <w:ind w:left="1247" w:firstLine="0"/>
        </w:pPr>
        <w:rPr>
          <w:rFonts w:hint="default"/>
          <w:b w:val="0"/>
          <w:bCs/>
        </w:rPr>
      </w:lvl>
    </w:lvlOverride>
  </w:num>
  <w:num w:numId="9">
    <w:abstractNumId w:val="6"/>
    <w:lvlOverride w:ilvl="0">
      <w:startOverride w:val="1"/>
      <w:lvl w:ilvl="0">
        <w:start w:val="1"/>
        <w:numFmt w:val="decimal"/>
        <w:lvlText w:val="%1."/>
        <w:lvlJc w:val="left"/>
        <w:pPr>
          <w:tabs>
            <w:tab w:val="num" w:pos="1247"/>
          </w:tabs>
          <w:ind w:left="1247" w:firstLine="0"/>
        </w:pPr>
        <w:rPr>
          <w:rFonts w:hint="default"/>
        </w:rPr>
      </w:lvl>
    </w:lvlOverride>
    <w:lvlOverride w:ilvl="1">
      <w:startOverride w:val="1"/>
      <w:lvl w:ilvl="1">
        <w:start w:val="1"/>
        <w:numFmt w:val="lowerLetter"/>
        <w:lvlText w:val="(%2)"/>
        <w:lvlJc w:val="left"/>
        <w:pPr>
          <w:tabs>
            <w:tab w:val="num" w:pos="1814"/>
          </w:tabs>
          <w:ind w:left="1814" w:firstLine="0"/>
        </w:pPr>
        <w:rPr>
          <w:rFonts w:hint="default"/>
        </w:rPr>
      </w:lvl>
    </w:lvlOverride>
    <w:lvlOverride w:ilvl="2">
      <w:startOverride w:val="1"/>
      <w:lvl w:ilvl="2">
        <w:start w:val="1"/>
        <w:numFmt w:val="lowerRoman"/>
        <w:lvlText w:val="(%3)"/>
        <w:lvlJc w:val="left"/>
        <w:pPr>
          <w:tabs>
            <w:tab w:val="num" w:pos="2381"/>
          </w:tabs>
          <w:ind w:left="2381" w:firstLine="0"/>
        </w:pPr>
        <w:rPr>
          <w:rFonts w:hint="default"/>
        </w:rPr>
      </w:lvl>
    </w:lvlOverride>
    <w:lvlOverride w:ilvl="3">
      <w:startOverride w:val="1"/>
      <w:lvl w:ilvl="3">
        <w:start w:val="1"/>
        <w:numFmt w:val="lowerLetter"/>
        <w:lvlText w:val="%4."/>
        <w:lvlJc w:val="left"/>
        <w:pPr>
          <w:tabs>
            <w:tab w:val="num" w:pos="2948"/>
          </w:tabs>
          <w:ind w:left="2948" w:firstLine="0"/>
        </w:pPr>
        <w:rPr>
          <w:rFonts w:hint="default"/>
        </w:rPr>
      </w:lvl>
    </w:lvlOverride>
    <w:lvlOverride w:ilvl="4">
      <w:startOverride w:val="1"/>
      <w:lvl w:ilvl="4">
        <w:start w:val="1"/>
        <w:numFmt w:val="lowerRoman"/>
        <w:lvlText w:val="%5."/>
        <w:lvlJc w:val="left"/>
        <w:pPr>
          <w:tabs>
            <w:tab w:val="num" w:pos="3515"/>
          </w:tabs>
          <w:ind w:left="4082" w:hanging="567"/>
        </w:pPr>
        <w:rPr>
          <w:rFonts w:hint="default"/>
        </w:rPr>
      </w:lvl>
    </w:lvlOverride>
    <w:lvlOverride w:ilvl="5">
      <w:startOverride w:val="1"/>
      <w:lvl w:ilvl="5">
        <w:start w:val="1"/>
        <w:numFmt w:val="lowerLetter"/>
        <w:lvlText w:val="(%6)"/>
        <w:lvlJc w:val="left"/>
        <w:pPr>
          <w:tabs>
            <w:tab w:val="num" w:pos="4082"/>
          </w:tabs>
          <w:ind w:left="4649" w:hanging="567"/>
        </w:pPr>
        <w:rPr>
          <w:rFonts w:hint="default"/>
        </w:rPr>
      </w:lvl>
    </w:lvlOverride>
    <w:lvlOverride w:ilvl="6">
      <w:startOverride w:val="1"/>
      <w:lvl w:ilvl="6">
        <w:start w:val="1"/>
        <w:numFmt w:val="decimal"/>
        <w:lvlText w:val="%7."/>
        <w:lvlJc w:val="left"/>
        <w:pPr>
          <w:tabs>
            <w:tab w:val="num" w:pos="4649"/>
          </w:tabs>
          <w:ind w:left="5216" w:hanging="567"/>
        </w:pPr>
        <w:rPr>
          <w:rFonts w:hint="default"/>
        </w:rPr>
      </w:lvl>
    </w:lvlOverride>
    <w:lvlOverride w:ilvl="7">
      <w:startOverride w:val="1"/>
      <w:lvl w:ilvl="7">
        <w:start w:val="1"/>
        <w:numFmt w:val="lowerLetter"/>
        <w:lvlText w:val="%8."/>
        <w:lvlJc w:val="left"/>
        <w:pPr>
          <w:tabs>
            <w:tab w:val="num" w:pos="5216"/>
          </w:tabs>
          <w:ind w:left="5783" w:hanging="567"/>
        </w:pPr>
        <w:rPr>
          <w:rFonts w:hint="default"/>
        </w:rPr>
      </w:lvl>
    </w:lvlOverride>
    <w:lvlOverride w:ilvl="8">
      <w:startOverride w:val="1"/>
      <w:lvl w:ilvl="8">
        <w:start w:val="1"/>
        <w:numFmt w:val="lowerRoman"/>
        <w:lvlText w:val="%9."/>
        <w:lvlJc w:val="right"/>
        <w:pPr>
          <w:tabs>
            <w:tab w:val="num" w:pos="5783"/>
          </w:tabs>
          <w:ind w:left="6350" w:hanging="567"/>
        </w:pPr>
        <w:rPr>
          <w:rFonts w:hint="default"/>
        </w:rPr>
      </w:lvl>
    </w:lvlOverride>
  </w:num>
  <w:num w:numId="10">
    <w:abstractNumId w:val="6"/>
    <w:lvlOverride w:ilvl="0">
      <w:lvl w:ilvl="0">
        <w:start w:val="1"/>
        <w:numFmt w:val="decimal"/>
        <w:lvlText w:val="%1."/>
        <w:lvlJc w:val="left"/>
        <w:pPr>
          <w:tabs>
            <w:tab w:val="num" w:pos="1247"/>
          </w:tabs>
          <w:ind w:left="1247" w:firstLine="0"/>
        </w:pPr>
        <w:rPr>
          <w:rFonts w:hint="default"/>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1">
    <w:abstractNumId w:val="6"/>
    <w:lvlOverride w:ilvl="0">
      <w:lvl w:ilvl="0">
        <w:start w:val="1"/>
        <w:numFmt w:val="decimal"/>
        <w:lvlText w:val="%1."/>
        <w:lvlJc w:val="left"/>
        <w:pPr>
          <w:tabs>
            <w:tab w:val="num" w:pos="1247"/>
          </w:tabs>
          <w:ind w:left="1247" w:firstLine="0"/>
        </w:pPr>
        <w:rPr>
          <w:rFonts w:hint="default"/>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2">
    <w:abstractNumId w:val="6"/>
    <w:lvlOverride w:ilvl="0">
      <w:lvl w:ilvl="0">
        <w:start w:val="1"/>
        <w:numFmt w:val="decimal"/>
        <w:lvlText w:val="%1."/>
        <w:lvlJc w:val="left"/>
        <w:pPr>
          <w:tabs>
            <w:tab w:val="num" w:pos="1247"/>
          </w:tabs>
          <w:ind w:left="1247" w:firstLine="0"/>
        </w:pPr>
        <w:rPr>
          <w:rFonts w:hint="default"/>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3">
    <w:abstractNumId w:val="6"/>
    <w:lvlOverride w:ilvl="0">
      <w:lvl w:ilvl="0">
        <w:start w:val="1"/>
        <w:numFmt w:val="decimal"/>
        <w:lvlText w:val="%1."/>
        <w:lvlJc w:val="left"/>
        <w:pPr>
          <w:tabs>
            <w:tab w:val="num" w:pos="1247"/>
          </w:tabs>
          <w:ind w:left="1247" w:firstLine="0"/>
        </w:pPr>
        <w:rPr>
          <w:rFonts w:hint="default"/>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4">
    <w:abstractNumId w:val="2"/>
    <w:lvlOverride w:ilvl="0">
      <w:lvl w:ilvl="0" w:tplc="1264D768">
        <w:start w:val="1"/>
        <w:numFmt w:val="decimal"/>
        <w:lvlText w:val="%1."/>
        <w:lvlJc w:val="left"/>
        <w:pPr>
          <w:ind w:left="720" w:hanging="360"/>
        </w:pPr>
        <w:rPr>
          <w:i w:val="0"/>
          <w:iCs w:val="0"/>
        </w:rPr>
      </w:lvl>
    </w:lvlOverride>
    <w:lvlOverride w:ilvl="1">
      <w:lvl w:ilvl="1" w:tplc="B776CA36">
        <w:start w:val="1"/>
        <w:numFmt w:val="lowerLetter"/>
        <w:lvlText w:val="%1.%2."/>
        <w:lvlJc w:val="left"/>
        <w:pPr>
          <w:ind w:left="1440" w:hanging="360"/>
        </w:pPr>
        <w:rPr>
          <w:rFonts w:hint="default"/>
        </w:rPr>
      </w:lvl>
    </w:lvlOverride>
  </w:num>
  <w:num w:numId="15">
    <w:abstractNumId w:val="6"/>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6">
    <w:abstractNumId w:val="6"/>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7">
    <w:abstractNumId w:val="6"/>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8">
    <w:abstractNumId w:val="6"/>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9">
    <w:abstractNumId w:val="6"/>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20">
    <w:abstractNumId w:val="6"/>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21">
    <w:abstractNumId w:val="6"/>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22">
    <w:abstractNumId w:val="4"/>
  </w:num>
  <w:num w:numId="23">
    <w:abstractNumId w:val="2"/>
  </w:num>
  <w:num w:numId="24">
    <w:abstractNumId w:val="9"/>
  </w:num>
  <w:num w:numId="25">
    <w:abstractNumId w:val="0"/>
  </w:num>
  <w:num w:numId="26">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fr-CA" w:vendorID="64" w:dllVersion="0" w:nlCheck="1" w:checkStyle="0"/>
  <w:activeWritingStyle w:appName="MSWord" w:lang="en-CA" w:vendorID="64" w:dllVersion="0" w:nlCheck="1" w:checkStyle="0"/>
  <w:activeWritingStyle w:appName="MSWord" w:lang="en-GB" w:vendorID="64" w:dllVersion="4096" w:nlCheck="1" w:checkStyle="0"/>
  <w:activeWritingStyle w:appName="MSWord" w:lang="fr-CA"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s-ES" w:vendorID="64" w:dllVersion="4096"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A0MDIxMLY0NrY0sjRT0lEKTi0uzszPAykwqgUAa/bMvSwAAAA="/>
  </w:docVars>
  <w:rsids>
    <w:rsidRoot w:val="00091FA7"/>
    <w:rsid w:val="0000760B"/>
    <w:rsid w:val="00007A53"/>
    <w:rsid w:val="00010971"/>
    <w:rsid w:val="00012077"/>
    <w:rsid w:val="000149E6"/>
    <w:rsid w:val="00020068"/>
    <w:rsid w:val="000247B0"/>
    <w:rsid w:val="00026997"/>
    <w:rsid w:val="00030898"/>
    <w:rsid w:val="00033E0B"/>
    <w:rsid w:val="00035EDE"/>
    <w:rsid w:val="000509B4"/>
    <w:rsid w:val="00052070"/>
    <w:rsid w:val="00057A47"/>
    <w:rsid w:val="0006035B"/>
    <w:rsid w:val="0006047E"/>
    <w:rsid w:val="0007060F"/>
    <w:rsid w:val="00070740"/>
    <w:rsid w:val="00071886"/>
    <w:rsid w:val="00074171"/>
    <w:rsid w:val="000742BC"/>
    <w:rsid w:val="00074FE5"/>
    <w:rsid w:val="000751B6"/>
    <w:rsid w:val="00075A44"/>
    <w:rsid w:val="00080C63"/>
    <w:rsid w:val="00082A0C"/>
    <w:rsid w:val="00083504"/>
    <w:rsid w:val="000877FC"/>
    <w:rsid w:val="00087DE3"/>
    <w:rsid w:val="00091FA7"/>
    <w:rsid w:val="00092AAB"/>
    <w:rsid w:val="0009640C"/>
    <w:rsid w:val="000A13C5"/>
    <w:rsid w:val="000B1231"/>
    <w:rsid w:val="000B22A2"/>
    <w:rsid w:val="000B6A59"/>
    <w:rsid w:val="000C2A52"/>
    <w:rsid w:val="000C30E8"/>
    <w:rsid w:val="000C6AAB"/>
    <w:rsid w:val="000D09B0"/>
    <w:rsid w:val="000D33C0"/>
    <w:rsid w:val="000D4A65"/>
    <w:rsid w:val="000D6941"/>
    <w:rsid w:val="00100766"/>
    <w:rsid w:val="00101863"/>
    <w:rsid w:val="0010497A"/>
    <w:rsid w:val="0011190A"/>
    <w:rsid w:val="00112D7C"/>
    <w:rsid w:val="001202E3"/>
    <w:rsid w:val="00123699"/>
    <w:rsid w:val="00123C52"/>
    <w:rsid w:val="0013059D"/>
    <w:rsid w:val="00141A55"/>
    <w:rsid w:val="001446A3"/>
    <w:rsid w:val="00150D94"/>
    <w:rsid w:val="00155395"/>
    <w:rsid w:val="00160120"/>
    <w:rsid w:val="00160D74"/>
    <w:rsid w:val="00163919"/>
    <w:rsid w:val="00167760"/>
    <w:rsid w:val="00167D02"/>
    <w:rsid w:val="00170216"/>
    <w:rsid w:val="00177088"/>
    <w:rsid w:val="00181EC8"/>
    <w:rsid w:val="00184349"/>
    <w:rsid w:val="0018635E"/>
    <w:rsid w:val="00190E9E"/>
    <w:rsid w:val="00195F33"/>
    <w:rsid w:val="001A179F"/>
    <w:rsid w:val="001A54A9"/>
    <w:rsid w:val="001A5C87"/>
    <w:rsid w:val="001B1617"/>
    <w:rsid w:val="001B504B"/>
    <w:rsid w:val="001C31AF"/>
    <w:rsid w:val="001C7D11"/>
    <w:rsid w:val="001C7D7F"/>
    <w:rsid w:val="001D0C19"/>
    <w:rsid w:val="001D2E7D"/>
    <w:rsid w:val="001D3874"/>
    <w:rsid w:val="001D79B8"/>
    <w:rsid w:val="001D7E75"/>
    <w:rsid w:val="001E3CB7"/>
    <w:rsid w:val="001E503F"/>
    <w:rsid w:val="001E56D2"/>
    <w:rsid w:val="001E57D4"/>
    <w:rsid w:val="001E7D56"/>
    <w:rsid w:val="001F2443"/>
    <w:rsid w:val="001F75DE"/>
    <w:rsid w:val="00200D58"/>
    <w:rsid w:val="002013BE"/>
    <w:rsid w:val="002034A5"/>
    <w:rsid w:val="002063A4"/>
    <w:rsid w:val="00206E77"/>
    <w:rsid w:val="0021145B"/>
    <w:rsid w:val="002146C0"/>
    <w:rsid w:val="0022436A"/>
    <w:rsid w:val="002245B6"/>
    <w:rsid w:val="00227485"/>
    <w:rsid w:val="002345A6"/>
    <w:rsid w:val="002379C0"/>
    <w:rsid w:val="00241A3E"/>
    <w:rsid w:val="00242E48"/>
    <w:rsid w:val="00243D36"/>
    <w:rsid w:val="00247707"/>
    <w:rsid w:val="0026012F"/>
    <w:rsid w:val="0026018E"/>
    <w:rsid w:val="002779A7"/>
    <w:rsid w:val="00286740"/>
    <w:rsid w:val="00291D38"/>
    <w:rsid w:val="002929D8"/>
    <w:rsid w:val="00296929"/>
    <w:rsid w:val="00297F3C"/>
    <w:rsid w:val="002A1F8A"/>
    <w:rsid w:val="002A237D"/>
    <w:rsid w:val="002A4C53"/>
    <w:rsid w:val="002A50DE"/>
    <w:rsid w:val="002B01EA"/>
    <w:rsid w:val="002B0672"/>
    <w:rsid w:val="002B247F"/>
    <w:rsid w:val="002B675B"/>
    <w:rsid w:val="002C145D"/>
    <w:rsid w:val="002C2C3E"/>
    <w:rsid w:val="002C517B"/>
    <w:rsid w:val="002C533E"/>
    <w:rsid w:val="002C7D03"/>
    <w:rsid w:val="002C7ED3"/>
    <w:rsid w:val="002D027F"/>
    <w:rsid w:val="002D386A"/>
    <w:rsid w:val="002D3C64"/>
    <w:rsid w:val="002D409D"/>
    <w:rsid w:val="002D4624"/>
    <w:rsid w:val="002D7358"/>
    <w:rsid w:val="002D7A85"/>
    <w:rsid w:val="002D7B60"/>
    <w:rsid w:val="002E44A1"/>
    <w:rsid w:val="002E48CE"/>
    <w:rsid w:val="002E512F"/>
    <w:rsid w:val="002F0F0A"/>
    <w:rsid w:val="002F4761"/>
    <w:rsid w:val="002F5C79"/>
    <w:rsid w:val="00300A10"/>
    <w:rsid w:val="003019E2"/>
    <w:rsid w:val="00303867"/>
    <w:rsid w:val="0031413F"/>
    <w:rsid w:val="003148BB"/>
    <w:rsid w:val="00317976"/>
    <w:rsid w:val="00327491"/>
    <w:rsid w:val="00343AA8"/>
    <w:rsid w:val="00344F72"/>
    <w:rsid w:val="00345684"/>
    <w:rsid w:val="00351F16"/>
    <w:rsid w:val="00355EA9"/>
    <w:rsid w:val="003578DE"/>
    <w:rsid w:val="00360306"/>
    <w:rsid w:val="0036268A"/>
    <w:rsid w:val="00363E12"/>
    <w:rsid w:val="0036679E"/>
    <w:rsid w:val="00375652"/>
    <w:rsid w:val="003800B6"/>
    <w:rsid w:val="00383B45"/>
    <w:rsid w:val="00390B8B"/>
    <w:rsid w:val="00393E4B"/>
    <w:rsid w:val="00394131"/>
    <w:rsid w:val="00395C92"/>
    <w:rsid w:val="00395D25"/>
    <w:rsid w:val="00396257"/>
    <w:rsid w:val="003962B0"/>
    <w:rsid w:val="00397EB8"/>
    <w:rsid w:val="003A2006"/>
    <w:rsid w:val="003A3C9B"/>
    <w:rsid w:val="003A4FD0"/>
    <w:rsid w:val="003A69D1"/>
    <w:rsid w:val="003A7705"/>
    <w:rsid w:val="003A77F1"/>
    <w:rsid w:val="003B1545"/>
    <w:rsid w:val="003B1DE1"/>
    <w:rsid w:val="003B444A"/>
    <w:rsid w:val="003C187A"/>
    <w:rsid w:val="003C1EEE"/>
    <w:rsid w:val="003C409D"/>
    <w:rsid w:val="003C5BA6"/>
    <w:rsid w:val="003E60DB"/>
    <w:rsid w:val="003F0E85"/>
    <w:rsid w:val="003F0FE4"/>
    <w:rsid w:val="003F2079"/>
    <w:rsid w:val="00406F65"/>
    <w:rsid w:val="00410C55"/>
    <w:rsid w:val="0041285A"/>
    <w:rsid w:val="00416854"/>
    <w:rsid w:val="00417725"/>
    <w:rsid w:val="00424BFF"/>
    <w:rsid w:val="004313C3"/>
    <w:rsid w:val="00432B4B"/>
    <w:rsid w:val="00437117"/>
    <w:rsid w:val="00437F26"/>
    <w:rsid w:val="00440150"/>
    <w:rsid w:val="0044180F"/>
    <w:rsid w:val="00444097"/>
    <w:rsid w:val="00444B06"/>
    <w:rsid w:val="00445487"/>
    <w:rsid w:val="004509CC"/>
    <w:rsid w:val="00451B49"/>
    <w:rsid w:val="00454769"/>
    <w:rsid w:val="00466991"/>
    <w:rsid w:val="0047064C"/>
    <w:rsid w:val="004713B7"/>
    <w:rsid w:val="00474064"/>
    <w:rsid w:val="004800FA"/>
    <w:rsid w:val="00484DDB"/>
    <w:rsid w:val="0048610B"/>
    <w:rsid w:val="004A42E1"/>
    <w:rsid w:val="004A45B2"/>
    <w:rsid w:val="004A48FB"/>
    <w:rsid w:val="004A761D"/>
    <w:rsid w:val="004B0FC2"/>
    <w:rsid w:val="004B162C"/>
    <w:rsid w:val="004B1F5F"/>
    <w:rsid w:val="004B2703"/>
    <w:rsid w:val="004B3EA8"/>
    <w:rsid w:val="004B3FC1"/>
    <w:rsid w:val="004C3DBE"/>
    <w:rsid w:val="004C5C96"/>
    <w:rsid w:val="004D06A4"/>
    <w:rsid w:val="004D0E4D"/>
    <w:rsid w:val="004D5F74"/>
    <w:rsid w:val="004D6A29"/>
    <w:rsid w:val="004E4919"/>
    <w:rsid w:val="004F1A81"/>
    <w:rsid w:val="004F6844"/>
    <w:rsid w:val="005218D9"/>
    <w:rsid w:val="00523317"/>
    <w:rsid w:val="0052629C"/>
    <w:rsid w:val="0052639A"/>
    <w:rsid w:val="00531E6F"/>
    <w:rsid w:val="00532011"/>
    <w:rsid w:val="00536186"/>
    <w:rsid w:val="0053641D"/>
    <w:rsid w:val="0054498C"/>
    <w:rsid w:val="00544CBB"/>
    <w:rsid w:val="0054756D"/>
    <w:rsid w:val="00553E66"/>
    <w:rsid w:val="0057239E"/>
    <w:rsid w:val="0057315F"/>
    <w:rsid w:val="00573EF1"/>
    <w:rsid w:val="00576104"/>
    <w:rsid w:val="005818BA"/>
    <w:rsid w:val="00582BC0"/>
    <w:rsid w:val="005A3DF4"/>
    <w:rsid w:val="005A7B96"/>
    <w:rsid w:val="005B4F16"/>
    <w:rsid w:val="005B4F5F"/>
    <w:rsid w:val="005B675D"/>
    <w:rsid w:val="005C21AE"/>
    <w:rsid w:val="005C5E59"/>
    <w:rsid w:val="005C67C8"/>
    <w:rsid w:val="005C7140"/>
    <w:rsid w:val="005C72D8"/>
    <w:rsid w:val="005D0249"/>
    <w:rsid w:val="005D5400"/>
    <w:rsid w:val="005D6E8C"/>
    <w:rsid w:val="005E0549"/>
    <w:rsid w:val="005E34AD"/>
    <w:rsid w:val="005E3984"/>
    <w:rsid w:val="005E4EB1"/>
    <w:rsid w:val="005E5E0C"/>
    <w:rsid w:val="005F100C"/>
    <w:rsid w:val="005F65BB"/>
    <w:rsid w:val="005F68DA"/>
    <w:rsid w:val="00601AF9"/>
    <w:rsid w:val="00602EEE"/>
    <w:rsid w:val="0060773B"/>
    <w:rsid w:val="006123DF"/>
    <w:rsid w:val="00612F3F"/>
    <w:rsid w:val="00613E2D"/>
    <w:rsid w:val="006157B5"/>
    <w:rsid w:val="00615E75"/>
    <w:rsid w:val="00616CB1"/>
    <w:rsid w:val="006214BE"/>
    <w:rsid w:val="006214E8"/>
    <w:rsid w:val="00626FC6"/>
    <w:rsid w:val="006303B4"/>
    <w:rsid w:val="00631354"/>
    <w:rsid w:val="00633D3D"/>
    <w:rsid w:val="006375A9"/>
    <w:rsid w:val="00641703"/>
    <w:rsid w:val="0064197F"/>
    <w:rsid w:val="006431A6"/>
    <w:rsid w:val="00643832"/>
    <w:rsid w:val="00644B2D"/>
    <w:rsid w:val="006459F6"/>
    <w:rsid w:val="006501AD"/>
    <w:rsid w:val="00651BFA"/>
    <w:rsid w:val="00654475"/>
    <w:rsid w:val="00664B07"/>
    <w:rsid w:val="00665A4B"/>
    <w:rsid w:val="00667C1F"/>
    <w:rsid w:val="00667CF7"/>
    <w:rsid w:val="00673FD1"/>
    <w:rsid w:val="00675A7F"/>
    <w:rsid w:val="0068295D"/>
    <w:rsid w:val="00683BB2"/>
    <w:rsid w:val="00683F7F"/>
    <w:rsid w:val="006870D7"/>
    <w:rsid w:val="0069073A"/>
    <w:rsid w:val="00692E2A"/>
    <w:rsid w:val="006A1844"/>
    <w:rsid w:val="006A4C0A"/>
    <w:rsid w:val="006A76F2"/>
    <w:rsid w:val="006B2A60"/>
    <w:rsid w:val="006B45D6"/>
    <w:rsid w:val="006C03CE"/>
    <w:rsid w:val="006C2201"/>
    <w:rsid w:val="006C5B2A"/>
    <w:rsid w:val="006C6549"/>
    <w:rsid w:val="006D17F7"/>
    <w:rsid w:val="006D26B4"/>
    <w:rsid w:val="006D7EFB"/>
    <w:rsid w:val="006E4A50"/>
    <w:rsid w:val="006E6672"/>
    <w:rsid w:val="006E6722"/>
    <w:rsid w:val="006F56E6"/>
    <w:rsid w:val="006F6EDC"/>
    <w:rsid w:val="007027B9"/>
    <w:rsid w:val="00705056"/>
    <w:rsid w:val="00707233"/>
    <w:rsid w:val="0071119A"/>
    <w:rsid w:val="00715E88"/>
    <w:rsid w:val="007304C3"/>
    <w:rsid w:val="007320EF"/>
    <w:rsid w:val="0073264E"/>
    <w:rsid w:val="007341BD"/>
    <w:rsid w:val="00734CAA"/>
    <w:rsid w:val="00736520"/>
    <w:rsid w:val="0074533E"/>
    <w:rsid w:val="00746684"/>
    <w:rsid w:val="00750DF7"/>
    <w:rsid w:val="0075533C"/>
    <w:rsid w:val="00757581"/>
    <w:rsid w:val="007611A0"/>
    <w:rsid w:val="007647E2"/>
    <w:rsid w:val="00765070"/>
    <w:rsid w:val="007776C9"/>
    <w:rsid w:val="0078186C"/>
    <w:rsid w:val="00785788"/>
    <w:rsid w:val="007941C3"/>
    <w:rsid w:val="00796811"/>
    <w:rsid w:val="00796D3F"/>
    <w:rsid w:val="007A1683"/>
    <w:rsid w:val="007A5C12"/>
    <w:rsid w:val="007A7910"/>
    <w:rsid w:val="007A7CB0"/>
    <w:rsid w:val="007B1200"/>
    <w:rsid w:val="007B5DE1"/>
    <w:rsid w:val="007B68A3"/>
    <w:rsid w:val="007C025C"/>
    <w:rsid w:val="007C2541"/>
    <w:rsid w:val="007D3B04"/>
    <w:rsid w:val="007D66A8"/>
    <w:rsid w:val="007E003F"/>
    <w:rsid w:val="007E42B8"/>
    <w:rsid w:val="007F093C"/>
    <w:rsid w:val="008014A9"/>
    <w:rsid w:val="008072EF"/>
    <w:rsid w:val="008164F2"/>
    <w:rsid w:val="00821395"/>
    <w:rsid w:val="0082431A"/>
    <w:rsid w:val="00830E26"/>
    <w:rsid w:val="0083403A"/>
    <w:rsid w:val="008349AD"/>
    <w:rsid w:val="00843576"/>
    <w:rsid w:val="00843B64"/>
    <w:rsid w:val="00846973"/>
    <w:rsid w:val="008478FC"/>
    <w:rsid w:val="00852629"/>
    <w:rsid w:val="00863E11"/>
    <w:rsid w:val="00866282"/>
    <w:rsid w:val="00867BFF"/>
    <w:rsid w:val="008768F1"/>
    <w:rsid w:val="00883E14"/>
    <w:rsid w:val="0088480A"/>
    <w:rsid w:val="00884DB3"/>
    <w:rsid w:val="0088757A"/>
    <w:rsid w:val="00892469"/>
    <w:rsid w:val="008931A3"/>
    <w:rsid w:val="008957DD"/>
    <w:rsid w:val="008975E6"/>
    <w:rsid w:val="00897D98"/>
    <w:rsid w:val="008A6314"/>
    <w:rsid w:val="008A6DF2"/>
    <w:rsid w:val="008A7807"/>
    <w:rsid w:val="008B21C6"/>
    <w:rsid w:val="008B4CC9"/>
    <w:rsid w:val="008B51E0"/>
    <w:rsid w:val="008B6BFE"/>
    <w:rsid w:val="008C103B"/>
    <w:rsid w:val="008C2F27"/>
    <w:rsid w:val="008C4387"/>
    <w:rsid w:val="008C61A2"/>
    <w:rsid w:val="008D255B"/>
    <w:rsid w:val="008D7C99"/>
    <w:rsid w:val="008D7CF3"/>
    <w:rsid w:val="008E0FCB"/>
    <w:rsid w:val="008E2841"/>
    <w:rsid w:val="0090794E"/>
    <w:rsid w:val="009142D0"/>
    <w:rsid w:val="00916E6A"/>
    <w:rsid w:val="0092178C"/>
    <w:rsid w:val="00930B88"/>
    <w:rsid w:val="009328B6"/>
    <w:rsid w:val="0093687C"/>
    <w:rsid w:val="00937186"/>
    <w:rsid w:val="00940DCC"/>
    <w:rsid w:val="0094179A"/>
    <w:rsid w:val="009438B2"/>
    <w:rsid w:val="0094442E"/>
    <w:rsid w:val="0094459E"/>
    <w:rsid w:val="00944DBC"/>
    <w:rsid w:val="00950977"/>
    <w:rsid w:val="00951A7B"/>
    <w:rsid w:val="00952967"/>
    <w:rsid w:val="009564A6"/>
    <w:rsid w:val="009573E7"/>
    <w:rsid w:val="00960135"/>
    <w:rsid w:val="00962500"/>
    <w:rsid w:val="00967621"/>
    <w:rsid w:val="00967E6A"/>
    <w:rsid w:val="0097508E"/>
    <w:rsid w:val="009777AA"/>
    <w:rsid w:val="00980EB9"/>
    <w:rsid w:val="00981BD6"/>
    <w:rsid w:val="0098512E"/>
    <w:rsid w:val="00997356"/>
    <w:rsid w:val="009A0C7B"/>
    <w:rsid w:val="009A265C"/>
    <w:rsid w:val="009B4A0F"/>
    <w:rsid w:val="009C0027"/>
    <w:rsid w:val="009C11D2"/>
    <w:rsid w:val="009C6295"/>
    <w:rsid w:val="009C6C70"/>
    <w:rsid w:val="009D0B63"/>
    <w:rsid w:val="009D7090"/>
    <w:rsid w:val="009E1B01"/>
    <w:rsid w:val="009E307E"/>
    <w:rsid w:val="009F1DC7"/>
    <w:rsid w:val="009F3CE0"/>
    <w:rsid w:val="009F5C56"/>
    <w:rsid w:val="00A001A7"/>
    <w:rsid w:val="00A055A0"/>
    <w:rsid w:val="00A07870"/>
    <w:rsid w:val="00A07F19"/>
    <w:rsid w:val="00A1348D"/>
    <w:rsid w:val="00A232EE"/>
    <w:rsid w:val="00A27C9D"/>
    <w:rsid w:val="00A4175F"/>
    <w:rsid w:val="00A43CAF"/>
    <w:rsid w:val="00A44411"/>
    <w:rsid w:val="00A4536B"/>
    <w:rsid w:val="00A469FA"/>
    <w:rsid w:val="00A55618"/>
    <w:rsid w:val="00A55B01"/>
    <w:rsid w:val="00A56B5B"/>
    <w:rsid w:val="00A603FF"/>
    <w:rsid w:val="00A652EF"/>
    <w:rsid w:val="00A657DD"/>
    <w:rsid w:val="00A666A6"/>
    <w:rsid w:val="00A675FD"/>
    <w:rsid w:val="00A67F0E"/>
    <w:rsid w:val="00A70804"/>
    <w:rsid w:val="00A72437"/>
    <w:rsid w:val="00A75860"/>
    <w:rsid w:val="00A80611"/>
    <w:rsid w:val="00A83F7A"/>
    <w:rsid w:val="00A86D2C"/>
    <w:rsid w:val="00A90CE2"/>
    <w:rsid w:val="00A9320A"/>
    <w:rsid w:val="00AA1C42"/>
    <w:rsid w:val="00AA23BF"/>
    <w:rsid w:val="00AA78E8"/>
    <w:rsid w:val="00AB5340"/>
    <w:rsid w:val="00AB58DB"/>
    <w:rsid w:val="00AB6879"/>
    <w:rsid w:val="00AC0A89"/>
    <w:rsid w:val="00AC67A2"/>
    <w:rsid w:val="00AC7C96"/>
    <w:rsid w:val="00AD3A0E"/>
    <w:rsid w:val="00AE237D"/>
    <w:rsid w:val="00AE502A"/>
    <w:rsid w:val="00AF7C07"/>
    <w:rsid w:val="00B0142B"/>
    <w:rsid w:val="00B07834"/>
    <w:rsid w:val="00B17F40"/>
    <w:rsid w:val="00B22C93"/>
    <w:rsid w:val="00B245CD"/>
    <w:rsid w:val="00B27589"/>
    <w:rsid w:val="00B32F19"/>
    <w:rsid w:val="00B3519A"/>
    <w:rsid w:val="00B405B7"/>
    <w:rsid w:val="00B40B1C"/>
    <w:rsid w:val="00B45A1D"/>
    <w:rsid w:val="00B52222"/>
    <w:rsid w:val="00B54FE7"/>
    <w:rsid w:val="00B60700"/>
    <w:rsid w:val="00B646B5"/>
    <w:rsid w:val="00B66901"/>
    <w:rsid w:val="00B71E6D"/>
    <w:rsid w:val="00B72070"/>
    <w:rsid w:val="00B779E1"/>
    <w:rsid w:val="00B85DF3"/>
    <w:rsid w:val="00B87AB1"/>
    <w:rsid w:val="00B91EE1"/>
    <w:rsid w:val="00B93C54"/>
    <w:rsid w:val="00BA0090"/>
    <w:rsid w:val="00BA06C4"/>
    <w:rsid w:val="00BA0C8B"/>
    <w:rsid w:val="00BA1A67"/>
    <w:rsid w:val="00BB1C33"/>
    <w:rsid w:val="00BB3D1A"/>
    <w:rsid w:val="00BC3331"/>
    <w:rsid w:val="00BD27E2"/>
    <w:rsid w:val="00BD4A91"/>
    <w:rsid w:val="00BD7BE5"/>
    <w:rsid w:val="00BE131F"/>
    <w:rsid w:val="00BE18CD"/>
    <w:rsid w:val="00BE5B5F"/>
    <w:rsid w:val="00BE5F64"/>
    <w:rsid w:val="00BE7B92"/>
    <w:rsid w:val="00BF3994"/>
    <w:rsid w:val="00C004D1"/>
    <w:rsid w:val="00C04186"/>
    <w:rsid w:val="00C10B0E"/>
    <w:rsid w:val="00C11CCE"/>
    <w:rsid w:val="00C147B9"/>
    <w:rsid w:val="00C179DB"/>
    <w:rsid w:val="00C21B7B"/>
    <w:rsid w:val="00C26F55"/>
    <w:rsid w:val="00C270E1"/>
    <w:rsid w:val="00C30C63"/>
    <w:rsid w:val="00C36B8B"/>
    <w:rsid w:val="00C415C1"/>
    <w:rsid w:val="00C46FF2"/>
    <w:rsid w:val="00C47DBF"/>
    <w:rsid w:val="00C525C4"/>
    <w:rsid w:val="00C552FF"/>
    <w:rsid w:val="00C558DA"/>
    <w:rsid w:val="00C55AF3"/>
    <w:rsid w:val="00C63014"/>
    <w:rsid w:val="00C664AA"/>
    <w:rsid w:val="00C70447"/>
    <w:rsid w:val="00C74DDF"/>
    <w:rsid w:val="00C83D89"/>
    <w:rsid w:val="00C84759"/>
    <w:rsid w:val="00C903BE"/>
    <w:rsid w:val="00CA13FF"/>
    <w:rsid w:val="00CA6C7F"/>
    <w:rsid w:val="00CA79BB"/>
    <w:rsid w:val="00CB39F8"/>
    <w:rsid w:val="00CB518C"/>
    <w:rsid w:val="00CC03CF"/>
    <w:rsid w:val="00CC10A6"/>
    <w:rsid w:val="00CC4EA5"/>
    <w:rsid w:val="00CC51DF"/>
    <w:rsid w:val="00CD1C12"/>
    <w:rsid w:val="00CD2911"/>
    <w:rsid w:val="00CD5A95"/>
    <w:rsid w:val="00CD5EB8"/>
    <w:rsid w:val="00CD7044"/>
    <w:rsid w:val="00CE08B9"/>
    <w:rsid w:val="00CE524C"/>
    <w:rsid w:val="00CE7C59"/>
    <w:rsid w:val="00CF0669"/>
    <w:rsid w:val="00CF141F"/>
    <w:rsid w:val="00CF4777"/>
    <w:rsid w:val="00CF6CEA"/>
    <w:rsid w:val="00D03E04"/>
    <w:rsid w:val="00D067BB"/>
    <w:rsid w:val="00D1352A"/>
    <w:rsid w:val="00D169AF"/>
    <w:rsid w:val="00D25249"/>
    <w:rsid w:val="00D321C6"/>
    <w:rsid w:val="00D36256"/>
    <w:rsid w:val="00D44172"/>
    <w:rsid w:val="00D544C9"/>
    <w:rsid w:val="00D5475A"/>
    <w:rsid w:val="00D54FCC"/>
    <w:rsid w:val="00D55581"/>
    <w:rsid w:val="00D60D3F"/>
    <w:rsid w:val="00D63B8C"/>
    <w:rsid w:val="00D63F28"/>
    <w:rsid w:val="00D65E67"/>
    <w:rsid w:val="00D7205F"/>
    <w:rsid w:val="00D739CC"/>
    <w:rsid w:val="00D746E9"/>
    <w:rsid w:val="00D8093D"/>
    <w:rsid w:val="00D8108C"/>
    <w:rsid w:val="00D8424E"/>
    <w:rsid w:val="00D842AE"/>
    <w:rsid w:val="00D9211C"/>
    <w:rsid w:val="00D92DE0"/>
    <w:rsid w:val="00D92FEF"/>
    <w:rsid w:val="00D93A0F"/>
    <w:rsid w:val="00D97BBB"/>
    <w:rsid w:val="00DA1BCA"/>
    <w:rsid w:val="00DA44C3"/>
    <w:rsid w:val="00DA52A9"/>
    <w:rsid w:val="00DC3D67"/>
    <w:rsid w:val="00DC468F"/>
    <w:rsid w:val="00DC46FF"/>
    <w:rsid w:val="00DC5254"/>
    <w:rsid w:val="00DD1A4F"/>
    <w:rsid w:val="00DD3107"/>
    <w:rsid w:val="00DD76CF"/>
    <w:rsid w:val="00DD7C2C"/>
    <w:rsid w:val="00DE3A45"/>
    <w:rsid w:val="00DE4531"/>
    <w:rsid w:val="00DE5CB1"/>
    <w:rsid w:val="00DF0A04"/>
    <w:rsid w:val="00DF1472"/>
    <w:rsid w:val="00DF58F4"/>
    <w:rsid w:val="00DF6E4B"/>
    <w:rsid w:val="00E06797"/>
    <w:rsid w:val="00E07C4B"/>
    <w:rsid w:val="00E07D43"/>
    <w:rsid w:val="00E1109D"/>
    <w:rsid w:val="00E1265B"/>
    <w:rsid w:val="00E13B48"/>
    <w:rsid w:val="00E1404F"/>
    <w:rsid w:val="00E21C83"/>
    <w:rsid w:val="00E2411E"/>
    <w:rsid w:val="00E243D1"/>
    <w:rsid w:val="00E24ADA"/>
    <w:rsid w:val="00E2683B"/>
    <w:rsid w:val="00E32F59"/>
    <w:rsid w:val="00E46D9A"/>
    <w:rsid w:val="00E538C2"/>
    <w:rsid w:val="00E5585D"/>
    <w:rsid w:val="00E565FF"/>
    <w:rsid w:val="00E65388"/>
    <w:rsid w:val="00E71085"/>
    <w:rsid w:val="00E738BD"/>
    <w:rsid w:val="00E749EA"/>
    <w:rsid w:val="00E834E6"/>
    <w:rsid w:val="00E84C32"/>
    <w:rsid w:val="00E85B7D"/>
    <w:rsid w:val="00E87162"/>
    <w:rsid w:val="00E9121B"/>
    <w:rsid w:val="00E93A82"/>
    <w:rsid w:val="00EA0AE2"/>
    <w:rsid w:val="00EA39E5"/>
    <w:rsid w:val="00EB3100"/>
    <w:rsid w:val="00EB57B2"/>
    <w:rsid w:val="00EB7379"/>
    <w:rsid w:val="00EC1536"/>
    <w:rsid w:val="00EC57A0"/>
    <w:rsid w:val="00EC5A46"/>
    <w:rsid w:val="00EC5CEA"/>
    <w:rsid w:val="00EC63E2"/>
    <w:rsid w:val="00ED03E0"/>
    <w:rsid w:val="00ED68AA"/>
    <w:rsid w:val="00EE1C1A"/>
    <w:rsid w:val="00EE67D1"/>
    <w:rsid w:val="00EF22B3"/>
    <w:rsid w:val="00EF539C"/>
    <w:rsid w:val="00F0181D"/>
    <w:rsid w:val="00F03B69"/>
    <w:rsid w:val="00F07A50"/>
    <w:rsid w:val="00F113DA"/>
    <w:rsid w:val="00F26E01"/>
    <w:rsid w:val="00F36D1D"/>
    <w:rsid w:val="00F37DC8"/>
    <w:rsid w:val="00F439B3"/>
    <w:rsid w:val="00F56E87"/>
    <w:rsid w:val="00F611EC"/>
    <w:rsid w:val="00F650C3"/>
    <w:rsid w:val="00F65AB0"/>
    <w:rsid w:val="00F65D85"/>
    <w:rsid w:val="00F7021C"/>
    <w:rsid w:val="00F735BF"/>
    <w:rsid w:val="00F76E5F"/>
    <w:rsid w:val="00F8091E"/>
    <w:rsid w:val="00F820B5"/>
    <w:rsid w:val="00F83B6F"/>
    <w:rsid w:val="00F8615C"/>
    <w:rsid w:val="00F969E5"/>
    <w:rsid w:val="00FA04DB"/>
    <w:rsid w:val="00FA05B9"/>
    <w:rsid w:val="00FA0727"/>
    <w:rsid w:val="00FA1AD9"/>
    <w:rsid w:val="00FA6BB0"/>
    <w:rsid w:val="00FB41A4"/>
    <w:rsid w:val="00FC27C4"/>
    <w:rsid w:val="00FC4809"/>
    <w:rsid w:val="00FD3F9A"/>
    <w:rsid w:val="00FD5860"/>
    <w:rsid w:val="00FE352D"/>
    <w:rsid w:val="00FE40EB"/>
    <w:rsid w:val="00FE4D02"/>
    <w:rsid w:val="00FE7D62"/>
    <w:rsid w:val="00FF1DA5"/>
    <w:rsid w:val="00FF3819"/>
    <w:rsid w:val="00FF38B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9C6CB6"/>
  <w15:docId w15:val="{068FF269-7FCA-4C4D-BE2A-DCB1828C5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F2079"/>
    <w:pPr>
      <w:tabs>
        <w:tab w:val="left" w:pos="1247"/>
        <w:tab w:val="left" w:pos="1814"/>
        <w:tab w:val="left" w:pos="2381"/>
        <w:tab w:val="left" w:pos="2948"/>
        <w:tab w:val="left" w:pos="3515"/>
      </w:tabs>
    </w:pPr>
  </w:style>
  <w:style w:type="paragraph" w:styleId="Heading1">
    <w:name w:val="heading 1"/>
    <w:basedOn w:val="Normal"/>
    <w:next w:val="Normal"/>
    <w:link w:val="Heading1Char"/>
    <w:qFormat/>
    <w:rsid w:val="003F2079"/>
    <w:pPr>
      <w:keepNext/>
      <w:spacing w:before="240" w:after="120"/>
      <w:ind w:left="1247" w:hanging="680"/>
      <w:outlineLvl w:val="0"/>
    </w:pPr>
    <w:rPr>
      <w:b/>
      <w:sz w:val="28"/>
    </w:rPr>
  </w:style>
  <w:style w:type="paragraph" w:styleId="Heading2">
    <w:name w:val="heading 2"/>
    <w:basedOn w:val="Normal"/>
    <w:next w:val="Normal"/>
    <w:link w:val="Heading2Char"/>
    <w:qFormat/>
    <w:rsid w:val="003F2079"/>
    <w:pPr>
      <w:keepNext/>
      <w:spacing w:before="240" w:after="120"/>
      <w:ind w:left="1247" w:hanging="680"/>
      <w:outlineLvl w:val="1"/>
    </w:pPr>
    <w:rPr>
      <w:b/>
      <w:sz w:val="24"/>
      <w:szCs w:val="24"/>
    </w:rPr>
  </w:style>
  <w:style w:type="paragraph" w:styleId="Heading3">
    <w:name w:val="heading 3"/>
    <w:basedOn w:val="Normal"/>
    <w:next w:val="Normal"/>
    <w:link w:val="Heading3Char"/>
    <w:qFormat/>
    <w:rsid w:val="003F2079"/>
    <w:pPr>
      <w:spacing w:after="120"/>
      <w:ind w:left="1247" w:hanging="680"/>
      <w:outlineLvl w:val="2"/>
    </w:pPr>
    <w:rPr>
      <w:b/>
    </w:rPr>
  </w:style>
  <w:style w:type="paragraph" w:styleId="Heading4">
    <w:name w:val="heading 4"/>
    <w:basedOn w:val="Heading3"/>
    <w:next w:val="Normal"/>
    <w:link w:val="Heading4Char"/>
    <w:qFormat/>
    <w:rsid w:val="003F2079"/>
    <w:pPr>
      <w:keepNext/>
      <w:outlineLvl w:val="3"/>
    </w:pPr>
  </w:style>
  <w:style w:type="paragraph" w:styleId="Heading5">
    <w:name w:val="heading 5"/>
    <w:basedOn w:val="Normal"/>
    <w:next w:val="Normal"/>
    <w:link w:val="Heading5Char"/>
    <w:qFormat/>
    <w:rsid w:val="003F2079"/>
    <w:pPr>
      <w:keepNext/>
      <w:outlineLvl w:val="4"/>
    </w:pPr>
    <w:rPr>
      <w:rFonts w:ascii="Univers" w:hAnsi="Univers"/>
      <w:b/>
      <w:sz w:val="24"/>
    </w:rPr>
  </w:style>
  <w:style w:type="paragraph" w:styleId="Heading6">
    <w:name w:val="heading 6"/>
    <w:basedOn w:val="Normal"/>
    <w:next w:val="Normal"/>
    <w:link w:val="Heading6Char"/>
    <w:qFormat/>
    <w:rsid w:val="003F2079"/>
    <w:pPr>
      <w:keepNext/>
      <w:ind w:left="578"/>
      <w:outlineLvl w:val="5"/>
    </w:pPr>
    <w:rPr>
      <w:b/>
      <w:bCs/>
      <w:sz w:val="24"/>
    </w:rPr>
  </w:style>
  <w:style w:type="paragraph" w:styleId="Heading7">
    <w:name w:val="heading 7"/>
    <w:basedOn w:val="Normal"/>
    <w:next w:val="Normal"/>
    <w:link w:val="Heading7Char"/>
    <w:qFormat/>
    <w:rsid w:val="003F2079"/>
    <w:pPr>
      <w:keepNext/>
      <w:widowControl w:val="0"/>
      <w:jc w:val="center"/>
      <w:outlineLvl w:val="6"/>
    </w:pPr>
    <w:rPr>
      <w:snapToGrid w:val="0"/>
      <w:u w:val="single"/>
    </w:rPr>
  </w:style>
  <w:style w:type="paragraph" w:styleId="Heading8">
    <w:name w:val="heading 8"/>
    <w:basedOn w:val="Normal"/>
    <w:next w:val="Normal"/>
    <w:link w:val="Heading8Char"/>
    <w:qFormat/>
    <w:rsid w:val="003F2079"/>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qFormat/>
    <w:rsid w:val="003F2079"/>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3F2079"/>
    <w:rPr>
      <w:rFonts w:ascii="Times New Roman" w:hAnsi="Times New Roman"/>
      <w:b/>
      <w:sz w:val="18"/>
    </w:rPr>
  </w:style>
  <w:style w:type="table" w:customStyle="1" w:styleId="Tabledocright">
    <w:name w:val="Table_doc_right"/>
    <w:basedOn w:val="TableNormal"/>
    <w:rsid w:val="003F2079"/>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3F2079"/>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3F2079"/>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3F2079"/>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3F2079"/>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F2079"/>
    <w:rPr>
      <w:bCs w:val="0"/>
    </w:rPr>
  </w:style>
  <w:style w:type="paragraph" w:styleId="TableofFigures">
    <w:name w:val="table of figures"/>
    <w:basedOn w:val="Normal"/>
    <w:next w:val="Normal"/>
    <w:autoRedefine/>
    <w:semiHidden/>
    <w:rsid w:val="003F2079"/>
    <w:pPr>
      <w:tabs>
        <w:tab w:val="clear" w:pos="1814"/>
        <w:tab w:val="clear" w:pos="2381"/>
        <w:tab w:val="clear" w:pos="2948"/>
        <w:tab w:val="clear" w:pos="3515"/>
      </w:tabs>
      <w:ind w:left="1814" w:hanging="567"/>
    </w:pPr>
  </w:style>
  <w:style w:type="paragraph" w:customStyle="1" w:styleId="CH1">
    <w:name w:val="CH1"/>
    <w:basedOn w:val="Normalpool"/>
    <w:next w:val="Normal"/>
    <w:rsid w:val="003F2079"/>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
    <w:rsid w:val="00BA0C8B"/>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
    <w:rsid w:val="007D3B04"/>
    <w:pPr>
      <w:keepNext/>
      <w:keepLines/>
      <w:tabs>
        <w:tab w:val="right" w:pos="851"/>
      </w:tabs>
      <w:suppressAutoHyphens/>
      <w:spacing w:before="240" w:after="120"/>
      <w:ind w:left="1247" w:right="284" w:hanging="1247"/>
    </w:pPr>
    <w:rPr>
      <w:b/>
    </w:rPr>
  </w:style>
  <w:style w:type="paragraph" w:customStyle="1" w:styleId="CH4">
    <w:name w:val="CH4"/>
    <w:basedOn w:val="Normalpool"/>
    <w:next w:val="Normal"/>
    <w:rsid w:val="003F2079"/>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F2079"/>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
    <w:rsid w:val="003F2079"/>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F2079"/>
    <w:pPr>
      <w:tabs>
        <w:tab w:val="left" w:pos="4321"/>
        <w:tab w:val="right" w:pos="8641"/>
      </w:tabs>
      <w:spacing w:before="60" w:after="120"/>
    </w:pPr>
    <w:rPr>
      <w:b/>
      <w:sz w:val="18"/>
    </w:rPr>
  </w:style>
  <w:style w:type="paragraph" w:customStyle="1" w:styleId="Headerpool">
    <w:name w:val="Header_pool"/>
    <w:basedOn w:val="Normal"/>
    <w:next w:val="Normal"/>
    <w:semiHidden/>
    <w:rsid w:val="003F2079"/>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semiHidden/>
    <w:rsid w:val="003F2079"/>
    <w:pPr>
      <w:tabs>
        <w:tab w:val="left" w:pos="1247"/>
        <w:tab w:val="left" w:pos="1814"/>
        <w:tab w:val="left" w:pos="2381"/>
        <w:tab w:val="left" w:pos="2948"/>
        <w:tab w:val="left" w:pos="3515"/>
        <w:tab w:val="left" w:pos="4082"/>
      </w:tabs>
    </w:pPr>
    <w:rPr>
      <w:lang w:val="fr-CA"/>
    </w:rPr>
  </w:style>
  <w:style w:type="paragraph" w:customStyle="1" w:styleId="Footer-pool">
    <w:name w:val="Footer-pool"/>
    <w:basedOn w:val="Normal-pool"/>
    <w:next w:val="Normal-pool"/>
    <w:rsid w:val="003F2079"/>
    <w:pPr>
      <w:tabs>
        <w:tab w:val="left" w:pos="4321"/>
        <w:tab w:val="right" w:pos="8641"/>
      </w:tabs>
      <w:spacing w:before="60" w:after="120"/>
    </w:pPr>
    <w:rPr>
      <w:b/>
      <w:sz w:val="18"/>
    </w:rPr>
  </w:style>
  <w:style w:type="paragraph" w:customStyle="1" w:styleId="Header-pool">
    <w:name w:val="Header-pool"/>
    <w:basedOn w:val="Normal-pool"/>
    <w:next w:val="Normal-pool"/>
    <w:rsid w:val="003F2079"/>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1"/>
    <w:rsid w:val="003F2079"/>
    <w:pPr>
      <w:tabs>
        <w:tab w:val="left" w:pos="1247"/>
        <w:tab w:val="left" w:pos="1814"/>
        <w:tab w:val="left" w:pos="2381"/>
        <w:tab w:val="left" w:pos="2948"/>
        <w:tab w:val="left" w:pos="3515"/>
        <w:tab w:val="left" w:pos="4082"/>
      </w:tabs>
    </w:pPr>
  </w:style>
  <w:style w:type="paragraph" w:styleId="FootnoteText">
    <w:name w:val="footnote text"/>
    <w:aliases w:val="Geneva 9,Font: Geneva 9,Boston 10,f,DNV-FT"/>
    <w:basedOn w:val="Normalpool"/>
    <w:link w:val="FootnoteTextChar"/>
    <w:rsid w:val="003F2079"/>
    <w:pPr>
      <w:spacing w:before="20" w:after="40"/>
      <w:ind w:left="1247"/>
    </w:pPr>
    <w:rPr>
      <w:sz w:val="18"/>
    </w:rPr>
  </w:style>
  <w:style w:type="character" w:customStyle="1" w:styleId="FootnoteTextChar">
    <w:name w:val="Footnote Text Char"/>
    <w:aliases w:val="Geneva 9 Char,Font: Geneva 9 Char,Boston 10 Char,f Char,DNV-FT Char"/>
    <w:basedOn w:val="DefaultParagraphFont"/>
    <w:link w:val="FootnoteText"/>
    <w:rsid w:val="003F2079"/>
    <w:rPr>
      <w:sz w:val="18"/>
      <w:lang w:val="fr-CA"/>
    </w:rPr>
  </w:style>
  <w:style w:type="paragraph" w:styleId="ListParagraph">
    <w:name w:val="List Paragraph"/>
    <w:basedOn w:val="Normal"/>
    <w:uiPriority w:val="34"/>
    <w:qFormat/>
    <w:rsid w:val="00091FA7"/>
    <w:pPr>
      <w:pBdr>
        <w:top w:val="nil"/>
        <w:left w:val="nil"/>
        <w:bottom w:val="nil"/>
        <w:right w:val="nil"/>
        <w:between w:val="nil"/>
        <w:bar w:val="nil"/>
      </w:pBdr>
      <w:ind w:left="720"/>
      <w:contextualSpacing/>
    </w:pPr>
    <w:rPr>
      <w:rFonts w:eastAsia="Arial Unicode MS"/>
      <w:sz w:val="24"/>
      <w:szCs w:val="24"/>
      <w:bdr w:val="nil"/>
    </w:rPr>
  </w:style>
  <w:style w:type="table" w:styleId="TableGrid">
    <w:name w:val="Table Grid"/>
    <w:basedOn w:val="TableNormal"/>
    <w:uiPriority w:val="59"/>
    <w:rsid w:val="00091FA7"/>
    <w:rPr>
      <w:rFonts w:ascii="Century" w:eastAsia="MS Mincho" w:hAnsi="Century"/>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numberChar">
    <w:name w:val="Normal_number Char"/>
    <w:link w:val="Normalnumber"/>
    <w:rsid w:val="00091FA7"/>
    <w:rPr>
      <w:lang w:val="fr-CA"/>
    </w:rPr>
  </w:style>
  <w:style w:type="character" w:customStyle="1" w:styleId="Normal-poolChar1">
    <w:name w:val="Normal-pool Char1"/>
    <w:link w:val="Normal-pool"/>
    <w:locked/>
    <w:rsid w:val="0048610B"/>
  </w:style>
  <w:style w:type="table" w:customStyle="1" w:styleId="AATable">
    <w:name w:val="AA_Table"/>
    <w:basedOn w:val="TableNormal"/>
    <w:semiHidden/>
    <w:rsid w:val="003F2079"/>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3F2079"/>
    <w:pPr>
      <w:keepNext/>
      <w:keepLines/>
      <w:suppressAutoHyphens/>
    </w:pPr>
    <w:rPr>
      <w:b/>
    </w:rPr>
  </w:style>
  <w:style w:type="paragraph" w:customStyle="1" w:styleId="AATitle2">
    <w:name w:val="AA_Title2"/>
    <w:basedOn w:val="AATitle"/>
    <w:rsid w:val="003F2079"/>
    <w:pPr>
      <w:tabs>
        <w:tab w:val="clear" w:pos="4082"/>
      </w:tabs>
      <w:spacing w:before="120" w:after="120"/>
    </w:pPr>
  </w:style>
  <w:style w:type="paragraph" w:customStyle="1" w:styleId="BBTitle">
    <w:name w:val="BB_Title"/>
    <w:basedOn w:val="Normalpool"/>
    <w:rsid w:val="003F2079"/>
    <w:pPr>
      <w:keepNext/>
      <w:keepLines/>
      <w:suppressAutoHyphens/>
      <w:spacing w:before="320" w:after="240"/>
      <w:ind w:left="1247" w:right="567"/>
    </w:pPr>
    <w:rPr>
      <w:b/>
      <w:sz w:val="28"/>
      <w:szCs w:val="28"/>
    </w:rPr>
  </w:style>
  <w:style w:type="paragraph" w:styleId="Footer">
    <w:name w:val="footer"/>
    <w:basedOn w:val="Normal"/>
    <w:link w:val="FooterChar"/>
    <w:uiPriority w:val="99"/>
    <w:rsid w:val="003F2079"/>
    <w:pPr>
      <w:tabs>
        <w:tab w:val="center" w:pos="4320"/>
        <w:tab w:val="right" w:pos="8640"/>
      </w:tabs>
      <w:spacing w:before="60" w:after="120"/>
    </w:pPr>
    <w:rPr>
      <w:sz w:val="18"/>
    </w:rPr>
  </w:style>
  <w:style w:type="paragraph" w:styleId="Header">
    <w:name w:val="header"/>
    <w:basedOn w:val="Normal"/>
    <w:link w:val="HeaderChar"/>
    <w:semiHidden/>
    <w:rsid w:val="003F2079"/>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3F2079"/>
    <w:rPr>
      <w:rFonts w:ascii="Times New Roman" w:hAnsi="Times New Roman"/>
      <w:color w:val="auto"/>
      <w:sz w:val="20"/>
      <w:szCs w:val="20"/>
      <w:u w:val="none"/>
      <w:lang w:val="fr-FR"/>
    </w:rPr>
  </w:style>
  <w:style w:type="numbering" w:customStyle="1" w:styleId="Normallist">
    <w:name w:val="Normal_list"/>
    <w:basedOn w:val="NoList"/>
    <w:semiHidden/>
    <w:rsid w:val="003F2079"/>
    <w:pPr>
      <w:numPr>
        <w:numId w:val="1"/>
      </w:numPr>
    </w:pPr>
  </w:style>
  <w:style w:type="paragraph" w:customStyle="1" w:styleId="NormalNonumber">
    <w:name w:val="Normal_No_number"/>
    <w:basedOn w:val="Normalpool"/>
    <w:rsid w:val="003F2079"/>
    <w:pPr>
      <w:spacing w:after="120"/>
      <w:ind w:left="1247"/>
    </w:pPr>
  </w:style>
  <w:style w:type="paragraph" w:customStyle="1" w:styleId="Normalnumber">
    <w:name w:val="Normal_number"/>
    <w:basedOn w:val="Normalpool"/>
    <w:link w:val="NormalnumberChar"/>
    <w:rsid w:val="003F2079"/>
    <w:pPr>
      <w:tabs>
        <w:tab w:val="clear" w:pos="1247"/>
      </w:tabs>
      <w:spacing w:after="120"/>
    </w:pPr>
  </w:style>
  <w:style w:type="paragraph" w:customStyle="1" w:styleId="Titletable">
    <w:name w:val="Title_table"/>
    <w:basedOn w:val="Normalpool"/>
    <w:rsid w:val="003F2079"/>
    <w:pPr>
      <w:keepNext/>
      <w:keepLines/>
      <w:suppressAutoHyphens/>
      <w:spacing w:after="60"/>
      <w:ind w:left="1247"/>
    </w:pPr>
    <w:rPr>
      <w:b/>
      <w:bCs/>
    </w:rPr>
  </w:style>
  <w:style w:type="paragraph" w:styleId="TOC1">
    <w:name w:val="toc 1"/>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spacing w:before="240"/>
      <w:ind w:left="1247"/>
    </w:pPr>
    <w:rPr>
      <w:bCs/>
    </w:rPr>
  </w:style>
  <w:style w:type="paragraph" w:styleId="TOC2">
    <w:name w:val="toc 2"/>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ind w:left="1814"/>
    </w:pPr>
  </w:style>
  <w:style w:type="paragraph" w:styleId="TOC3">
    <w:name w:val="toc 3"/>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ind w:left="2381"/>
    </w:pPr>
    <w:rPr>
      <w:iCs/>
    </w:rPr>
  </w:style>
  <w:style w:type="paragraph" w:styleId="TOC4">
    <w:name w:val="toc 4"/>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ind w:left="2948"/>
    </w:pPr>
    <w:rPr>
      <w:szCs w:val="18"/>
    </w:rPr>
  </w:style>
  <w:style w:type="paragraph" w:styleId="TOC5">
    <w:name w:val="toc 5"/>
    <w:basedOn w:val="Normal"/>
    <w:next w:val="Normal"/>
    <w:autoRedefine/>
    <w:uiPriority w:val="39"/>
    <w:semiHidden/>
    <w:rsid w:val="003F2079"/>
    <w:pPr>
      <w:tabs>
        <w:tab w:val="clear" w:pos="1814"/>
        <w:tab w:val="clear" w:pos="2381"/>
        <w:tab w:val="clear" w:pos="2948"/>
        <w:tab w:val="clear" w:pos="3515"/>
      </w:tabs>
      <w:ind w:left="799"/>
    </w:pPr>
    <w:rPr>
      <w:sz w:val="18"/>
      <w:szCs w:val="18"/>
    </w:rPr>
  </w:style>
  <w:style w:type="paragraph" w:customStyle="1" w:styleId="ZZAnxheader">
    <w:name w:val="ZZ_Anx_header"/>
    <w:basedOn w:val="Normalpool"/>
    <w:rsid w:val="003F2079"/>
    <w:rPr>
      <w:b/>
      <w:bCs/>
      <w:sz w:val="28"/>
      <w:szCs w:val="22"/>
    </w:rPr>
  </w:style>
  <w:style w:type="paragraph" w:customStyle="1" w:styleId="ZZAnxtitle">
    <w:name w:val="ZZ_Anx_title"/>
    <w:basedOn w:val="Normalpool"/>
    <w:rsid w:val="003F2079"/>
    <w:pPr>
      <w:spacing w:before="360" w:after="120"/>
      <w:ind w:left="1247"/>
    </w:pPr>
    <w:rPr>
      <w:b/>
      <w:bCs/>
      <w:sz w:val="28"/>
      <w:szCs w:val="26"/>
    </w:rPr>
  </w:style>
  <w:style w:type="paragraph" w:styleId="BalloonText">
    <w:name w:val="Balloon Text"/>
    <w:basedOn w:val="Normal"/>
    <w:link w:val="BalloonTextChar"/>
    <w:rsid w:val="001A54A9"/>
    <w:rPr>
      <w:rFonts w:ascii="Tahoma" w:hAnsi="Tahoma" w:cs="Tahoma"/>
      <w:sz w:val="16"/>
      <w:szCs w:val="16"/>
    </w:rPr>
  </w:style>
  <w:style w:type="character" w:customStyle="1" w:styleId="BalloonTextChar">
    <w:name w:val="Balloon Text Char"/>
    <w:basedOn w:val="DefaultParagraphFont"/>
    <w:link w:val="BalloonText"/>
    <w:rsid w:val="001A54A9"/>
    <w:rPr>
      <w:rFonts w:ascii="Tahoma" w:eastAsia="Calibri" w:hAnsi="Tahoma" w:cs="Tahoma"/>
      <w:sz w:val="16"/>
      <w:szCs w:val="16"/>
    </w:rPr>
  </w:style>
  <w:style w:type="character" w:styleId="CommentReference">
    <w:name w:val="annotation reference"/>
    <w:basedOn w:val="DefaultParagraphFont"/>
    <w:rsid w:val="002B675B"/>
    <w:rPr>
      <w:sz w:val="16"/>
      <w:szCs w:val="16"/>
    </w:rPr>
  </w:style>
  <w:style w:type="paragraph" w:styleId="CommentText">
    <w:name w:val="annotation text"/>
    <w:basedOn w:val="Normal"/>
    <w:link w:val="CommentTextChar"/>
    <w:rsid w:val="002B675B"/>
  </w:style>
  <w:style w:type="character" w:customStyle="1" w:styleId="CommentTextChar">
    <w:name w:val="Comment Text Char"/>
    <w:basedOn w:val="DefaultParagraphFont"/>
    <w:link w:val="CommentText"/>
    <w:rsid w:val="002B675B"/>
    <w:rPr>
      <w:rFonts w:ascii="Calibri" w:eastAsia="Calibri" w:hAnsi="Calibri"/>
    </w:rPr>
  </w:style>
  <w:style w:type="paragraph" w:styleId="CommentSubject">
    <w:name w:val="annotation subject"/>
    <w:basedOn w:val="CommentText"/>
    <w:next w:val="CommentText"/>
    <w:link w:val="CommentSubjectChar"/>
    <w:rsid w:val="002B675B"/>
    <w:rPr>
      <w:b/>
      <w:bCs/>
    </w:rPr>
  </w:style>
  <w:style w:type="character" w:customStyle="1" w:styleId="CommentSubjectChar">
    <w:name w:val="Comment Subject Char"/>
    <w:basedOn w:val="CommentTextChar"/>
    <w:link w:val="CommentSubject"/>
    <w:rsid w:val="002B675B"/>
    <w:rPr>
      <w:rFonts w:ascii="Calibri" w:eastAsia="Calibri" w:hAnsi="Calibri"/>
      <w:b/>
      <w:bCs/>
    </w:rPr>
  </w:style>
  <w:style w:type="character" w:styleId="Emphasis">
    <w:name w:val="Emphasis"/>
    <w:basedOn w:val="DefaultParagraphFont"/>
    <w:qFormat/>
    <w:rsid w:val="00EE67D1"/>
    <w:rPr>
      <w:i/>
      <w:iCs/>
    </w:rPr>
  </w:style>
  <w:style w:type="paragraph" w:styleId="BodyText">
    <w:name w:val="Body Text"/>
    <w:basedOn w:val="Normal"/>
    <w:link w:val="BodyTextChar"/>
    <w:uiPriority w:val="1"/>
    <w:qFormat/>
    <w:rsid w:val="00BE18CD"/>
    <w:pPr>
      <w:widowControl w:val="0"/>
      <w:autoSpaceDE w:val="0"/>
      <w:autoSpaceDN w:val="0"/>
    </w:pPr>
    <w:rPr>
      <w:lang w:val="en-GB" w:eastAsia="en-GB" w:bidi="en-GB"/>
    </w:rPr>
  </w:style>
  <w:style w:type="character" w:customStyle="1" w:styleId="BodyTextChar">
    <w:name w:val="Body Text Char"/>
    <w:basedOn w:val="DefaultParagraphFont"/>
    <w:link w:val="BodyText"/>
    <w:uiPriority w:val="1"/>
    <w:rsid w:val="00BE18CD"/>
    <w:rPr>
      <w:lang w:val="en-GB" w:eastAsia="en-GB" w:bidi="en-GB"/>
    </w:rPr>
  </w:style>
  <w:style w:type="character" w:customStyle="1" w:styleId="FooterChar">
    <w:name w:val="Footer Char"/>
    <w:basedOn w:val="DefaultParagraphFont"/>
    <w:link w:val="Footer"/>
    <w:uiPriority w:val="99"/>
    <w:rsid w:val="003F2079"/>
    <w:rPr>
      <w:sz w:val="18"/>
    </w:rPr>
  </w:style>
  <w:style w:type="character" w:customStyle="1" w:styleId="HeaderChar">
    <w:name w:val="Header Char"/>
    <w:basedOn w:val="DefaultParagraphFont"/>
    <w:link w:val="Header"/>
    <w:semiHidden/>
    <w:rsid w:val="003F2079"/>
    <w:rPr>
      <w:b/>
      <w:sz w:val="18"/>
    </w:rPr>
  </w:style>
  <w:style w:type="character" w:customStyle="1" w:styleId="Heading1Char">
    <w:name w:val="Heading 1 Char"/>
    <w:basedOn w:val="DefaultParagraphFont"/>
    <w:link w:val="Heading1"/>
    <w:rsid w:val="003F2079"/>
    <w:rPr>
      <w:b/>
      <w:sz w:val="28"/>
    </w:rPr>
  </w:style>
  <w:style w:type="character" w:customStyle="1" w:styleId="Heading2Char">
    <w:name w:val="Heading 2 Char"/>
    <w:basedOn w:val="DefaultParagraphFont"/>
    <w:link w:val="Heading2"/>
    <w:rsid w:val="003F2079"/>
    <w:rPr>
      <w:b/>
      <w:sz w:val="24"/>
      <w:szCs w:val="24"/>
    </w:rPr>
  </w:style>
  <w:style w:type="character" w:customStyle="1" w:styleId="Heading3Char">
    <w:name w:val="Heading 3 Char"/>
    <w:basedOn w:val="DefaultParagraphFont"/>
    <w:link w:val="Heading3"/>
    <w:rsid w:val="003F2079"/>
    <w:rPr>
      <w:b/>
    </w:rPr>
  </w:style>
  <w:style w:type="character" w:customStyle="1" w:styleId="Heading4Char">
    <w:name w:val="Heading 4 Char"/>
    <w:basedOn w:val="DefaultParagraphFont"/>
    <w:link w:val="Heading4"/>
    <w:rsid w:val="003F2079"/>
    <w:rPr>
      <w:b/>
    </w:rPr>
  </w:style>
  <w:style w:type="character" w:customStyle="1" w:styleId="Heading5Char">
    <w:name w:val="Heading 5 Char"/>
    <w:basedOn w:val="DefaultParagraphFont"/>
    <w:link w:val="Heading5"/>
    <w:rsid w:val="003F2079"/>
    <w:rPr>
      <w:rFonts w:ascii="Univers" w:hAnsi="Univers"/>
      <w:b/>
      <w:sz w:val="24"/>
    </w:rPr>
  </w:style>
  <w:style w:type="character" w:customStyle="1" w:styleId="Heading6Char">
    <w:name w:val="Heading 6 Char"/>
    <w:basedOn w:val="DefaultParagraphFont"/>
    <w:link w:val="Heading6"/>
    <w:rsid w:val="003F2079"/>
    <w:rPr>
      <w:b/>
      <w:bCs/>
      <w:sz w:val="24"/>
    </w:rPr>
  </w:style>
  <w:style w:type="character" w:customStyle="1" w:styleId="Heading7Char">
    <w:name w:val="Heading 7 Char"/>
    <w:basedOn w:val="DefaultParagraphFont"/>
    <w:link w:val="Heading7"/>
    <w:rsid w:val="003F2079"/>
    <w:rPr>
      <w:snapToGrid w:val="0"/>
      <w:u w:val="single"/>
    </w:rPr>
  </w:style>
  <w:style w:type="character" w:customStyle="1" w:styleId="Heading8Char">
    <w:name w:val="Heading 8 Char"/>
    <w:basedOn w:val="DefaultParagraphFont"/>
    <w:link w:val="Heading8"/>
    <w:rsid w:val="003F2079"/>
    <w:rPr>
      <w:snapToGrid w:val="0"/>
      <w:u w:val="single"/>
    </w:rPr>
  </w:style>
  <w:style w:type="character" w:customStyle="1" w:styleId="Heading9Char">
    <w:name w:val="Heading 9 Char"/>
    <w:basedOn w:val="DefaultParagraphFont"/>
    <w:link w:val="Heading9"/>
    <w:rsid w:val="003F2079"/>
    <w:rPr>
      <w:snapToGrid w:val="0"/>
      <w:u w:val="single"/>
    </w:rPr>
  </w:style>
  <w:style w:type="character" w:styleId="Strong">
    <w:name w:val="Strong"/>
    <w:basedOn w:val="DefaultParagraphFont"/>
    <w:uiPriority w:val="22"/>
    <w:qFormat/>
    <w:rsid w:val="00CF6CEA"/>
    <w:rPr>
      <w:b/>
      <w:bCs/>
    </w:rPr>
  </w:style>
  <w:style w:type="character" w:customStyle="1" w:styleId="Normal-poolChar">
    <w:name w:val="Normal-pool Char"/>
    <w:locked/>
    <w:rsid w:val="0083403A"/>
    <w:rPr>
      <w:lang w:val="en-GB"/>
    </w:rPr>
  </w:style>
  <w:style w:type="character" w:styleId="FootnoteReference">
    <w:name w:val="footnote reference"/>
    <w:rsid w:val="000B6A59"/>
    <w:rPr>
      <w:rFonts w:ascii="Times New Roman" w:hAnsi="Times New Roman"/>
      <w:color w:val="auto"/>
      <w:sz w:val="20"/>
      <w:szCs w:val="18"/>
      <w:vertAlign w:val="superscript"/>
    </w:rPr>
  </w:style>
  <w:style w:type="character" w:styleId="FollowedHyperlink">
    <w:name w:val="FollowedHyperlink"/>
    <w:basedOn w:val="DefaultParagraphFont"/>
    <w:unhideWhenUsed/>
    <w:rsid w:val="00C83D89"/>
    <w:rPr>
      <w:color w:val="000000" w:themeColor="text1"/>
      <w:sz w:val="20"/>
      <w:u w:val="none"/>
    </w:rPr>
  </w:style>
  <w:style w:type="paragraph" w:styleId="Revision">
    <w:name w:val="Revision"/>
    <w:hidden/>
    <w:uiPriority w:val="99"/>
    <w:semiHidden/>
    <w:rsid w:val="00B351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05491059">
      <w:bodyDiv w:val="1"/>
      <w:marLeft w:val="0"/>
      <w:marRight w:val="0"/>
      <w:marTop w:val="0"/>
      <w:marBottom w:val="0"/>
      <w:divBdr>
        <w:top w:val="none" w:sz="0" w:space="0" w:color="auto"/>
        <w:left w:val="none" w:sz="0" w:space="0" w:color="auto"/>
        <w:bottom w:val="none" w:sz="0" w:space="0" w:color="auto"/>
        <w:right w:val="none" w:sz="0" w:space="0" w:color="auto"/>
      </w:divBdr>
    </w:div>
    <w:div w:id="1021510709">
      <w:bodyDiv w:val="1"/>
      <w:marLeft w:val="0"/>
      <w:marRight w:val="0"/>
      <w:marTop w:val="0"/>
      <w:marBottom w:val="0"/>
      <w:divBdr>
        <w:top w:val="none" w:sz="0" w:space="0" w:color="auto"/>
        <w:left w:val="none" w:sz="0" w:space="0" w:color="auto"/>
        <w:bottom w:val="none" w:sz="0" w:space="0" w:color="auto"/>
        <w:right w:val="none" w:sz="0" w:space="0" w:color="auto"/>
      </w:divBdr>
    </w:div>
    <w:div w:id="1094396083">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a591afa8-fd54-42f1-9ea9-749d51e1c00b">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8527E0A0837F64083645E115EB57567" ma:contentTypeVersion="12" ma:contentTypeDescription="Create a new document." ma:contentTypeScope="" ma:versionID="af15abcd28502138ec9db060e2e0082a">
  <xsd:schema xmlns:xsd="http://www.w3.org/2001/XMLSchema" xmlns:xs="http://www.w3.org/2001/XMLSchema" xmlns:p="http://schemas.microsoft.com/office/2006/metadata/properties" xmlns:ns2="44b29a07-ae0c-4297-aad9-2f7ae2e24b8e" xmlns:ns3="a591afa8-fd54-42f1-9ea9-749d51e1c00b" targetNamespace="http://schemas.microsoft.com/office/2006/metadata/properties" ma:root="true" ma:fieldsID="2820a95b044474b4e901ae50fb64eb05" ns2:_="" ns3:_="">
    <xsd:import namespace="44b29a07-ae0c-4297-aad9-2f7ae2e24b8e"/>
    <xsd:import namespace="a591afa8-fd54-42f1-9ea9-749d51e1c00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b29a07-ae0c-4297-aad9-2f7ae2e24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91afa8-fd54-42f1-9ea9-749d51e1c00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2B1820-18D2-42C8-AAA8-35F7D17FBAFA}">
  <ds:schemaRefs>
    <ds:schemaRef ds:uri="http://schemas.openxmlformats.org/officeDocument/2006/bibliography"/>
  </ds:schemaRefs>
</ds:datastoreItem>
</file>

<file path=customXml/itemProps2.xml><?xml version="1.0" encoding="utf-8"?>
<ds:datastoreItem xmlns:ds="http://schemas.openxmlformats.org/officeDocument/2006/customXml" ds:itemID="{1F786952-7FC6-4B2D-AE07-12A860504490}">
  <ds:schemaRefs>
    <ds:schemaRef ds:uri="http://schemas.microsoft.com/sharepoint/v3/contenttype/forms"/>
  </ds:schemaRefs>
</ds:datastoreItem>
</file>

<file path=customXml/itemProps3.xml><?xml version="1.0" encoding="utf-8"?>
<ds:datastoreItem xmlns:ds="http://schemas.openxmlformats.org/officeDocument/2006/customXml" ds:itemID="{20207342-5C06-41BA-9BC1-52F98AF05A8D}">
  <ds:schemaRefs>
    <ds:schemaRef ds:uri="http://schemas.microsoft.com/office/2006/metadata/properties"/>
    <ds:schemaRef ds:uri="http://schemas.microsoft.com/office/infopath/2007/PartnerControls"/>
    <ds:schemaRef ds:uri="a591afa8-fd54-42f1-9ea9-749d51e1c00b"/>
  </ds:schemaRefs>
</ds:datastoreItem>
</file>

<file path=customXml/itemProps4.xml><?xml version="1.0" encoding="utf-8"?>
<ds:datastoreItem xmlns:ds="http://schemas.openxmlformats.org/officeDocument/2006/customXml" ds:itemID="{4F18533B-C058-44BD-94AE-172C27FED6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b29a07-ae0c-4297-aad9-2f7ae2e24b8e"/>
    <ds:schemaRef ds:uri="a591afa8-fd54-42f1-9ea9-749d51e1c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957CED7-6D0B-4F8D-B32E-83681C4C4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3120</Words>
  <Characters>17165</Characters>
  <Application>Microsoft Office Word</Application>
  <DocSecurity>0</DocSecurity>
  <Lines>143</Lines>
  <Paragraphs>40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NATIONS UNIES</vt:lpstr>
      <vt:lpstr>NATIONS UNIES</vt:lpstr>
    </vt:vector>
  </TitlesOfParts>
  <Company>unon</Company>
  <LinksUpToDate>false</LinksUpToDate>
  <CharactersWithSpaces>20245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Jimena Vallejo Montes</cp:lastModifiedBy>
  <cp:revision>2</cp:revision>
  <cp:lastPrinted>2020-12-17T19:19:00Z</cp:lastPrinted>
  <dcterms:created xsi:type="dcterms:W3CDTF">2020-12-29T14:33:00Z</dcterms:created>
  <dcterms:modified xsi:type="dcterms:W3CDTF">2020-12-29T14:33:00Z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0x010100A8527E0A0837F64083645E115EB57567</vt:lpwstr>
  </property>
  <property fmtid="{D5CDD505-2E9C-101B-9397-08002B2CF9AE}" pid="3" name="Order">
    <vt:r8>100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TranslatedWith">
    <vt:lpwstr>Mercury</vt:lpwstr>
  </property>
  <property fmtid="{D5CDD505-2E9C-101B-9397-08002B2CF9AE}" pid="9" name="GeneratedBy">
    <vt:lpwstr>coral.barrachina</vt:lpwstr>
  </property>
  <property fmtid="{D5CDD505-2E9C-101B-9397-08002B2CF9AE}" pid="10" name="GeneratedDate">
    <vt:lpwstr>12/17/2020 11:12:37</vt:lpwstr>
  </property>
  <property fmtid="{D5CDD505-2E9C-101B-9397-08002B2CF9AE}" pid="11" name="OriginalDocID">
    <vt:lpwstr>04698bef-ce9a-4c20-8238-82f369565288</vt:lpwstr>
  </property>
</Properties>
</file>