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256" w:type="pct"/>
        <w:jc w:val="right"/>
        <w:tblLayout w:type="fixed"/>
        <w:tblLook w:val="0000" w:firstRow="0" w:lastRow="0" w:firstColumn="0" w:lastColumn="0" w:noHBand="0" w:noVBand="0"/>
      </w:tblPr>
      <w:tblGrid>
        <w:gridCol w:w="1519"/>
        <w:gridCol w:w="5710"/>
        <w:gridCol w:w="2753"/>
      </w:tblGrid>
      <w:tr w:rsidR="00634106" w:rsidRPr="0039567C" w14:paraId="251DD33D" w14:textId="77777777" w:rsidTr="00330068">
        <w:trPr>
          <w:cantSplit/>
          <w:trHeight w:val="57"/>
          <w:jc w:val="right"/>
        </w:trPr>
        <w:tc>
          <w:tcPr>
            <w:tcW w:w="1519" w:type="dxa"/>
          </w:tcPr>
          <w:p w14:paraId="0718ACD3" w14:textId="23135A4F" w:rsidR="00634106" w:rsidRPr="0039567C" w:rsidRDefault="009B5A55" w:rsidP="00634106">
            <w:pPr>
              <w:tabs>
                <w:tab w:val="clear" w:pos="1814"/>
                <w:tab w:val="clear" w:pos="2381"/>
                <w:tab w:val="clear" w:pos="2948"/>
                <w:tab w:val="clear" w:pos="3515"/>
              </w:tabs>
              <w:rPr>
                <w:rFonts w:ascii="Arial" w:hAnsi="Arial" w:cs="Arial"/>
                <w:b/>
                <w:bCs/>
                <w:noProof/>
                <w:sz w:val="27"/>
                <w:szCs w:val="27"/>
                <w:lang w:val="fr-FR"/>
              </w:rPr>
            </w:pPr>
            <w:r w:rsidRPr="0039567C">
              <w:rPr>
                <w:rFonts w:ascii="Arial" w:hAnsi="Arial" w:cs="Arial"/>
                <w:b/>
                <w:bCs/>
                <w:noProof/>
                <w:sz w:val="27"/>
                <w:szCs w:val="27"/>
                <w:lang w:val="fr-FR"/>
              </w:rPr>
              <w:t>NATIONS</w:t>
            </w:r>
            <w:r w:rsidR="00634106" w:rsidRPr="0039567C">
              <w:rPr>
                <w:rFonts w:ascii="Arial" w:hAnsi="Arial" w:cs="Arial"/>
                <w:b/>
                <w:bCs/>
                <w:noProof/>
                <w:sz w:val="27"/>
                <w:szCs w:val="27"/>
                <w:lang w:val="fr-FR"/>
              </w:rPr>
              <w:t xml:space="preserve"> </w:t>
            </w:r>
            <w:r w:rsidR="00634106" w:rsidRPr="0039567C">
              <w:rPr>
                <w:rFonts w:ascii="Arial" w:hAnsi="Arial" w:cs="Arial"/>
                <w:b/>
                <w:bCs/>
                <w:noProof/>
                <w:sz w:val="27"/>
                <w:szCs w:val="27"/>
                <w:lang w:val="fr-FR"/>
              </w:rPr>
              <w:br/>
            </w:r>
            <w:r w:rsidRPr="0039567C">
              <w:rPr>
                <w:rFonts w:ascii="Arial" w:hAnsi="Arial" w:cs="Arial"/>
                <w:b/>
                <w:bCs/>
                <w:noProof/>
                <w:sz w:val="27"/>
                <w:szCs w:val="27"/>
                <w:lang w:val="fr-FR"/>
              </w:rPr>
              <w:t>UNIE</w:t>
            </w:r>
            <w:r w:rsidR="00634106" w:rsidRPr="0039567C">
              <w:rPr>
                <w:rFonts w:ascii="Arial" w:hAnsi="Arial" w:cs="Arial"/>
                <w:b/>
                <w:bCs/>
                <w:noProof/>
                <w:sz w:val="27"/>
                <w:szCs w:val="27"/>
                <w:lang w:val="fr-FR"/>
              </w:rPr>
              <w:t>S</w:t>
            </w:r>
          </w:p>
        </w:tc>
        <w:tc>
          <w:tcPr>
            <w:tcW w:w="5710" w:type="dxa"/>
          </w:tcPr>
          <w:p w14:paraId="58AACE80" w14:textId="77777777" w:rsidR="00634106" w:rsidRPr="0039567C" w:rsidRDefault="00634106" w:rsidP="00634106">
            <w:pPr>
              <w:tabs>
                <w:tab w:val="clear" w:pos="1814"/>
                <w:tab w:val="clear" w:pos="2381"/>
                <w:tab w:val="clear" w:pos="2948"/>
                <w:tab w:val="clear" w:pos="3515"/>
              </w:tabs>
              <w:rPr>
                <w:noProof/>
                <w:lang w:val="fr-FR"/>
              </w:rPr>
            </w:pPr>
          </w:p>
        </w:tc>
        <w:tc>
          <w:tcPr>
            <w:tcW w:w="2753" w:type="dxa"/>
          </w:tcPr>
          <w:p w14:paraId="2BC0F904" w14:textId="77777777" w:rsidR="00634106" w:rsidRPr="0039567C" w:rsidRDefault="00634106" w:rsidP="00634106">
            <w:pPr>
              <w:tabs>
                <w:tab w:val="clear" w:pos="1814"/>
                <w:tab w:val="clear" w:pos="2381"/>
                <w:tab w:val="clear" w:pos="2948"/>
                <w:tab w:val="clear" w:pos="3515"/>
              </w:tabs>
              <w:jc w:val="right"/>
              <w:rPr>
                <w:rFonts w:ascii="Arial" w:hAnsi="Arial" w:cs="Arial"/>
                <w:b/>
                <w:bCs/>
                <w:noProof/>
                <w:sz w:val="64"/>
                <w:szCs w:val="64"/>
                <w:lang w:val="fr-FR"/>
              </w:rPr>
            </w:pPr>
            <w:r w:rsidRPr="0039567C">
              <w:rPr>
                <w:rFonts w:ascii="Arial" w:hAnsi="Arial" w:cs="Arial"/>
                <w:b/>
                <w:bCs/>
                <w:noProof/>
                <w:sz w:val="64"/>
                <w:szCs w:val="64"/>
                <w:lang w:val="fr-FR"/>
              </w:rPr>
              <w:t>EP</w:t>
            </w:r>
          </w:p>
        </w:tc>
      </w:tr>
      <w:tr w:rsidR="00634106" w:rsidRPr="0039567C" w14:paraId="6688BA3D" w14:textId="77777777" w:rsidTr="00330068">
        <w:trPr>
          <w:cantSplit/>
          <w:trHeight w:val="57"/>
          <w:jc w:val="right"/>
        </w:trPr>
        <w:tc>
          <w:tcPr>
            <w:tcW w:w="1519" w:type="dxa"/>
            <w:tcBorders>
              <w:bottom w:val="single" w:sz="4" w:space="0" w:color="auto"/>
            </w:tcBorders>
          </w:tcPr>
          <w:p w14:paraId="043D9B43" w14:textId="77777777" w:rsidR="00634106" w:rsidRPr="0039567C" w:rsidRDefault="00634106" w:rsidP="00634106">
            <w:pPr>
              <w:tabs>
                <w:tab w:val="clear" w:pos="1814"/>
                <w:tab w:val="clear" w:pos="2381"/>
                <w:tab w:val="clear" w:pos="2948"/>
                <w:tab w:val="clear" w:pos="3515"/>
              </w:tabs>
              <w:rPr>
                <w:noProof/>
                <w:highlight w:val="cyan"/>
                <w:lang w:val="fr-FR"/>
              </w:rPr>
            </w:pPr>
          </w:p>
        </w:tc>
        <w:tc>
          <w:tcPr>
            <w:tcW w:w="5710" w:type="dxa"/>
            <w:tcBorders>
              <w:bottom w:val="single" w:sz="4" w:space="0" w:color="auto"/>
            </w:tcBorders>
          </w:tcPr>
          <w:p w14:paraId="4A7A137C" w14:textId="77777777" w:rsidR="00634106" w:rsidRPr="0039567C" w:rsidRDefault="00634106" w:rsidP="00634106">
            <w:pPr>
              <w:tabs>
                <w:tab w:val="clear" w:pos="1814"/>
                <w:tab w:val="clear" w:pos="2381"/>
                <w:tab w:val="clear" w:pos="2948"/>
                <w:tab w:val="clear" w:pos="3515"/>
              </w:tabs>
              <w:rPr>
                <w:noProof/>
                <w:sz w:val="18"/>
                <w:szCs w:val="18"/>
                <w:lang w:val="fr-FR"/>
              </w:rPr>
            </w:pPr>
          </w:p>
        </w:tc>
        <w:tc>
          <w:tcPr>
            <w:tcW w:w="2753" w:type="dxa"/>
            <w:tcBorders>
              <w:bottom w:val="single" w:sz="4" w:space="0" w:color="auto"/>
            </w:tcBorders>
          </w:tcPr>
          <w:p w14:paraId="484A5416" w14:textId="7485314E" w:rsidR="00634106" w:rsidRPr="0039567C" w:rsidRDefault="00634106" w:rsidP="00634106">
            <w:pPr>
              <w:tabs>
                <w:tab w:val="clear" w:pos="1814"/>
                <w:tab w:val="clear" w:pos="2381"/>
                <w:tab w:val="clear" w:pos="2948"/>
                <w:tab w:val="clear" w:pos="3515"/>
              </w:tabs>
              <w:rPr>
                <w:noProof/>
                <w:sz w:val="18"/>
                <w:szCs w:val="18"/>
                <w:lang w:val="fr-FR"/>
              </w:rPr>
            </w:pPr>
            <w:r w:rsidRPr="0039567C">
              <w:rPr>
                <w:b/>
                <w:bCs/>
                <w:noProof/>
                <w:sz w:val="28"/>
                <w:lang w:val="fr-FR"/>
              </w:rPr>
              <w:t>UNEP</w:t>
            </w:r>
            <w:r w:rsidRPr="0039567C">
              <w:rPr>
                <w:noProof/>
                <w:lang w:val="fr-FR"/>
              </w:rPr>
              <w:t>/EA.5/</w:t>
            </w:r>
            <w:r w:rsidR="004D5680" w:rsidRPr="0039567C">
              <w:rPr>
                <w:noProof/>
                <w:lang w:val="fr-FR"/>
              </w:rPr>
              <w:t>9</w:t>
            </w:r>
          </w:p>
        </w:tc>
      </w:tr>
      <w:tr w:rsidR="00634106" w:rsidRPr="0039567C" w14:paraId="19DDB794" w14:textId="77777777" w:rsidTr="00330068">
        <w:trPr>
          <w:cantSplit/>
          <w:trHeight w:val="57"/>
          <w:jc w:val="right"/>
        </w:trPr>
        <w:tc>
          <w:tcPr>
            <w:tcW w:w="1519" w:type="dxa"/>
            <w:tcBorders>
              <w:top w:val="single" w:sz="4" w:space="0" w:color="auto"/>
              <w:bottom w:val="single" w:sz="24" w:space="0" w:color="auto"/>
            </w:tcBorders>
          </w:tcPr>
          <w:p w14:paraId="265DA5BB" w14:textId="77777777" w:rsidR="00634106" w:rsidRPr="0039567C" w:rsidRDefault="00634106" w:rsidP="00634106">
            <w:pPr>
              <w:tabs>
                <w:tab w:val="clear" w:pos="1814"/>
                <w:tab w:val="clear" w:pos="2381"/>
                <w:tab w:val="clear" w:pos="2948"/>
                <w:tab w:val="clear" w:pos="3515"/>
              </w:tabs>
              <w:rPr>
                <w:noProof/>
                <w:lang w:val="fr-FR"/>
              </w:rPr>
            </w:pPr>
            <w:r w:rsidRPr="0039567C">
              <w:rPr>
                <w:noProof/>
                <w:lang w:val="fr-FR"/>
              </w:rPr>
              <w:object w:dxaOrig="1831" w:dyaOrig="1726" w14:anchorId="14BBE3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3pt;height:61.95pt" o:ole="" fillcolor="window">
                  <v:imagedata r:id="rId11" o:title=""/>
                </v:shape>
                <o:OLEObject Type="Embed" ProgID="Word.Picture.8" ShapeID="_x0000_i1025" DrawAspect="Content" ObjectID="_1670828487" r:id="rId12"/>
              </w:object>
            </w:r>
            <w:r w:rsidRPr="0039567C">
              <w:rPr>
                <w:noProof/>
                <w:lang w:val="fr-FR" w:eastAsia="en-GB"/>
              </w:rPr>
              <w:drawing>
                <wp:inline distT="0" distB="0" distL="0" distR="0" wp14:anchorId="416006D9" wp14:editId="1BF39B5C">
                  <wp:extent cx="723900" cy="76200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2000"/>
                          </a:xfrm>
                          <a:prstGeom prst="rect">
                            <a:avLst/>
                          </a:prstGeom>
                          <a:noFill/>
                          <a:ln>
                            <a:noFill/>
                          </a:ln>
                        </pic:spPr>
                      </pic:pic>
                    </a:graphicData>
                  </a:graphic>
                </wp:inline>
              </w:drawing>
            </w:r>
          </w:p>
        </w:tc>
        <w:tc>
          <w:tcPr>
            <w:tcW w:w="5710" w:type="dxa"/>
            <w:tcBorders>
              <w:top w:val="single" w:sz="4" w:space="0" w:color="auto"/>
              <w:bottom w:val="single" w:sz="24" w:space="0" w:color="auto"/>
            </w:tcBorders>
          </w:tcPr>
          <w:p w14:paraId="71ABBC2A" w14:textId="16839275" w:rsidR="00634106" w:rsidRPr="0039567C" w:rsidRDefault="009B5A55" w:rsidP="00634106">
            <w:pPr>
              <w:tabs>
                <w:tab w:val="clear" w:pos="1814"/>
                <w:tab w:val="clear" w:pos="2381"/>
                <w:tab w:val="clear" w:pos="2948"/>
                <w:tab w:val="clear" w:pos="3515"/>
              </w:tabs>
              <w:spacing w:before="1400" w:after="120"/>
              <w:rPr>
                <w:rFonts w:ascii="Arial" w:hAnsi="Arial" w:cs="Arial"/>
                <w:b/>
                <w:bCs/>
                <w:noProof/>
                <w:sz w:val="28"/>
                <w:szCs w:val="28"/>
                <w:lang w:val="fr-FR"/>
              </w:rPr>
            </w:pPr>
            <w:r w:rsidRPr="0039567C">
              <w:rPr>
                <w:rFonts w:ascii="Arial" w:hAnsi="Arial" w:cs="Arial"/>
                <w:b/>
                <w:bCs/>
                <w:noProof/>
                <w:sz w:val="28"/>
                <w:szCs w:val="28"/>
                <w:lang w:val="fr-FR"/>
              </w:rPr>
              <w:t>Assemblée des Nations Unies</w:t>
            </w:r>
            <w:r w:rsidR="00634106" w:rsidRPr="0039567C">
              <w:rPr>
                <w:rFonts w:ascii="Arial" w:hAnsi="Arial" w:cs="Arial"/>
                <w:b/>
                <w:bCs/>
                <w:noProof/>
                <w:sz w:val="28"/>
                <w:szCs w:val="28"/>
                <w:lang w:val="fr-FR"/>
              </w:rPr>
              <w:t xml:space="preserve"> </w:t>
            </w:r>
            <w:r w:rsidR="00634106" w:rsidRPr="0039567C">
              <w:rPr>
                <w:rFonts w:ascii="Arial" w:hAnsi="Arial" w:cs="Arial"/>
                <w:b/>
                <w:bCs/>
                <w:noProof/>
                <w:sz w:val="28"/>
                <w:szCs w:val="28"/>
                <w:lang w:val="fr-FR"/>
              </w:rPr>
              <w:br/>
            </w:r>
            <w:r w:rsidRPr="0039567C">
              <w:rPr>
                <w:rFonts w:ascii="Arial" w:hAnsi="Arial" w:cs="Arial"/>
                <w:b/>
                <w:bCs/>
                <w:noProof/>
                <w:sz w:val="28"/>
                <w:szCs w:val="28"/>
                <w:lang w:val="fr-FR"/>
              </w:rPr>
              <w:t>pour l’environnement du Programme</w:t>
            </w:r>
            <w:r w:rsidR="00634106" w:rsidRPr="0039567C">
              <w:rPr>
                <w:rFonts w:ascii="Arial" w:hAnsi="Arial" w:cs="Arial"/>
                <w:b/>
                <w:bCs/>
                <w:noProof/>
                <w:sz w:val="28"/>
                <w:szCs w:val="28"/>
                <w:lang w:val="fr-FR"/>
              </w:rPr>
              <w:t xml:space="preserve"> </w:t>
            </w:r>
            <w:r w:rsidR="00634106" w:rsidRPr="0039567C">
              <w:rPr>
                <w:rFonts w:ascii="Arial" w:hAnsi="Arial" w:cs="Arial"/>
                <w:b/>
                <w:bCs/>
                <w:noProof/>
                <w:sz w:val="28"/>
                <w:szCs w:val="28"/>
                <w:lang w:val="fr-FR"/>
              </w:rPr>
              <w:br/>
            </w:r>
            <w:r w:rsidRPr="0039567C">
              <w:rPr>
                <w:rFonts w:ascii="Arial" w:hAnsi="Arial" w:cs="Arial"/>
                <w:b/>
                <w:bCs/>
                <w:noProof/>
                <w:sz w:val="28"/>
                <w:szCs w:val="28"/>
                <w:lang w:val="fr-FR"/>
              </w:rPr>
              <w:t>des</w:t>
            </w:r>
            <w:r w:rsidR="00634106" w:rsidRPr="0039567C">
              <w:rPr>
                <w:rFonts w:ascii="Arial" w:hAnsi="Arial" w:cs="Arial"/>
                <w:b/>
                <w:bCs/>
                <w:noProof/>
                <w:sz w:val="28"/>
                <w:szCs w:val="28"/>
                <w:lang w:val="fr-FR"/>
              </w:rPr>
              <w:t xml:space="preserve"> Nations</w:t>
            </w:r>
            <w:r w:rsidRPr="0039567C">
              <w:rPr>
                <w:rFonts w:ascii="Arial" w:hAnsi="Arial" w:cs="Arial"/>
                <w:b/>
                <w:bCs/>
                <w:noProof/>
                <w:sz w:val="28"/>
                <w:szCs w:val="28"/>
                <w:lang w:val="fr-FR"/>
              </w:rPr>
              <w:t xml:space="preserve"> Unies pour l’environnement</w:t>
            </w:r>
            <w:r w:rsidR="00634106" w:rsidRPr="0039567C">
              <w:rPr>
                <w:rFonts w:ascii="Arial" w:hAnsi="Arial" w:cs="Arial"/>
                <w:b/>
                <w:bCs/>
                <w:noProof/>
                <w:sz w:val="28"/>
                <w:szCs w:val="28"/>
                <w:lang w:val="fr-FR"/>
              </w:rPr>
              <w:t xml:space="preserve"> </w:t>
            </w:r>
          </w:p>
        </w:tc>
        <w:tc>
          <w:tcPr>
            <w:tcW w:w="2753" w:type="dxa"/>
            <w:tcBorders>
              <w:top w:val="single" w:sz="4" w:space="0" w:color="auto"/>
              <w:bottom w:val="single" w:sz="24" w:space="0" w:color="auto"/>
            </w:tcBorders>
          </w:tcPr>
          <w:p w14:paraId="20C0B6A1" w14:textId="6E186449" w:rsidR="00400AB8" w:rsidRPr="0039567C" w:rsidRDefault="00400AB8" w:rsidP="00400AB8">
            <w:pPr>
              <w:spacing w:before="120"/>
              <w:rPr>
                <w:rFonts w:eastAsia="SimSun"/>
                <w:noProof/>
                <w:lang w:val="fr-FR"/>
              </w:rPr>
            </w:pPr>
            <w:r w:rsidRPr="0039567C">
              <w:rPr>
                <w:rFonts w:eastAsia="SimSun"/>
                <w:noProof/>
                <w:lang w:val="fr-FR"/>
              </w:rPr>
              <w:t>Distr.</w:t>
            </w:r>
            <w:r w:rsidR="008F0B73" w:rsidRPr="0039567C">
              <w:rPr>
                <w:rFonts w:eastAsia="SimSun"/>
                <w:noProof/>
                <w:lang w:val="fr-FR"/>
              </w:rPr>
              <w:t> </w:t>
            </w:r>
            <w:r w:rsidR="009B5A55" w:rsidRPr="0039567C">
              <w:rPr>
                <w:rFonts w:eastAsia="SimSun"/>
                <w:noProof/>
                <w:lang w:val="fr-FR"/>
              </w:rPr>
              <w:t>gé</w:t>
            </w:r>
            <w:r w:rsidRPr="0039567C">
              <w:rPr>
                <w:rFonts w:eastAsia="SimSun"/>
                <w:noProof/>
                <w:lang w:val="fr-FR"/>
              </w:rPr>
              <w:t>n</w:t>
            </w:r>
            <w:r w:rsidR="009B5A55" w:rsidRPr="0039567C">
              <w:rPr>
                <w:rFonts w:eastAsia="SimSun"/>
                <w:noProof/>
                <w:lang w:val="fr-FR"/>
              </w:rPr>
              <w:t>é</w:t>
            </w:r>
            <w:r w:rsidRPr="0039567C">
              <w:rPr>
                <w:rFonts w:eastAsia="SimSun"/>
                <w:noProof/>
                <w:lang w:val="fr-FR"/>
              </w:rPr>
              <w:t>ral</w:t>
            </w:r>
            <w:r w:rsidR="009B5A55" w:rsidRPr="0039567C">
              <w:rPr>
                <w:rFonts w:eastAsia="SimSun"/>
                <w:noProof/>
                <w:lang w:val="fr-FR"/>
              </w:rPr>
              <w:t>e</w:t>
            </w:r>
            <w:r w:rsidR="004D5680" w:rsidRPr="0039567C">
              <w:rPr>
                <w:rFonts w:eastAsia="SimSun"/>
                <w:noProof/>
                <w:lang w:val="fr-FR"/>
              </w:rPr>
              <w:t xml:space="preserve"> </w:t>
            </w:r>
            <w:r w:rsidRPr="0039567C">
              <w:rPr>
                <w:rFonts w:eastAsia="SimSun"/>
                <w:noProof/>
                <w:lang w:val="fr-FR"/>
              </w:rPr>
              <w:br/>
            </w:r>
            <w:r w:rsidR="0058489D" w:rsidRPr="0039567C">
              <w:rPr>
                <w:rFonts w:eastAsia="SimSun"/>
                <w:noProof/>
                <w:lang w:val="fr-FR"/>
              </w:rPr>
              <w:t>12</w:t>
            </w:r>
            <w:r w:rsidR="008F0B73" w:rsidRPr="0039567C">
              <w:rPr>
                <w:rFonts w:eastAsia="SimSun"/>
                <w:noProof/>
                <w:lang w:val="fr-FR"/>
              </w:rPr>
              <w:t> </w:t>
            </w:r>
            <w:r w:rsidR="009B5A55" w:rsidRPr="0039567C">
              <w:rPr>
                <w:rFonts w:eastAsia="SimSun"/>
                <w:noProof/>
                <w:lang w:val="fr-FR"/>
              </w:rPr>
              <w:t>n</w:t>
            </w:r>
            <w:r w:rsidR="00DA6461" w:rsidRPr="0039567C">
              <w:rPr>
                <w:rFonts w:eastAsia="SimSun"/>
                <w:noProof/>
                <w:lang w:val="fr-FR"/>
              </w:rPr>
              <w:t>ovembr</w:t>
            </w:r>
            <w:r w:rsidR="009B5A55" w:rsidRPr="0039567C">
              <w:rPr>
                <w:rFonts w:eastAsia="SimSun"/>
                <w:noProof/>
                <w:lang w:val="fr-FR"/>
              </w:rPr>
              <w:t>e</w:t>
            </w:r>
            <w:r w:rsidRPr="0039567C">
              <w:rPr>
                <w:rFonts w:eastAsia="SimSun"/>
                <w:noProof/>
                <w:lang w:val="fr-FR"/>
              </w:rPr>
              <w:t xml:space="preserve"> 202</w:t>
            </w:r>
            <w:r w:rsidR="00DA6461" w:rsidRPr="0039567C">
              <w:rPr>
                <w:rFonts w:eastAsia="SimSun"/>
                <w:noProof/>
                <w:lang w:val="fr-FR"/>
              </w:rPr>
              <w:t>0</w:t>
            </w:r>
          </w:p>
          <w:p w14:paraId="7B895E65" w14:textId="77777777" w:rsidR="009B5A55" w:rsidRPr="0039567C" w:rsidRDefault="009B5A55" w:rsidP="009B5A55">
            <w:pPr>
              <w:tabs>
                <w:tab w:val="clear" w:pos="1814"/>
                <w:tab w:val="clear" w:pos="2381"/>
                <w:tab w:val="clear" w:pos="2948"/>
                <w:tab w:val="clear" w:pos="3515"/>
              </w:tabs>
              <w:rPr>
                <w:rFonts w:eastAsia="SimSun"/>
                <w:noProof/>
                <w:lang w:val="fr-FR"/>
              </w:rPr>
            </w:pPr>
          </w:p>
          <w:p w14:paraId="6BE84D4C" w14:textId="45482391" w:rsidR="009B5A55" w:rsidRPr="0039567C" w:rsidRDefault="009B5A55" w:rsidP="009B5A55">
            <w:pPr>
              <w:tabs>
                <w:tab w:val="clear" w:pos="1814"/>
                <w:tab w:val="clear" w:pos="2381"/>
                <w:tab w:val="clear" w:pos="2948"/>
                <w:tab w:val="clear" w:pos="3515"/>
              </w:tabs>
              <w:rPr>
                <w:rFonts w:eastAsia="SimSun"/>
                <w:noProof/>
                <w:lang w:val="fr-FR"/>
              </w:rPr>
            </w:pPr>
            <w:r w:rsidRPr="0039567C">
              <w:rPr>
                <w:rFonts w:eastAsia="SimSun"/>
                <w:noProof/>
                <w:lang w:val="fr-FR"/>
              </w:rPr>
              <w:t>Français</w:t>
            </w:r>
          </w:p>
          <w:p w14:paraId="1AF3E67B" w14:textId="0B592E4A" w:rsidR="00634106" w:rsidRPr="0039567C" w:rsidRDefault="00400AB8" w:rsidP="009B5A55">
            <w:pPr>
              <w:tabs>
                <w:tab w:val="clear" w:pos="1814"/>
                <w:tab w:val="clear" w:pos="2381"/>
                <w:tab w:val="clear" w:pos="2948"/>
                <w:tab w:val="clear" w:pos="3515"/>
              </w:tabs>
              <w:rPr>
                <w:noProof/>
                <w:lang w:val="fr-FR"/>
              </w:rPr>
            </w:pPr>
            <w:r w:rsidRPr="0039567C">
              <w:rPr>
                <w:rFonts w:eastAsia="SimSun"/>
                <w:noProof/>
                <w:lang w:val="fr-FR"/>
              </w:rPr>
              <w:t>Original</w:t>
            </w:r>
            <w:r w:rsidR="008F0B73" w:rsidRPr="0039567C">
              <w:rPr>
                <w:rFonts w:eastAsia="SimSun"/>
                <w:noProof/>
                <w:lang w:val="fr-FR"/>
              </w:rPr>
              <w:t> </w:t>
            </w:r>
            <w:r w:rsidRPr="0039567C">
              <w:rPr>
                <w:rFonts w:eastAsia="SimSun"/>
                <w:noProof/>
                <w:lang w:val="fr-FR"/>
              </w:rPr>
              <w:t>:</w:t>
            </w:r>
            <w:r w:rsidR="009B5A55" w:rsidRPr="0039567C">
              <w:rPr>
                <w:rFonts w:eastAsia="SimSun"/>
                <w:noProof/>
                <w:lang w:val="fr-FR"/>
              </w:rPr>
              <w:t xml:space="preserve"> anglais</w:t>
            </w:r>
          </w:p>
        </w:tc>
      </w:tr>
    </w:tbl>
    <w:p w14:paraId="69D879C3" w14:textId="2A23FFD5" w:rsidR="00634106" w:rsidRPr="0039567C" w:rsidRDefault="009B5A55" w:rsidP="00D00109">
      <w:pPr>
        <w:keepNext/>
        <w:keepLines/>
        <w:tabs>
          <w:tab w:val="clear" w:pos="1814"/>
          <w:tab w:val="clear" w:pos="2381"/>
          <w:tab w:val="clear" w:pos="2948"/>
          <w:tab w:val="clear" w:pos="3515"/>
        </w:tabs>
        <w:suppressAutoHyphens/>
        <w:ind w:left="-450" w:right="5103"/>
        <w:rPr>
          <w:b/>
          <w:noProof/>
          <w:lang w:val="fr-FR"/>
        </w:rPr>
      </w:pPr>
      <w:r w:rsidRPr="0039567C">
        <w:rPr>
          <w:b/>
          <w:noProof/>
          <w:lang w:val="fr-FR"/>
        </w:rPr>
        <w:t>Assemblée des Nations Unies</w:t>
      </w:r>
      <w:r w:rsidR="00634106" w:rsidRPr="0039567C">
        <w:rPr>
          <w:b/>
          <w:noProof/>
          <w:lang w:val="fr-FR"/>
        </w:rPr>
        <w:t xml:space="preserve"> </w:t>
      </w:r>
      <w:r w:rsidRPr="0039567C">
        <w:rPr>
          <w:b/>
          <w:noProof/>
          <w:lang w:val="fr-FR"/>
        </w:rPr>
        <w:t>pour l’environnement</w:t>
      </w:r>
    </w:p>
    <w:p w14:paraId="421A4A2C" w14:textId="6E74574A" w:rsidR="009B5A55" w:rsidRPr="0039567C" w:rsidRDefault="009B5A55" w:rsidP="00D00109">
      <w:pPr>
        <w:keepNext/>
        <w:keepLines/>
        <w:tabs>
          <w:tab w:val="clear" w:pos="1814"/>
          <w:tab w:val="clear" w:pos="2381"/>
          <w:tab w:val="clear" w:pos="2948"/>
          <w:tab w:val="clear" w:pos="3515"/>
        </w:tabs>
        <w:suppressAutoHyphens/>
        <w:ind w:left="-450" w:right="4676"/>
        <w:rPr>
          <w:b/>
          <w:noProof/>
          <w:lang w:val="fr-FR"/>
        </w:rPr>
      </w:pPr>
      <w:r w:rsidRPr="0039567C">
        <w:rPr>
          <w:b/>
          <w:noProof/>
          <w:lang w:val="fr-FR"/>
        </w:rPr>
        <w:t>du Programme des Nations Unies pour l’environnement</w:t>
      </w:r>
    </w:p>
    <w:p w14:paraId="30C4153E" w14:textId="6D8EB8EB" w:rsidR="00634106" w:rsidRPr="0039567C" w:rsidRDefault="009B5A55" w:rsidP="00D00109">
      <w:pPr>
        <w:keepNext/>
        <w:keepLines/>
        <w:tabs>
          <w:tab w:val="clear" w:pos="1814"/>
          <w:tab w:val="clear" w:pos="2381"/>
          <w:tab w:val="clear" w:pos="2948"/>
          <w:tab w:val="clear" w:pos="3515"/>
        </w:tabs>
        <w:suppressAutoHyphens/>
        <w:ind w:left="-450" w:right="5103"/>
        <w:rPr>
          <w:b/>
          <w:noProof/>
          <w:lang w:val="fr-FR"/>
        </w:rPr>
      </w:pPr>
      <w:r w:rsidRPr="0039567C">
        <w:rPr>
          <w:b/>
          <w:noProof/>
          <w:lang w:val="fr-FR"/>
        </w:rPr>
        <w:t>Cinquième session</w:t>
      </w:r>
      <w:bookmarkStart w:id="0" w:name="_GoBack"/>
      <w:bookmarkEnd w:id="0"/>
    </w:p>
    <w:p w14:paraId="6D6FB879" w14:textId="72B6C6CD" w:rsidR="00634106" w:rsidRPr="0039567C" w:rsidRDefault="00634106" w:rsidP="00D00109">
      <w:pPr>
        <w:keepNext/>
        <w:keepLines/>
        <w:tabs>
          <w:tab w:val="clear" w:pos="1814"/>
          <w:tab w:val="clear" w:pos="2381"/>
          <w:tab w:val="clear" w:pos="2948"/>
          <w:tab w:val="clear" w:pos="3515"/>
        </w:tabs>
        <w:suppressAutoHyphens/>
        <w:ind w:left="-450" w:right="5103"/>
        <w:rPr>
          <w:bCs/>
          <w:noProof/>
          <w:lang w:val="fr-FR"/>
        </w:rPr>
      </w:pPr>
      <w:r w:rsidRPr="0039567C">
        <w:rPr>
          <w:bCs/>
          <w:noProof/>
          <w:lang w:val="fr-FR"/>
        </w:rPr>
        <w:t>Nairobi</w:t>
      </w:r>
      <w:r w:rsidR="00546571" w:rsidRPr="0039567C">
        <w:rPr>
          <w:bCs/>
          <w:noProof/>
          <w:lang w:val="fr-FR"/>
        </w:rPr>
        <w:t xml:space="preserve"> (en ligne)</w:t>
      </w:r>
      <w:r w:rsidRPr="0039567C">
        <w:rPr>
          <w:bCs/>
          <w:noProof/>
          <w:lang w:val="fr-FR"/>
        </w:rPr>
        <w:t>, 22</w:t>
      </w:r>
      <w:r w:rsidR="00F909A0" w:rsidRPr="0039567C">
        <w:rPr>
          <w:bCs/>
          <w:noProof/>
          <w:lang w:val="fr-FR"/>
        </w:rPr>
        <w:t>–</w:t>
      </w:r>
      <w:r w:rsidRPr="0039567C">
        <w:rPr>
          <w:bCs/>
          <w:noProof/>
          <w:lang w:val="fr-FR"/>
        </w:rPr>
        <w:t>26</w:t>
      </w:r>
      <w:r w:rsidR="008F0B73" w:rsidRPr="0039567C">
        <w:rPr>
          <w:bCs/>
          <w:noProof/>
          <w:lang w:val="fr-FR"/>
        </w:rPr>
        <w:t> </w:t>
      </w:r>
      <w:r w:rsidR="009B5A55" w:rsidRPr="0039567C">
        <w:rPr>
          <w:bCs/>
          <w:noProof/>
          <w:lang w:val="fr-FR"/>
        </w:rPr>
        <w:t>février</w:t>
      </w:r>
      <w:r w:rsidRPr="0039567C">
        <w:rPr>
          <w:bCs/>
          <w:noProof/>
          <w:lang w:val="fr-FR"/>
        </w:rPr>
        <w:t xml:space="preserve"> 2021</w:t>
      </w:r>
      <w:r w:rsidR="00910478" w:rsidRPr="0039567C">
        <w:rPr>
          <w:rStyle w:val="FootnoteReference"/>
          <w:bCs/>
          <w:noProof/>
          <w:vertAlign w:val="baseline"/>
          <w:lang w:val="fr-FR"/>
        </w:rPr>
        <w:footnoteReference w:customMarkFollows="1" w:id="1"/>
        <w:t>*</w:t>
      </w:r>
    </w:p>
    <w:p w14:paraId="7204E8B3" w14:textId="23409183" w:rsidR="00634106" w:rsidRPr="0039567C" w:rsidRDefault="009B5A55" w:rsidP="00D00109">
      <w:pPr>
        <w:keepNext/>
        <w:keepLines/>
        <w:tabs>
          <w:tab w:val="clear" w:pos="1814"/>
          <w:tab w:val="clear" w:pos="2381"/>
          <w:tab w:val="clear" w:pos="2948"/>
          <w:tab w:val="clear" w:pos="3515"/>
        </w:tabs>
        <w:suppressAutoHyphens/>
        <w:ind w:left="-450" w:right="5103"/>
        <w:rPr>
          <w:bCs/>
          <w:noProof/>
          <w:lang w:val="fr-FR"/>
        </w:rPr>
      </w:pPr>
      <w:r w:rsidRPr="0039567C">
        <w:rPr>
          <w:bCs/>
          <w:noProof/>
          <w:lang w:val="fr-FR"/>
        </w:rPr>
        <w:t>Point 5 de l’ordre du jour provisoire</w:t>
      </w:r>
      <w:r w:rsidR="006A7710" w:rsidRPr="0039567C">
        <w:rPr>
          <w:rStyle w:val="FootnoteReference"/>
          <w:bCs/>
          <w:noProof/>
          <w:vertAlign w:val="baseline"/>
          <w:lang w:val="fr-FR"/>
        </w:rPr>
        <w:footnoteReference w:customMarkFollows="1" w:id="2"/>
        <w:t>**</w:t>
      </w:r>
    </w:p>
    <w:p w14:paraId="4D341DFA" w14:textId="4F4C1802" w:rsidR="0058489D" w:rsidRPr="0039567C" w:rsidRDefault="002B0F61" w:rsidP="00D00109">
      <w:pPr>
        <w:pStyle w:val="AATitle2"/>
        <w:spacing w:before="60" w:after="0"/>
        <w:ind w:left="-450"/>
        <w:rPr>
          <w:noProof/>
          <w:lang w:val="fr-FR"/>
        </w:rPr>
      </w:pPr>
      <w:r w:rsidRPr="0039567C">
        <w:rPr>
          <w:noProof/>
          <w:lang w:val="fr-FR"/>
        </w:rPr>
        <w:t>Questions relatives à la politique et à la gouvernance internationales en matière d’environnement</w:t>
      </w:r>
    </w:p>
    <w:p w14:paraId="7ECB83CB" w14:textId="16783C7A" w:rsidR="001833AC" w:rsidRPr="0039567C" w:rsidRDefault="001833AC" w:rsidP="000B40F8">
      <w:pPr>
        <w:pStyle w:val="BBTitle"/>
        <w:rPr>
          <w:rFonts w:eastAsia="SimSun"/>
          <w:noProof/>
          <w:lang w:val="fr-FR"/>
        </w:rPr>
      </w:pPr>
      <w:r w:rsidRPr="0039567C">
        <w:rPr>
          <w:rFonts w:eastAsia="SimSun"/>
          <w:noProof/>
          <w:lang w:val="fr-FR"/>
        </w:rPr>
        <w:t>Progrès accomplis dans l</w:t>
      </w:r>
      <w:r w:rsidR="00667484" w:rsidRPr="0039567C">
        <w:rPr>
          <w:rFonts w:eastAsia="SimSun"/>
          <w:noProof/>
          <w:lang w:val="fr-FR"/>
        </w:rPr>
        <w:t xml:space="preserve">’application </w:t>
      </w:r>
      <w:r w:rsidRPr="0039567C">
        <w:rPr>
          <w:rFonts w:eastAsia="SimSun"/>
          <w:noProof/>
          <w:lang w:val="fr-FR"/>
        </w:rPr>
        <w:t>de la</w:t>
      </w:r>
      <w:r w:rsidR="00921700" w:rsidRPr="0039567C">
        <w:rPr>
          <w:rFonts w:eastAsia="SimSun"/>
          <w:noProof/>
          <w:lang w:val="fr-FR"/>
        </w:rPr>
        <w:t xml:space="preserve"> r</w:t>
      </w:r>
      <w:r w:rsidRPr="0039567C">
        <w:rPr>
          <w:rFonts w:eastAsia="SimSun"/>
          <w:noProof/>
          <w:lang w:val="fr-FR"/>
        </w:rPr>
        <w:t>é</w:t>
      </w:r>
      <w:r w:rsidR="00921700" w:rsidRPr="0039567C">
        <w:rPr>
          <w:rFonts w:eastAsia="SimSun"/>
          <w:noProof/>
          <w:lang w:val="fr-FR"/>
        </w:rPr>
        <w:t>solution</w:t>
      </w:r>
      <w:r w:rsidR="008F0B73" w:rsidRPr="0039567C">
        <w:rPr>
          <w:rFonts w:eastAsia="SimSun"/>
          <w:noProof/>
          <w:lang w:val="fr-FR"/>
        </w:rPr>
        <w:t> </w:t>
      </w:r>
      <w:r w:rsidR="0052613D" w:rsidRPr="0039567C">
        <w:rPr>
          <w:rFonts w:eastAsia="SimSun"/>
          <w:noProof/>
          <w:lang w:val="fr-FR"/>
        </w:rPr>
        <w:t xml:space="preserve">4/8 </w:t>
      </w:r>
      <w:r w:rsidRPr="0039567C">
        <w:rPr>
          <w:rFonts w:eastAsia="SimSun"/>
          <w:noProof/>
          <w:lang w:val="fr-FR"/>
        </w:rPr>
        <w:t>sur</w:t>
      </w:r>
      <w:r w:rsidR="00A84D34" w:rsidRPr="0039567C">
        <w:rPr>
          <w:rFonts w:eastAsia="SimSun"/>
          <w:noProof/>
          <w:lang w:val="fr-FR"/>
        </w:rPr>
        <w:t> </w:t>
      </w:r>
      <w:r w:rsidRPr="0039567C">
        <w:rPr>
          <w:rFonts w:eastAsia="SimSun"/>
          <w:noProof/>
          <w:lang w:val="fr-FR"/>
        </w:rPr>
        <w:t>la</w:t>
      </w:r>
      <w:r w:rsidR="00A84D34" w:rsidRPr="0039567C">
        <w:rPr>
          <w:rFonts w:eastAsia="SimSun"/>
          <w:noProof/>
          <w:lang w:val="fr-FR"/>
        </w:rPr>
        <w:t> </w:t>
      </w:r>
      <w:r w:rsidRPr="0039567C">
        <w:rPr>
          <w:rFonts w:eastAsia="SimSun"/>
          <w:noProof/>
          <w:lang w:val="fr-FR"/>
        </w:rPr>
        <w:t>gestion rationnelle des produits chimiques et des déchets</w:t>
      </w:r>
    </w:p>
    <w:p w14:paraId="759695D7" w14:textId="3A8FB36C" w:rsidR="002B0F61" w:rsidRPr="0039567C" w:rsidRDefault="00CA515A" w:rsidP="002B0F61">
      <w:pPr>
        <w:pStyle w:val="CH2"/>
        <w:rPr>
          <w:rFonts w:eastAsia="SimSun"/>
          <w:noProof/>
          <w:lang w:val="fr-FR"/>
        </w:rPr>
      </w:pPr>
      <w:r w:rsidRPr="0039567C">
        <w:rPr>
          <w:rFonts w:eastAsia="Calibri"/>
          <w:noProof/>
          <w:w w:val="103"/>
          <w:lang w:val="fr-FR"/>
        </w:rPr>
        <w:tab/>
      </w:r>
      <w:r w:rsidRPr="0039567C">
        <w:rPr>
          <w:rFonts w:eastAsia="Calibri"/>
          <w:noProof/>
          <w:w w:val="103"/>
          <w:lang w:val="fr-FR"/>
        </w:rPr>
        <w:tab/>
      </w:r>
      <w:r w:rsidR="001833AC" w:rsidRPr="0039567C">
        <w:rPr>
          <w:rFonts w:eastAsia="Calibri"/>
          <w:noProof/>
          <w:w w:val="103"/>
          <w:lang w:val="fr-FR"/>
        </w:rPr>
        <w:t>Rapport de la Directrice exécutive</w:t>
      </w:r>
    </w:p>
    <w:p w14:paraId="2E88679E" w14:textId="33C8BF80" w:rsidR="00B73D43" w:rsidRPr="0039567C" w:rsidRDefault="0052613D" w:rsidP="006052D2">
      <w:pPr>
        <w:pStyle w:val="CH1"/>
        <w:rPr>
          <w:rFonts w:eastAsia="Calibri"/>
          <w:noProof/>
          <w:w w:val="103"/>
          <w:lang w:val="fr-FR"/>
        </w:rPr>
      </w:pPr>
      <w:r w:rsidRPr="0039567C">
        <w:rPr>
          <w:rFonts w:eastAsia="SimSun"/>
          <w:noProof/>
          <w:lang w:val="fr-FR"/>
        </w:rPr>
        <w:tab/>
      </w:r>
      <w:r w:rsidRPr="0039567C">
        <w:rPr>
          <w:rFonts w:eastAsia="SimSun"/>
          <w:noProof/>
          <w:lang w:val="fr-FR"/>
        </w:rPr>
        <w:tab/>
      </w:r>
      <w:r w:rsidR="00C41601" w:rsidRPr="0039567C">
        <w:rPr>
          <w:rFonts w:eastAsia="Calibri"/>
          <w:noProof/>
          <w:w w:val="103"/>
          <w:lang w:val="fr-FR"/>
        </w:rPr>
        <w:t>Introduction</w:t>
      </w:r>
    </w:p>
    <w:p w14:paraId="222483B3" w14:textId="52C0DB05" w:rsidR="000C41A7" w:rsidRPr="0039567C" w:rsidRDefault="000C41A7" w:rsidP="00364549">
      <w:pPr>
        <w:pStyle w:val="Normalnumber"/>
        <w:tabs>
          <w:tab w:val="clear" w:pos="1134"/>
        </w:tabs>
        <w:rPr>
          <w:rFonts w:eastAsia="MS Mincho"/>
          <w:noProof/>
          <w:lang w:val="fr-FR"/>
        </w:rPr>
      </w:pPr>
      <w:r w:rsidRPr="0039567C">
        <w:rPr>
          <w:rFonts w:eastAsia="MS Mincho"/>
          <w:noProof/>
          <w:lang w:val="fr-FR"/>
        </w:rPr>
        <w:t xml:space="preserve">Dans </w:t>
      </w:r>
      <w:r w:rsidR="00E23451" w:rsidRPr="0039567C">
        <w:rPr>
          <w:rFonts w:eastAsia="MS Mincho"/>
          <w:noProof/>
          <w:lang w:val="fr-FR"/>
        </w:rPr>
        <w:t>s</w:t>
      </w:r>
      <w:r w:rsidRPr="0039567C">
        <w:rPr>
          <w:rFonts w:eastAsia="MS Mincho"/>
          <w:noProof/>
          <w:lang w:val="fr-FR"/>
        </w:rPr>
        <w:t>a résolution</w:t>
      </w:r>
      <w:r w:rsidR="008F0B73" w:rsidRPr="0039567C">
        <w:rPr>
          <w:rFonts w:eastAsia="MS Mincho"/>
          <w:noProof/>
          <w:lang w:val="fr-FR"/>
        </w:rPr>
        <w:t> </w:t>
      </w:r>
      <w:r w:rsidRPr="0039567C">
        <w:rPr>
          <w:rFonts w:eastAsia="MS Mincho"/>
          <w:noProof/>
          <w:lang w:val="fr-FR"/>
        </w:rPr>
        <w:t xml:space="preserve">4/8 sur la gestion rationnelle des produits chimiques et des déchets, l’Assemblée des Nations Unies pour l’environnement du Programme des Nations Unies pour l’environnement (PNUE) a </w:t>
      </w:r>
      <w:r w:rsidR="00D22179" w:rsidRPr="0039567C">
        <w:rPr>
          <w:rFonts w:eastAsia="MS Mincho"/>
          <w:noProof/>
          <w:lang w:val="fr-FR"/>
        </w:rPr>
        <w:t xml:space="preserve">prié </w:t>
      </w:r>
      <w:r w:rsidRPr="0039567C">
        <w:rPr>
          <w:rFonts w:eastAsia="MS Mincho"/>
          <w:noProof/>
          <w:lang w:val="fr-FR"/>
        </w:rPr>
        <w:t xml:space="preserve">la Directrice exécutive du PNUE, </w:t>
      </w:r>
      <w:r w:rsidRPr="0039567C">
        <w:rPr>
          <w:noProof/>
          <w:lang w:val="fr-FR"/>
        </w:rPr>
        <w:t>sous réserve de la disponibilité de ressources et, le cas échéant, en coopération avec les organisations membres du Programme interorganisations pour la gestion rationnelle des produits chimiques</w:t>
      </w:r>
      <w:r w:rsidR="008F0B73" w:rsidRPr="0039567C">
        <w:rPr>
          <w:noProof/>
          <w:lang w:val="fr-FR"/>
        </w:rPr>
        <w:t> </w:t>
      </w:r>
      <w:r w:rsidRPr="0039567C">
        <w:rPr>
          <w:noProof/>
          <w:lang w:val="fr-FR"/>
        </w:rPr>
        <w:t xml:space="preserve">: </w:t>
      </w:r>
      <w:r w:rsidR="006C7AAC" w:rsidRPr="0039567C">
        <w:rPr>
          <w:noProof/>
          <w:lang w:val="fr-FR"/>
        </w:rPr>
        <w:t>a)</w:t>
      </w:r>
      <w:r w:rsidR="00B14442" w:rsidRPr="0039567C">
        <w:rPr>
          <w:noProof/>
          <w:lang w:val="fr-FR"/>
        </w:rPr>
        <w:t xml:space="preserve"> </w:t>
      </w:r>
      <w:r w:rsidR="007C1C3C" w:rsidRPr="0039567C">
        <w:rPr>
          <w:noProof/>
          <w:lang w:val="fr-FR"/>
        </w:rPr>
        <w:t>d’intensifier les activités d’assistance technique et de renforcement des capacités destinées aux États membres pour qu’ils puissent atteindre dès que possible les objectifs et les cibles du Programme </w:t>
      </w:r>
      <w:r w:rsidR="009563FC" w:rsidRPr="0039567C">
        <w:rPr>
          <w:noProof/>
          <w:lang w:val="fr-FR"/>
        </w:rPr>
        <w:t>de développement durable à l’horizon </w:t>
      </w:r>
      <w:r w:rsidR="007C1C3C" w:rsidRPr="0039567C">
        <w:rPr>
          <w:noProof/>
          <w:lang w:val="fr-FR"/>
        </w:rPr>
        <w:t>2030 ; b) de renforcer la coopération et d’éviter le chevauchement des activités entreprises par les organisations membres du Programme interorganisations pour la gestion rationnelle des produits chimiques ; c) de renforcer l’appui fourni à l’Approche stratégique de la gestion internationale des produits chimiques dans la perspective de la cinquième session de la Conférence internationale sur la gestion des produits chimiques ; d) de dresser une synthèse de l’analyse d’une meilleure pratique en matière de chimie durable dans des manuels sur la chimie verte et la chimie durable ; e) de suivre les tendances observées dans la conception, la production, l’utilisation et</w:t>
      </w:r>
      <w:r w:rsidR="00907B30" w:rsidRPr="0039567C">
        <w:rPr>
          <w:noProof/>
          <w:lang w:val="fr-FR"/>
        </w:rPr>
        <w:t xml:space="preserve"> le rejet des produits chimiques et la production des déchets afin de recenser les questions préoccupantes pour les éditions futures des rapports </w:t>
      </w:r>
      <w:r w:rsidR="00907B30" w:rsidRPr="0039567C">
        <w:rPr>
          <w:i/>
          <w:iCs/>
          <w:noProof/>
          <w:lang w:val="fr-FR"/>
        </w:rPr>
        <w:t xml:space="preserve">Global Chemicals Outlook </w:t>
      </w:r>
      <w:r w:rsidR="00907B30" w:rsidRPr="0039567C">
        <w:rPr>
          <w:noProof/>
          <w:lang w:val="fr-FR"/>
        </w:rPr>
        <w:t xml:space="preserve">et </w:t>
      </w:r>
      <w:r w:rsidR="00907B30" w:rsidRPr="0039567C">
        <w:rPr>
          <w:i/>
          <w:iCs/>
          <w:noProof/>
          <w:lang w:val="fr-FR"/>
        </w:rPr>
        <w:t>Global Waste Management Outlook</w:t>
      </w:r>
      <w:r w:rsidR="00907B30" w:rsidRPr="0039567C">
        <w:rPr>
          <w:noProof/>
          <w:lang w:val="fr-FR"/>
        </w:rPr>
        <w:t> ; f)</w:t>
      </w:r>
      <w:r w:rsidR="001B66F1" w:rsidRPr="0039567C">
        <w:rPr>
          <w:noProof/>
          <w:lang w:val="fr-FR"/>
        </w:rPr>
        <w:t> </w:t>
      </w:r>
      <w:r w:rsidR="00907B30" w:rsidRPr="0039567C">
        <w:rPr>
          <w:noProof/>
          <w:lang w:val="fr-FR"/>
        </w:rPr>
        <w:t xml:space="preserve">d’établir un rapport sur les questions qui, selon des données obtenues récemment, présentent </w:t>
      </w:r>
      <w:r w:rsidR="00907B30" w:rsidRPr="0039567C">
        <w:rPr>
          <w:noProof/>
          <w:lang w:val="fr-FR"/>
        </w:rPr>
        <w:lastRenderedPageBreak/>
        <w:t>un</w:t>
      </w:r>
      <w:r w:rsidR="004B7C75" w:rsidRPr="0039567C">
        <w:rPr>
          <w:noProof/>
          <w:lang w:val="fr-FR"/>
        </w:rPr>
        <w:t> </w:t>
      </w:r>
      <w:r w:rsidR="00907B30" w:rsidRPr="0039567C">
        <w:rPr>
          <w:noProof/>
          <w:lang w:val="fr-FR"/>
        </w:rPr>
        <w:t>risque pour la santé humaine et l’environnement ; g) d’établir une évaluation des options possibles pour renforcer l’interface science</w:t>
      </w:r>
      <w:r w:rsidR="00907B30" w:rsidRPr="0039567C">
        <w:rPr>
          <w:noProof/>
          <w:lang w:val="fr-FR"/>
        </w:rPr>
        <w:noBreakHyphen/>
        <w:t>politique au niveau international ; h) de fournir des conseils techniques, un appui à l’élaboration des politiques et une aide en matière de renforcement des capacités aux pays en développement et en transition</w:t>
      </w:r>
      <w:r w:rsidR="006834A2" w:rsidRPr="0039567C">
        <w:rPr>
          <w:noProof/>
          <w:lang w:val="fr-FR"/>
        </w:rPr>
        <w:t> ;</w:t>
      </w:r>
      <w:r w:rsidR="00907B30" w:rsidRPr="0039567C">
        <w:rPr>
          <w:noProof/>
          <w:lang w:val="fr-FR"/>
        </w:rPr>
        <w:t xml:space="preserve"> et d’encourager davantage la participation de l’industrie et du secteur privé tout au long du processus</w:t>
      </w:r>
      <w:r w:rsidR="006834A2" w:rsidRPr="0039567C">
        <w:rPr>
          <w:noProof/>
          <w:lang w:val="fr-FR"/>
        </w:rPr>
        <w:t> ; et i) de présenter un rapport d’étape sur l’application de la résolution.</w:t>
      </w:r>
    </w:p>
    <w:p w14:paraId="32B6F5B4" w14:textId="4B9F3AA3" w:rsidR="0064189B" w:rsidRPr="0039567C" w:rsidRDefault="0064189B" w:rsidP="008F0B73">
      <w:pPr>
        <w:pStyle w:val="Normalnumber"/>
        <w:keepNext/>
        <w:keepLines/>
        <w:tabs>
          <w:tab w:val="clear" w:pos="1134"/>
        </w:tabs>
        <w:rPr>
          <w:rFonts w:eastAsia="MS Mincho"/>
          <w:noProof/>
          <w:lang w:val="fr-FR"/>
        </w:rPr>
      </w:pPr>
      <w:r w:rsidRPr="0039567C">
        <w:rPr>
          <w:rFonts w:eastAsia="MS Mincho"/>
          <w:noProof/>
          <w:lang w:val="fr-FR"/>
        </w:rPr>
        <w:t>Le présent rapport fait le point sur les progrès accomplis dans la mise en œuvre de la résolution 4/8 en donnant un aperçu des activités entreprises dans le cadre du programme de travail 2019</w:t>
      </w:r>
      <w:r w:rsidR="007620C6" w:rsidRPr="0039567C">
        <w:rPr>
          <w:rFonts w:eastAsia="MS Mincho"/>
          <w:noProof/>
          <w:lang w:val="fr-FR"/>
        </w:rPr>
        <w:t>–</w:t>
      </w:r>
      <w:r w:rsidRPr="0039567C">
        <w:rPr>
          <w:rFonts w:eastAsia="MS Mincho"/>
          <w:noProof/>
          <w:lang w:val="fr-FR"/>
        </w:rPr>
        <w:t xml:space="preserve">2021, </w:t>
      </w:r>
      <w:r w:rsidR="002C1BF0" w:rsidRPr="0039567C">
        <w:rPr>
          <w:rFonts w:eastAsia="MS Mincho"/>
          <w:noProof/>
          <w:lang w:val="fr-FR"/>
        </w:rPr>
        <w:t xml:space="preserve">qui </w:t>
      </w:r>
      <w:r w:rsidR="009563FC" w:rsidRPr="0039567C">
        <w:rPr>
          <w:rFonts w:eastAsia="MS Mincho"/>
          <w:noProof/>
          <w:lang w:val="fr-FR"/>
        </w:rPr>
        <w:t xml:space="preserve">relèvent </w:t>
      </w:r>
      <w:r w:rsidR="002C1BF0" w:rsidRPr="0039567C">
        <w:rPr>
          <w:rFonts w:eastAsia="MS Mincho"/>
          <w:noProof/>
          <w:lang w:val="fr-FR"/>
        </w:rPr>
        <w:t xml:space="preserve">principalement </w:t>
      </w:r>
      <w:r w:rsidR="009563FC" w:rsidRPr="0039567C">
        <w:rPr>
          <w:rFonts w:eastAsia="MS Mincho"/>
          <w:noProof/>
          <w:lang w:val="fr-FR"/>
        </w:rPr>
        <w:t>du</w:t>
      </w:r>
      <w:r w:rsidR="002C1BF0" w:rsidRPr="0039567C">
        <w:rPr>
          <w:rFonts w:eastAsia="MS Mincho"/>
          <w:noProof/>
          <w:lang w:val="fr-FR"/>
        </w:rPr>
        <w:t xml:space="preserve"> sous-programme sur les produits chimiques, les déchets et la qualité de l’air.</w:t>
      </w:r>
    </w:p>
    <w:p w14:paraId="75231EF8" w14:textId="19CFE43D" w:rsidR="00921700" w:rsidRPr="0039567C" w:rsidRDefault="00364549" w:rsidP="00364549">
      <w:pPr>
        <w:pStyle w:val="CH1"/>
        <w:rPr>
          <w:rFonts w:eastAsia="SimSun"/>
          <w:bCs/>
          <w:noProof/>
          <w:lang w:val="fr-FR"/>
        </w:rPr>
      </w:pPr>
      <w:r w:rsidRPr="0039567C">
        <w:rPr>
          <w:rFonts w:eastAsia="SimSun"/>
          <w:bCs/>
          <w:noProof/>
          <w:lang w:val="fr-FR"/>
        </w:rPr>
        <w:tab/>
      </w:r>
      <w:r w:rsidR="007E3A26" w:rsidRPr="0039567C">
        <w:rPr>
          <w:rFonts w:eastAsia="SimSun"/>
          <w:bCs/>
          <w:noProof/>
          <w:lang w:val="fr-FR"/>
        </w:rPr>
        <w:t>I.</w:t>
      </w:r>
      <w:r w:rsidR="001F7820" w:rsidRPr="0039567C">
        <w:rPr>
          <w:rFonts w:eastAsia="SimSun"/>
          <w:bCs/>
          <w:noProof/>
          <w:lang w:val="fr-FR"/>
        </w:rPr>
        <w:tab/>
      </w:r>
      <w:r w:rsidR="00921700" w:rsidRPr="0039567C">
        <w:rPr>
          <w:rFonts w:eastAsia="SimSun"/>
          <w:noProof/>
          <w:lang w:val="fr-FR"/>
        </w:rPr>
        <w:t>Progr</w:t>
      </w:r>
      <w:r w:rsidR="00F33327" w:rsidRPr="0039567C">
        <w:rPr>
          <w:rFonts w:eastAsia="SimSun"/>
          <w:noProof/>
          <w:lang w:val="fr-FR"/>
        </w:rPr>
        <w:t>ès accomplis dans l</w:t>
      </w:r>
      <w:r w:rsidR="00F8436B" w:rsidRPr="0039567C">
        <w:rPr>
          <w:rFonts w:eastAsia="SimSun"/>
          <w:noProof/>
          <w:lang w:val="fr-FR"/>
        </w:rPr>
        <w:t>’application</w:t>
      </w:r>
      <w:r w:rsidR="00F33327" w:rsidRPr="0039567C">
        <w:rPr>
          <w:rFonts w:eastAsia="SimSun"/>
          <w:noProof/>
          <w:lang w:val="fr-FR"/>
        </w:rPr>
        <w:t xml:space="preserve"> de la résolution 4/8</w:t>
      </w:r>
      <w:r w:rsidR="00921700" w:rsidRPr="0039567C">
        <w:rPr>
          <w:rFonts w:eastAsia="SimSun"/>
          <w:noProof/>
          <w:lang w:val="fr-FR"/>
        </w:rPr>
        <w:t xml:space="preserve"> </w:t>
      </w:r>
    </w:p>
    <w:p w14:paraId="36ECBDDB" w14:textId="2AF5CFBD" w:rsidR="00921700" w:rsidRPr="0039567C" w:rsidRDefault="00364549" w:rsidP="00364549">
      <w:pPr>
        <w:pStyle w:val="CH2"/>
        <w:rPr>
          <w:noProof/>
          <w:lang w:val="fr-FR"/>
        </w:rPr>
      </w:pPr>
      <w:bookmarkStart w:id="1" w:name="_Hlk45730531"/>
      <w:r w:rsidRPr="0039567C">
        <w:rPr>
          <w:noProof/>
          <w:lang w:val="fr-FR"/>
        </w:rPr>
        <w:tab/>
      </w:r>
      <w:r w:rsidR="00333FC6" w:rsidRPr="0039567C">
        <w:rPr>
          <w:noProof/>
          <w:lang w:val="fr-FR"/>
        </w:rPr>
        <w:t>A.</w:t>
      </w:r>
      <w:r w:rsidR="001F7820" w:rsidRPr="0039567C">
        <w:rPr>
          <w:noProof/>
          <w:lang w:val="fr-FR"/>
        </w:rPr>
        <w:tab/>
      </w:r>
      <w:r w:rsidR="00A979DC" w:rsidRPr="0039567C">
        <w:rPr>
          <w:noProof/>
          <w:lang w:val="fr-FR"/>
        </w:rPr>
        <w:t>Renforcer les</w:t>
      </w:r>
      <w:r w:rsidR="00AF52F2" w:rsidRPr="0039567C">
        <w:rPr>
          <w:noProof/>
          <w:lang w:val="fr-FR"/>
        </w:rPr>
        <w:t xml:space="preserve"> institutions et </w:t>
      </w:r>
      <w:r w:rsidR="00A979DC" w:rsidRPr="0039567C">
        <w:rPr>
          <w:noProof/>
          <w:lang w:val="fr-FR"/>
        </w:rPr>
        <w:t>l</w:t>
      </w:r>
      <w:r w:rsidR="00AF52F2" w:rsidRPr="0039567C">
        <w:rPr>
          <w:noProof/>
          <w:lang w:val="fr-FR"/>
        </w:rPr>
        <w:t xml:space="preserve">es capacités </w:t>
      </w:r>
    </w:p>
    <w:p w14:paraId="2C2582BD" w14:textId="683CF3BE" w:rsidR="00921700" w:rsidRPr="0039567C" w:rsidRDefault="009563FC" w:rsidP="00F413A5">
      <w:pPr>
        <w:pStyle w:val="Normalnumber"/>
        <w:tabs>
          <w:tab w:val="clear" w:pos="1134"/>
        </w:tabs>
        <w:rPr>
          <w:noProof/>
          <w:lang w:val="fr-FR"/>
        </w:rPr>
      </w:pPr>
      <w:r w:rsidRPr="0039567C">
        <w:rPr>
          <w:noProof/>
          <w:bdr w:val="nil"/>
          <w:lang w:val="fr-FR"/>
        </w:rPr>
        <w:t>Conformément à</w:t>
      </w:r>
      <w:r w:rsidR="00AF52F2" w:rsidRPr="0039567C">
        <w:rPr>
          <w:noProof/>
          <w:bdr w:val="nil"/>
          <w:lang w:val="fr-FR"/>
        </w:rPr>
        <w:t xml:space="preserve"> la résolution</w:t>
      </w:r>
      <w:r w:rsidR="008F0B73" w:rsidRPr="0039567C">
        <w:rPr>
          <w:noProof/>
          <w:bdr w:val="nil"/>
          <w:lang w:val="fr-FR"/>
        </w:rPr>
        <w:t> </w:t>
      </w:r>
      <w:r w:rsidR="00AF52F2" w:rsidRPr="0039567C">
        <w:rPr>
          <w:noProof/>
          <w:bdr w:val="nil"/>
          <w:lang w:val="fr-FR"/>
        </w:rPr>
        <w:t>1/5, l’Assemblée des Nations Unies pour l’environnement a</w:t>
      </w:r>
      <w:r w:rsidR="0083595D" w:rsidRPr="0039567C">
        <w:rPr>
          <w:noProof/>
          <w:bdr w:val="nil"/>
          <w:lang w:val="fr-FR"/>
        </w:rPr>
        <w:t> </w:t>
      </w:r>
      <w:r w:rsidR="00AF52F2" w:rsidRPr="0039567C">
        <w:rPr>
          <w:noProof/>
          <w:bdr w:val="nil"/>
          <w:lang w:val="fr-FR"/>
        </w:rPr>
        <w:t>adopté le cadre du Programme sp</w:t>
      </w:r>
      <w:r w:rsidR="00122CEF" w:rsidRPr="0039567C">
        <w:rPr>
          <w:noProof/>
          <w:bdr w:val="nil"/>
          <w:lang w:val="fr-FR"/>
        </w:rPr>
        <w:t>é</w:t>
      </w:r>
      <w:r w:rsidR="00AF52F2" w:rsidRPr="0039567C">
        <w:rPr>
          <w:noProof/>
          <w:bdr w:val="nil"/>
          <w:lang w:val="fr-FR"/>
        </w:rPr>
        <w:t xml:space="preserve">cial d’appui au renforcement des institutions nationales aux fins de la mise en </w:t>
      </w:r>
      <w:r w:rsidR="00122CEF" w:rsidRPr="0039567C">
        <w:rPr>
          <w:noProof/>
          <w:bdr w:val="nil"/>
          <w:lang w:val="fr-FR"/>
        </w:rPr>
        <w:t>œuvre</w:t>
      </w:r>
      <w:r w:rsidR="00AF52F2" w:rsidRPr="0039567C">
        <w:rPr>
          <w:noProof/>
          <w:bdr w:val="nil"/>
          <w:lang w:val="fr-FR"/>
        </w:rPr>
        <w:t xml:space="preserve"> des conventions de Bâle, de Rotterdam et de Stockholm, de la Convention de Minamata et de l’Approche stratégique de la gestion internationale des produits chimiques.</w:t>
      </w:r>
      <w:r w:rsidR="00122CEF" w:rsidRPr="0039567C">
        <w:rPr>
          <w:noProof/>
          <w:bdr w:val="nil"/>
          <w:lang w:val="fr-FR"/>
        </w:rPr>
        <w:t xml:space="preserve"> Ce</w:t>
      </w:r>
      <w:r w:rsidR="008F0B73" w:rsidRPr="0039567C">
        <w:rPr>
          <w:noProof/>
          <w:bdr w:val="nil"/>
          <w:lang w:val="fr-FR"/>
        </w:rPr>
        <w:t> </w:t>
      </w:r>
      <w:r w:rsidR="00122CEF" w:rsidRPr="0039567C">
        <w:rPr>
          <w:noProof/>
          <w:bdr w:val="nil"/>
          <w:lang w:val="fr-FR"/>
        </w:rPr>
        <w:t>programme spécial vise à a</w:t>
      </w:r>
      <w:r w:rsidR="004B6BC8" w:rsidRPr="0039567C">
        <w:rPr>
          <w:noProof/>
          <w:bdr w:val="nil"/>
          <w:lang w:val="fr-FR"/>
        </w:rPr>
        <w:t>ccompagner</w:t>
      </w:r>
      <w:r w:rsidR="008A4B89" w:rsidRPr="0039567C">
        <w:rPr>
          <w:noProof/>
          <w:bdr w:val="nil"/>
          <w:lang w:val="fr-FR"/>
        </w:rPr>
        <w:t xml:space="preserve"> le renforcement institutionnel </w:t>
      </w:r>
      <w:r w:rsidR="00543702" w:rsidRPr="0039567C">
        <w:rPr>
          <w:noProof/>
          <w:bdr w:val="nil"/>
          <w:lang w:val="fr-FR"/>
        </w:rPr>
        <w:t>voulu</w:t>
      </w:r>
      <w:r w:rsidR="008A4B89" w:rsidRPr="0039567C">
        <w:rPr>
          <w:noProof/>
          <w:bdr w:val="nil"/>
          <w:lang w:val="fr-FR"/>
        </w:rPr>
        <w:t xml:space="preserve"> par le pays au niveau national</w:t>
      </w:r>
      <w:r w:rsidR="00543702" w:rsidRPr="0039567C">
        <w:rPr>
          <w:noProof/>
          <w:bdr w:val="nil"/>
          <w:lang w:val="fr-FR"/>
        </w:rPr>
        <w:t>, dans le contexte d’une approche intégrée du financement de la gestion rationnelle des produits chimiques et des déchets</w:t>
      </w:r>
      <w:r w:rsidRPr="0039567C">
        <w:rPr>
          <w:noProof/>
          <w:bdr w:val="nil"/>
          <w:lang w:val="fr-FR"/>
        </w:rPr>
        <w:t>,</w:t>
      </w:r>
      <w:r w:rsidR="004B6BC8" w:rsidRPr="0039567C">
        <w:rPr>
          <w:noProof/>
          <w:bdr w:val="nil"/>
          <w:lang w:val="fr-FR"/>
        </w:rPr>
        <w:t xml:space="preserve"> en tenant compte des stratégies, priorités et plans nationaux de développement de chaque pays</w:t>
      </w:r>
      <w:r w:rsidRPr="0039567C">
        <w:rPr>
          <w:noProof/>
          <w:bdr w:val="nil"/>
          <w:lang w:val="fr-FR"/>
        </w:rPr>
        <w:t>,</w:t>
      </w:r>
      <w:r w:rsidR="004B6BC8" w:rsidRPr="0039567C">
        <w:rPr>
          <w:noProof/>
          <w:bdr w:val="nil"/>
          <w:lang w:val="fr-FR"/>
        </w:rPr>
        <w:t xml:space="preserve"> afin de renforcer la capacité institutionnelle publique</w:t>
      </w:r>
      <w:r w:rsidR="00F413A5" w:rsidRPr="0039567C">
        <w:rPr>
          <w:noProof/>
          <w:bdr w:val="nil"/>
          <w:lang w:val="fr-FR"/>
        </w:rPr>
        <w:t xml:space="preserve"> et</w:t>
      </w:r>
      <w:r w:rsidR="004B6BC8" w:rsidRPr="0039567C">
        <w:rPr>
          <w:noProof/>
          <w:bdr w:val="nil"/>
          <w:lang w:val="fr-FR"/>
        </w:rPr>
        <w:t xml:space="preserve"> durable </w:t>
      </w:r>
      <w:r w:rsidR="00F413A5" w:rsidRPr="0039567C">
        <w:rPr>
          <w:noProof/>
          <w:bdr w:val="nil"/>
          <w:lang w:val="fr-FR"/>
        </w:rPr>
        <w:t xml:space="preserve">relative à la gestion </w:t>
      </w:r>
      <w:r w:rsidR="00680699" w:rsidRPr="0039567C">
        <w:rPr>
          <w:noProof/>
          <w:bdr w:val="nil"/>
          <w:lang w:val="fr-FR"/>
        </w:rPr>
        <w:t xml:space="preserve">rationnelle </w:t>
      </w:r>
      <w:r w:rsidR="00F413A5" w:rsidRPr="0039567C">
        <w:rPr>
          <w:noProof/>
          <w:bdr w:val="nil"/>
          <w:lang w:val="fr-FR"/>
        </w:rPr>
        <w:t>des produits chimiques et des déchets tout au long de leur cycle de vie. Le</w:t>
      </w:r>
      <w:r w:rsidR="008F0B73" w:rsidRPr="0039567C">
        <w:rPr>
          <w:noProof/>
          <w:bdr w:val="nil"/>
          <w:lang w:val="fr-FR"/>
        </w:rPr>
        <w:t> </w:t>
      </w:r>
      <w:r w:rsidR="00F413A5" w:rsidRPr="0039567C">
        <w:rPr>
          <w:noProof/>
          <w:bdr w:val="nil"/>
          <w:lang w:val="fr-FR"/>
        </w:rPr>
        <w:t xml:space="preserve">Programme spécial </w:t>
      </w:r>
      <w:r w:rsidRPr="0039567C">
        <w:rPr>
          <w:noProof/>
          <w:bdr w:val="nil"/>
          <w:lang w:val="fr-FR"/>
        </w:rPr>
        <w:t>s’associe</w:t>
      </w:r>
      <w:r w:rsidR="00F413A5" w:rsidRPr="0039567C">
        <w:rPr>
          <w:noProof/>
          <w:bdr w:val="nil"/>
          <w:lang w:val="fr-FR"/>
        </w:rPr>
        <w:t xml:space="preserve"> aux réalisations escomptées du secrétariat</w:t>
      </w:r>
      <w:r w:rsidR="00921700" w:rsidRPr="0039567C">
        <w:rPr>
          <w:noProof/>
          <w:bdr w:val="nil"/>
          <w:lang w:val="fr-FR"/>
        </w:rPr>
        <w:t xml:space="preserve"> a) </w:t>
      </w:r>
      <w:r w:rsidR="00F413A5" w:rsidRPr="0039567C">
        <w:rPr>
          <w:noProof/>
          <w:bdr w:val="nil"/>
          <w:lang w:val="fr-FR"/>
        </w:rPr>
        <w:t>et</w:t>
      </w:r>
      <w:r w:rsidR="00921700" w:rsidRPr="0039567C">
        <w:rPr>
          <w:noProof/>
          <w:bdr w:val="nil"/>
          <w:lang w:val="fr-FR"/>
        </w:rPr>
        <w:t xml:space="preserve"> b) </w:t>
      </w:r>
      <w:r w:rsidR="00F413A5" w:rsidRPr="0039567C">
        <w:rPr>
          <w:noProof/>
          <w:bdr w:val="nil"/>
          <w:lang w:val="fr-FR"/>
        </w:rPr>
        <w:t>du sous</w:t>
      </w:r>
      <w:r w:rsidR="00F413A5" w:rsidRPr="0039567C">
        <w:rPr>
          <w:noProof/>
          <w:bdr w:val="nil"/>
          <w:lang w:val="fr-FR"/>
        </w:rPr>
        <w:noBreakHyphen/>
        <w:t xml:space="preserve">programme 5 du PNUE </w:t>
      </w:r>
      <w:r w:rsidR="000D0D8F" w:rsidRPr="0039567C">
        <w:rPr>
          <w:noProof/>
          <w:bdr w:val="nil"/>
          <w:lang w:val="fr-FR"/>
        </w:rPr>
        <w:t>(</w:t>
      </w:r>
      <w:r w:rsidR="00F413A5" w:rsidRPr="0039567C">
        <w:rPr>
          <w:noProof/>
          <w:bdr w:val="nil"/>
          <w:lang w:val="fr-FR"/>
        </w:rPr>
        <w:t xml:space="preserve">voir </w:t>
      </w:r>
      <w:r w:rsidR="000D0D8F" w:rsidRPr="0039567C">
        <w:rPr>
          <w:noProof/>
          <w:szCs w:val="18"/>
          <w:lang w:val="fr-FR"/>
        </w:rPr>
        <w:t xml:space="preserve">UNEP.EA.4/4, </w:t>
      </w:r>
      <w:r w:rsidR="004B6BC8" w:rsidRPr="0039567C">
        <w:rPr>
          <w:noProof/>
          <w:szCs w:val="18"/>
          <w:lang w:val="fr-FR"/>
        </w:rPr>
        <w:t>p.</w:t>
      </w:r>
      <w:r w:rsidR="008F0B73" w:rsidRPr="0039567C">
        <w:rPr>
          <w:noProof/>
          <w:szCs w:val="18"/>
          <w:lang w:val="fr-FR"/>
        </w:rPr>
        <w:t> </w:t>
      </w:r>
      <w:r w:rsidR="004B6BC8" w:rsidRPr="0039567C">
        <w:rPr>
          <w:noProof/>
          <w:szCs w:val="18"/>
          <w:lang w:val="fr-FR"/>
        </w:rPr>
        <w:t>8</w:t>
      </w:r>
      <w:r w:rsidR="00F413A5" w:rsidRPr="0039567C">
        <w:rPr>
          <w:noProof/>
          <w:szCs w:val="18"/>
          <w:lang w:val="fr-FR"/>
        </w:rPr>
        <w:t>5 à</w:t>
      </w:r>
      <w:r w:rsidR="008F0B73" w:rsidRPr="0039567C">
        <w:rPr>
          <w:noProof/>
          <w:szCs w:val="18"/>
          <w:lang w:val="fr-FR"/>
        </w:rPr>
        <w:t> </w:t>
      </w:r>
      <w:r w:rsidR="00F413A5" w:rsidRPr="0039567C">
        <w:rPr>
          <w:noProof/>
          <w:szCs w:val="18"/>
          <w:lang w:val="fr-FR"/>
        </w:rPr>
        <w:t>87</w:t>
      </w:r>
      <w:r w:rsidR="000D0D8F" w:rsidRPr="0039567C">
        <w:rPr>
          <w:noProof/>
          <w:szCs w:val="18"/>
          <w:lang w:val="fr-FR"/>
        </w:rPr>
        <w:t>).</w:t>
      </w:r>
    </w:p>
    <w:p w14:paraId="19D88260" w14:textId="5080A155" w:rsidR="005E783F" w:rsidRPr="0039567C" w:rsidRDefault="00E60A83" w:rsidP="001F7820">
      <w:pPr>
        <w:pStyle w:val="Normalnumber"/>
        <w:tabs>
          <w:tab w:val="clear" w:pos="1134"/>
        </w:tabs>
        <w:rPr>
          <w:noProof/>
          <w:bdr w:val="nil"/>
          <w:lang w:val="fr-FR"/>
        </w:rPr>
      </w:pPr>
      <w:r w:rsidRPr="0039567C">
        <w:rPr>
          <w:noProof/>
          <w:bdr w:val="nil"/>
          <w:lang w:val="fr-FR"/>
        </w:rPr>
        <w:t>Au 30 octobre 2020, l</w:t>
      </w:r>
      <w:r w:rsidR="005E783F" w:rsidRPr="0039567C">
        <w:rPr>
          <w:noProof/>
          <w:bdr w:val="nil"/>
          <w:lang w:val="fr-FR"/>
        </w:rPr>
        <w:t xml:space="preserve">es contributions volontaires et les annonces de contribution au fonds d’affectation </w:t>
      </w:r>
      <w:r w:rsidR="00584DF1" w:rsidRPr="0039567C">
        <w:rPr>
          <w:noProof/>
          <w:bdr w:val="nil"/>
          <w:lang w:val="fr-FR"/>
        </w:rPr>
        <w:t xml:space="preserve">spéciale </w:t>
      </w:r>
      <w:r w:rsidR="005E783F" w:rsidRPr="0039567C">
        <w:rPr>
          <w:noProof/>
          <w:bdr w:val="nil"/>
          <w:lang w:val="fr-FR"/>
        </w:rPr>
        <w:t>du Programme spécial, établi en septembre 2015, s’élevaient</w:t>
      </w:r>
      <w:r w:rsidR="00E12846" w:rsidRPr="0039567C">
        <w:rPr>
          <w:noProof/>
          <w:bdr w:val="nil"/>
          <w:lang w:val="fr-FR"/>
        </w:rPr>
        <w:t xml:space="preserve"> </w:t>
      </w:r>
      <w:r w:rsidR="005E783F" w:rsidRPr="0039567C">
        <w:rPr>
          <w:noProof/>
          <w:bdr w:val="nil"/>
          <w:lang w:val="fr-FR"/>
        </w:rPr>
        <w:t>à 27 457 607</w:t>
      </w:r>
      <w:r w:rsidR="00434517" w:rsidRPr="0039567C">
        <w:rPr>
          <w:noProof/>
          <w:bdr w:val="nil"/>
          <w:lang w:val="fr-FR"/>
        </w:rPr>
        <w:t> </w:t>
      </w:r>
      <w:r w:rsidR="005E783F" w:rsidRPr="0039567C">
        <w:rPr>
          <w:noProof/>
          <w:bdr w:val="nil"/>
          <w:lang w:val="fr-FR"/>
        </w:rPr>
        <w:t>dollars. À ce jour, 42</w:t>
      </w:r>
      <w:r w:rsidR="008F0B73" w:rsidRPr="0039567C">
        <w:rPr>
          <w:noProof/>
          <w:bdr w:val="nil"/>
          <w:lang w:val="fr-FR"/>
        </w:rPr>
        <w:t> </w:t>
      </w:r>
      <w:r w:rsidR="005E783F" w:rsidRPr="0039567C">
        <w:rPr>
          <w:noProof/>
          <w:bdr w:val="nil"/>
          <w:lang w:val="fr-FR"/>
        </w:rPr>
        <w:t xml:space="preserve">projets </w:t>
      </w:r>
      <w:r w:rsidR="00E12846" w:rsidRPr="0039567C">
        <w:rPr>
          <w:noProof/>
          <w:bdr w:val="nil"/>
          <w:lang w:val="fr-FR"/>
        </w:rPr>
        <w:t xml:space="preserve">ont été financés en </w:t>
      </w:r>
      <w:r w:rsidR="005E783F" w:rsidRPr="0039567C">
        <w:rPr>
          <w:noProof/>
          <w:bdr w:val="nil"/>
          <w:lang w:val="fr-FR"/>
        </w:rPr>
        <w:t xml:space="preserve">Afrique, </w:t>
      </w:r>
      <w:r w:rsidR="00E12846" w:rsidRPr="0039567C">
        <w:rPr>
          <w:noProof/>
          <w:bdr w:val="nil"/>
          <w:lang w:val="fr-FR"/>
        </w:rPr>
        <w:t xml:space="preserve">en </w:t>
      </w:r>
      <w:r w:rsidR="005E783F" w:rsidRPr="0039567C">
        <w:rPr>
          <w:noProof/>
          <w:bdr w:val="nil"/>
          <w:lang w:val="fr-FR"/>
        </w:rPr>
        <w:t>Asie et</w:t>
      </w:r>
      <w:r w:rsidR="00CC2209" w:rsidRPr="0039567C">
        <w:rPr>
          <w:noProof/>
          <w:bdr w:val="nil"/>
          <w:lang w:val="fr-FR"/>
        </w:rPr>
        <w:t xml:space="preserve"> </w:t>
      </w:r>
      <w:r w:rsidR="00E12846" w:rsidRPr="0039567C">
        <w:rPr>
          <w:noProof/>
          <w:bdr w:val="nil"/>
          <w:lang w:val="fr-FR"/>
        </w:rPr>
        <w:t xml:space="preserve">dans le </w:t>
      </w:r>
      <w:r w:rsidR="00CC2209" w:rsidRPr="0039567C">
        <w:rPr>
          <w:noProof/>
          <w:bdr w:val="nil"/>
          <w:lang w:val="fr-FR"/>
        </w:rPr>
        <w:t>Pacifique,</w:t>
      </w:r>
      <w:r w:rsidR="005E783F" w:rsidRPr="0039567C">
        <w:rPr>
          <w:noProof/>
          <w:bdr w:val="nil"/>
          <w:lang w:val="fr-FR"/>
        </w:rPr>
        <w:t xml:space="preserve"> </w:t>
      </w:r>
      <w:r w:rsidR="00E12846" w:rsidRPr="0039567C">
        <w:rPr>
          <w:noProof/>
          <w:bdr w:val="nil"/>
          <w:lang w:val="fr-FR"/>
        </w:rPr>
        <w:t>en</w:t>
      </w:r>
      <w:r w:rsidR="00175CE7" w:rsidRPr="0039567C">
        <w:rPr>
          <w:noProof/>
          <w:bdr w:val="nil"/>
          <w:lang w:val="fr-FR"/>
        </w:rPr>
        <w:t> </w:t>
      </w:r>
      <w:r w:rsidR="00CC2209" w:rsidRPr="0039567C">
        <w:rPr>
          <w:noProof/>
          <w:bdr w:val="nil"/>
          <w:lang w:val="fr-FR"/>
        </w:rPr>
        <w:t>Europe centrale et orientale, e</w:t>
      </w:r>
      <w:r w:rsidR="00E12846" w:rsidRPr="0039567C">
        <w:rPr>
          <w:noProof/>
          <w:bdr w:val="nil"/>
          <w:lang w:val="fr-FR"/>
        </w:rPr>
        <w:t xml:space="preserve">n </w:t>
      </w:r>
      <w:r w:rsidR="00CC2209" w:rsidRPr="0039567C">
        <w:rPr>
          <w:noProof/>
          <w:bdr w:val="nil"/>
          <w:lang w:val="fr-FR"/>
        </w:rPr>
        <w:t>Amérique latine et</w:t>
      </w:r>
      <w:r w:rsidR="00E12846" w:rsidRPr="0039567C">
        <w:rPr>
          <w:noProof/>
          <w:bdr w:val="nil"/>
          <w:lang w:val="fr-FR"/>
        </w:rPr>
        <w:t xml:space="preserve"> aux </w:t>
      </w:r>
      <w:r w:rsidR="00CC2209" w:rsidRPr="0039567C">
        <w:rPr>
          <w:noProof/>
          <w:bdr w:val="nil"/>
          <w:lang w:val="fr-FR"/>
        </w:rPr>
        <w:t>Caraïbes</w:t>
      </w:r>
      <w:r w:rsidR="00E12846" w:rsidRPr="0039567C">
        <w:rPr>
          <w:noProof/>
          <w:bdr w:val="nil"/>
          <w:lang w:val="fr-FR"/>
        </w:rPr>
        <w:t>,</w:t>
      </w:r>
      <w:r w:rsidR="00CC2209" w:rsidRPr="0039567C">
        <w:rPr>
          <w:noProof/>
          <w:bdr w:val="nil"/>
          <w:lang w:val="fr-FR"/>
        </w:rPr>
        <w:t xml:space="preserve"> </w:t>
      </w:r>
      <w:r w:rsidR="00E12846" w:rsidRPr="0039567C">
        <w:rPr>
          <w:noProof/>
          <w:bdr w:val="nil"/>
          <w:lang w:val="fr-FR"/>
        </w:rPr>
        <w:t>répartis sur trois cycles de demande</w:t>
      </w:r>
      <w:r w:rsidR="00F05B69" w:rsidRPr="0039567C">
        <w:rPr>
          <w:noProof/>
          <w:bdr w:val="nil"/>
          <w:lang w:val="fr-FR"/>
        </w:rPr>
        <w:t>s</w:t>
      </w:r>
      <w:r w:rsidR="00E12846" w:rsidRPr="0039567C">
        <w:rPr>
          <w:noProof/>
          <w:bdr w:val="nil"/>
          <w:lang w:val="fr-FR"/>
        </w:rPr>
        <w:t xml:space="preserve">. </w:t>
      </w:r>
      <w:r w:rsidR="0014716C" w:rsidRPr="0039567C">
        <w:rPr>
          <w:noProof/>
          <w:bdr w:val="nil"/>
          <w:lang w:val="fr-FR"/>
        </w:rPr>
        <w:t>La</w:t>
      </w:r>
      <w:r w:rsidR="008F0B73" w:rsidRPr="0039567C">
        <w:rPr>
          <w:noProof/>
          <w:bdr w:val="nil"/>
          <w:lang w:val="fr-FR"/>
        </w:rPr>
        <w:t> </w:t>
      </w:r>
      <w:r w:rsidR="0014716C" w:rsidRPr="0039567C">
        <w:rPr>
          <w:noProof/>
          <w:bdr w:val="nil"/>
          <w:lang w:val="fr-FR"/>
        </w:rPr>
        <w:t xml:space="preserve">plupart des projets sont encore dans leur phase de mise en œuvre, organisée par les gouvernements </w:t>
      </w:r>
      <w:r w:rsidR="0041763A" w:rsidRPr="0039567C">
        <w:rPr>
          <w:noProof/>
          <w:bdr w:val="nil"/>
          <w:lang w:val="fr-FR"/>
        </w:rPr>
        <w:t xml:space="preserve">bénéficiaires avec, dans certains cas, l’appui d’organismes d’exécution. Les activités financées </w:t>
      </w:r>
      <w:r w:rsidR="00F05B69" w:rsidRPr="0039567C">
        <w:rPr>
          <w:noProof/>
          <w:bdr w:val="nil"/>
          <w:lang w:val="fr-FR"/>
        </w:rPr>
        <w:t>comprennent</w:t>
      </w:r>
      <w:r w:rsidR="0041763A" w:rsidRPr="0039567C">
        <w:rPr>
          <w:noProof/>
          <w:bdr w:val="nil"/>
          <w:lang w:val="fr-FR"/>
        </w:rPr>
        <w:t xml:space="preserve"> l’élaboration de politiques et de législations nationales, l’établissement de mécanismes de coordination multipartites pour</w:t>
      </w:r>
      <w:r w:rsidR="00F05B69" w:rsidRPr="0039567C">
        <w:rPr>
          <w:noProof/>
          <w:bdr w:val="nil"/>
          <w:lang w:val="fr-FR"/>
        </w:rPr>
        <w:t xml:space="preserve"> une </w:t>
      </w:r>
      <w:r w:rsidR="006D663B" w:rsidRPr="0039567C">
        <w:rPr>
          <w:noProof/>
          <w:bdr w:val="nil"/>
          <w:lang w:val="fr-FR"/>
        </w:rPr>
        <w:t xml:space="preserve">meilleure </w:t>
      </w:r>
      <w:r w:rsidR="00F05B69" w:rsidRPr="0039567C">
        <w:rPr>
          <w:noProof/>
          <w:bdr w:val="nil"/>
          <w:lang w:val="fr-FR"/>
        </w:rPr>
        <w:t>gestion des produits chimiques et des déchets, la</w:t>
      </w:r>
      <w:r w:rsidR="008F0B73" w:rsidRPr="0039567C">
        <w:rPr>
          <w:noProof/>
          <w:bdr w:val="nil"/>
          <w:lang w:val="fr-FR"/>
        </w:rPr>
        <w:t> </w:t>
      </w:r>
      <w:r w:rsidR="00F05B69" w:rsidRPr="0039567C">
        <w:rPr>
          <w:noProof/>
          <w:bdr w:val="nil"/>
          <w:lang w:val="fr-FR"/>
        </w:rPr>
        <w:t xml:space="preserve">mise en œuvre coordonnée des instruments pertinents, l’amélioration des mécanismes de notification, le renforcement des capacités et les activités de sensibilisation. Le quatrième cycle de demandes de financement sera examiné par le Conseil </w:t>
      </w:r>
      <w:r w:rsidRPr="0039567C">
        <w:rPr>
          <w:noProof/>
          <w:bdr w:val="nil"/>
          <w:lang w:val="fr-FR"/>
        </w:rPr>
        <w:t xml:space="preserve">exécutif </w:t>
      </w:r>
      <w:r w:rsidR="00F05B69" w:rsidRPr="0039567C">
        <w:rPr>
          <w:noProof/>
          <w:bdr w:val="nil"/>
          <w:lang w:val="fr-FR"/>
        </w:rPr>
        <w:t>du Programme spécial au début de l’année 2021.</w:t>
      </w:r>
    </w:p>
    <w:p w14:paraId="0E2D5991" w14:textId="055FA7A7" w:rsidR="00A979DC" w:rsidRPr="0039567C" w:rsidRDefault="00364549" w:rsidP="00364549">
      <w:pPr>
        <w:pStyle w:val="CH2"/>
        <w:rPr>
          <w:noProof/>
          <w:lang w:val="fr-FR"/>
        </w:rPr>
      </w:pPr>
      <w:r w:rsidRPr="0039567C">
        <w:rPr>
          <w:noProof/>
          <w:lang w:val="fr-FR"/>
        </w:rPr>
        <w:tab/>
      </w:r>
      <w:r w:rsidR="00333FC6" w:rsidRPr="0039567C">
        <w:rPr>
          <w:noProof/>
          <w:lang w:val="fr-FR"/>
        </w:rPr>
        <w:t>B</w:t>
      </w:r>
      <w:r w:rsidR="001F580A" w:rsidRPr="0039567C">
        <w:rPr>
          <w:noProof/>
          <w:lang w:val="fr-FR"/>
        </w:rPr>
        <w:t>.</w:t>
      </w:r>
      <w:r w:rsidR="001F7820" w:rsidRPr="0039567C">
        <w:rPr>
          <w:noProof/>
          <w:lang w:val="fr-FR"/>
        </w:rPr>
        <w:tab/>
      </w:r>
      <w:r w:rsidR="00A979DC" w:rsidRPr="0039567C">
        <w:rPr>
          <w:noProof/>
          <w:lang w:val="fr-FR"/>
        </w:rPr>
        <w:t>Renforcer la coopération et éviter le chevauchement des activités entreprises par les organisations membres du Programme interorganisations pour la</w:t>
      </w:r>
      <w:r w:rsidR="00F7655A" w:rsidRPr="0039567C">
        <w:rPr>
          <w:noProof/>
          <w:lang w:val="fr-FR"/>
        </w:rPr>
        <w:t> </w:t>
      </w:r>
      <w:r w:rsidR="00A979DC" w:rsidRPr="0039567C">
        <w:rPr>
          <w:noProof/>
          <w:lang w:val="fr-FR"/>
        </w:rPr>
        <w:t>gestion rationnelle des produits chimiques</w:t>
      </w:r>
    </w:p>
    <w:p w14:paraId="7F581394" w14:textId="41AF6D29" w:rsidR="00764DAC" w:rsidRPr="0039567C" w:rsidRDefault="00764DAC" w:rsidP="00364549">
      <w:pPr>
        <w:pStyle w:val="Normalnumber"/>
        <w:tabs>
          <w:tab w:val="clear" w:pos="1134"/>
        </w:tabs>
        <w:rPr>
          <w:noProof/>
          <w:bdr w:val="nil"/>
          <w:lang w:val="fr-FR"/>
        </w:rPr>
      </w:pPr>
      <w:r w:rsidRPr="0039567C">
        <w:rPr>
          <w:noProof/>
          <w:bdr w:val="nil"/>
          <w:lang w:val="fr-FR"/>
        </w:rPr>
        <w:t xml:space="preserve">Le PNUE coopère activement avec les organisations membres du Programme interorganisations pour la gestion rationnelle des produits chimiques et au-delà. Il a participé de façon régulière aux réunions du </w:t>
      </w:r>
      <w:r w:rsidR="00111FDD" w:rsidRPr="0039567C">
        <w:rPr>
          <w:noProof/>
          <w:bdr w:val="nil"/>
          <w:lang w:val="fr-FR"/>
        </w:rPr>
        <w:t>P</w:t>
      </w:r>
      <w:r w:rsidRPr="0039567C">
        <w:rPr>
          <w:noProof/>
          <w:bdr w:val="nil"/>
          <w:lang w:val="fr-FR"/>
        </w:rPr>
        <w:t>rogramme</w:t>
      </w:r>
      <w:r w:rsidR="00F02C91" w:rsidRPr="0039567C">
        <w:rPr>
          <w:noProof/>
          <w:bdr w:val="nil"/>
          <w:lang w:val="fr-FR"/>
        </w:rPr>
        <w:t xml:space="preserve"> interorganisations </w:t>
      </w:r>
      <w:r w:rsidRPr="0039567C">
        <w:rPr>
          <w:noProof/>
          <w:bdr w:val="nil"/>
          <w:lang w:val="fr-FR"/>
        </w:rPr>
        <w:t>et les rapports mentionnés ci</w:t>
      </w:r>
      <w:r w:rsidRPr="0039567C">
        <w:rPr>
          <w:noProof/>
          <w:bdr w:val="nil"/>
          <w:lang w:val="fr-FR"/>
        </w:rPr>
        <w:noBreakHyphen/>
        <w:t>dessous ont été établis en coopération avec les organisations membres du Programme interorganisations et les secrétariats des accords multilatéraux relatifs à l’environnement.</w:t>
      </w:r>
    </w:p>
    <w:p w14:paraId="532EE6D0" w14:textId="01FBA048" w:rsidR="00764DAC" w:rsidRPr="0039567C" w:rsidRDefault="00764DAC" w:rsidP="00764DAC">
      <w:pPr>
        <w:pStyle w:val="Normalnumber"/>
        <w:tabs>
          <w:tab w:val="clear" w:pos="1134"/>
        </w:tabs>
        <w:rPr>
          <w:rStyle w:val="preferred"/>
          <w:noProof/>
          <w:bdr w:val="nil"/>
          <w:lang w:val="fr-FR"/>
        </w:rPr>
      </w:pPr>
      <w:r w:rsidRPr="0039567C">
        <w:rPr>
          <w:noProof/>
          <w:bdr w:val="nil"/>
          <w:lang w:val="fr-FR"/>
        </w:rPr>
        <w:t xml:space="preserve">Le secrétariat de l’Approche </w:t>
      </w:r>
      <w:r w:rsidRPr="0039567C">
        <w:rPr>
          <w:rStyle w:val="preferred"/>
          <w:noProof/>
          <w:lang w:val="fr-FR"/>
        </w:rPr>
        <w:t>stratégique de la gestion internationale des produits chimiques travaille avec les organisations membres du Programme interorganisations pour la gestion rationnelle des produits chimiques dans le cadre d</w:t>
      </w:r>
      <w:r w:rsidR="00CE7FF0" w:rsidRPr="0039567C">
        <w:rPr>
          <w:rStyle w:val="preferred"/>
          <w:noProof/>
          <w:lang w:val="fr-FR"/>
        </w:rPr>
        <w:t>e la mise en œuvre du</w:t>
      </w:r>
      <w:r w:rsidRPr="0039567C">
        <w:rPr>
          <w:rStyle w:val="preferred"/>
          <w:noProof/>
          <w:lang w:val="fr-FR"/>
        </w:rPr>
        <w:t xml:space="preserve"> projet </w:t>
      </w:r>
      <w:r w:rsidR="00D257AC" w:rsidRPr="0039567C">
        <w:rPr>
          <w:rStyle w:val="preferred"/>
          <w:noProof/>
          <w:lang w:val="fr-FR"/>
        </w:rPr>
        <w:t xml:space="preserve">du Fonds pour l’environnement mondial </w:t>
      </w:r>
      <w:r w:rsidR="00CE7FF0" w:rsidRPr="0039567C">
        <w:rPr>
          <w:rStyle w:val="preferred"/>
          <w:noProof/>
          <w:lang w:val="fr-FR"/>
        </w:rPr>
        <w:t xml:space="preserve">sur </w:t>
      </w:r>
      <w:r w:rsidRPr="0039567C">
        <w:rPr>
          <w:rStyle w:val="preferred"/>
          <w:noProof/>
          <w:lang w:val="fr-FR"/>
        </w:rPr>
        <w:t>l’</w:t>
      </w:r>
      <w:r w:rsidR="001022CD" w:rsidRPr="0039567C">
        <w:rPr>
          <w:rStyle w:val="preferred"/>
          <w:noProof/>
          <w:lang w:val="fr-FR"/>
        </w:rPr>
        <w:t>A</w:t>
      </w:r>
      <w:r w:rsidRPr="0039567C">
        <w:rPr>
          <w:rStyle w:val="preferred"/>
          <w:noProof/>
          <w:lang w:val="fr-FR"/>
        </w:rPr>
        <w:t xml:space="preserve">pproche stratégique </w:t>
      </w:r>
      <w:r w:rsidR="00CE7FF0" w:rsidRPr="0039567C">
        <w:rPr>
          <w:rStyle w:val="preferred"/>
          <w:noProof/>
          <w:lang w:val="fr-FR"/>
        </w:rPr>
        <w:t>de la gestion internationale des produits chimiques, notamment sur les rôles</w:t>
      </w:r>
      <w:r w:rsidR="00D257AC" w:rsidRPr="0039567C">
        <w:rPr>
          <w:rStyle w:val="preferred"/>
          <w:noProof/>
          <w:lang w:val="fr-FR"/>
        </w:rPr>
        <w:t xml:space="preserve"> de direction dans sa présentation aux communautés de pratique établies pour lutter contre l</w:t>
      </w:r>
      <w:r w:rsidR="0091019F" w:rsidRPr="0039567C">
        <w:rPr>
          <w:rStyle w:val="preferred"/>
          <w:noProof/>
          <w:lang w:val="fr-FR"/>
        </w:rPr>
        <w:t>es peintures au plomb</w:t>
      </w:r>
      <w:r w:rsidR="00D257AC" w:rsidRPr="0039567C">
        <w:rPr>
          <w:rStyle w:val="preferred"/>
          <w:noProof/>
          <w:lang w:val="fr-FR"/>
        </w:rPr>
        <w:t xml:space="preserve">, </w:t>
      </w:r>
      <w:r w:rsidR="00E60A83" w:rsidRPr="0039567C">
        <w:rPr>
          <w:rStyle w:val="preferred"/>
          <w:noProof/>
          <w:lang w:val="fr-FR"/>
        </w:rPr>
        <w:t>les</w:t>
      </w:r>
      <w:r w:rsidR="00D257AC" w:rsidRPr="0039567C">
        <w:rPr>
          <w:rStyle w:val="preferred"/>
          <w:noProof/>
          <w:lang w:val="fr-FR"/>
        </w:rPr>
        <w:t xml:space="preserve"> </w:t>
      </w:r>
      <w:r w:rsidR="0091019F" w:rsidRPr="0039567C">
        <w:rPr>
          <w:rStyle w:val="preferred"/>
          <w:noProof/>
          <w:lang w:val="fr-FR"/>
        </w:rPr>
        <w:t>substance</w:t>
      </w:r>
      <w:r w:rsidR="00D257AC" w:rsidRPr="0039567C">
        <w:rPr>
          <w:rStyle w:val="preferred"/>
          <w:noProof/>
          <w:lang w:val="fr-FR"/>
        </w:rPr>
        <w:t>s chimiques</w:t>
      </w:r>
      <w:r w:rsidR="0091019F" w:rsidRPr="0039567C">
        <w:rPr>
          <w:rStyle w:val="preferred"/>
          <w:noProof/>
          <w:lang w:val="fr-FR"/>
        </w:rPr>
        <w:t xml:space="preserve"> présentes dans les produits, les pesticides très dangereux ainsi que pour les objectifs de développement durable.</w:t>
      </w:r>
    </w:p>
    <w:p w14:paraId="6A83B6D4" w14:textId="2D408A3A" w:rsidR="0091019F" w:rsidRPr="0039567C" w:rsidRDefault="0091019F" w:rsidP="00A349C2">
      <w:pPr>
        <w:pStyle w:val="Normalnumber"/>
        <w:tabs>
          <w:tab w:val="clear" w:pos="1134"/>
        </w:tabs>
        <w:rPr>
          <w:noProof/>
          <w:bdr w:val="nil"/>
          <w:lang w:val="fr-FR"/>
        </w:rPr>
      </w:pPr>
      <w:r w:rsidRPr="0039567C">
        <w:rPr>
          <w:noProof/>
          <w:bdr w:val="nil"/>
          <w:lang w:val="fr-FR"/>
        </w:rPr>
        <w:t xml:space="preserve">Le PNUE coopère aussi activement </w:t>
      </w:r>
      <w:r w:rsidR="008107E8" w:rsidRPr="0039567C">
        <w:rPr>
          <w:noProof/>
          <w:bdr w:val="nil"/>
          <w:lang w:val="fr-FR"/>
        </w:rPr>
        <w:t xml:space="preserve">dans </w:t>
      </w:r>
      <w:r w:rsidRPr="0039567C">
        <w:rPr>
          <w:noProof/>
          <w:bdr w:val="nil"/>
          <w:lang w:val="fr-FR"/>
        </w:rPr>
        <w:t xml:space="preserve">nombreuses coalitions </w:t>
      </w:r>
      <w:r w:rsidR="008107E8" w:rsidRPr="0039567C">
        <w:rPr>
          <w:noProof/>
          <w:bdr w:val="nil"/>
          <w:lang w:val="fr-FR"/>
        </w:rPr>
        <w:t>visant</w:t>
      </w:r>
      <w:r w:rsidRPr="0039567C">
        <w:rPr>
          <w:noProof/>
          <w:bdr w:val="nil"/>
          <w:lang w:val="fr-FR"/>
        </w:rPr>
        <w:t xml:space="preserve"> à coordonner les</w:t>
      </w:r>
      <w:r w:rsidR="0039673C" w:rsidRPr="0039567C">
        <w:rPr>
          <w:noProof/>
          <w:bdr w:val="nil"/>
          <w:lang w:val="fr-FR"/>
        </w:rPr>
        <w:t> </w:t>
      </w:r>
      <w:r w:rsidRPr="0039567C">
        <w:rPr>
          <w:noProof/>
          <w:bdr w:val="nil"/>
          <w:lang w:val="fr-FR"/>
        </w:rPr>
        <w:t xml:space="preserve">activités dans </w:t>
      </w:r>
      <w:r w:rsidR="008107E8" w:rsidRPr="0039567C">
        <w:rPr>
          <w:noProof/>
          <w:bdr w:val="nil"/>
          <w:lang w:val="fr-FR"/>
        </w:rPr>
        <w:t>des</w:t>
      </w:r>
      <w:r w:rsidRPr="0039567C">
        <w:rPr>
          <w:noProof/>
          <w:bdr w:val="nil"/>
          <w:lang w:val="fr-FR"/>
        </w:rPr>
        <w:t xml:space="preserve"> domaines</w:t>
      </w:r>
      <w:r w:rsidR="008107E8" w:rsidRPr="0039567C">
        <w:rPr>
          <w:noProof/>
          <w:bdr w:val="nil"/>
          <w:lang w:val="fr-FR"/>
        </w:rPr>
        <w:t xml:space="preserve"> précis. Dans le cadre de l’Alliance mondiale pour l’élimination des</w:t>
      </w:r>
      <w:r w:rsidR="0039673C" w:rsidRPr="0039567C">
        <w:rPr>
          <w:noProof/>
          <w:bdr w:val="nil"/>
          <w:lang w:val="fr-FR"/>
        </w:rPr>
        <w:t> </w:t>
      </w:r>
      <w:r w:rsidR="008107E8" w:rsidRPr="0039567C">
        <w:rPr>
          <w:noProof/>
          <w:bdr w:val="nil"/>
          <w:lang w:val="fr-FR"/>
        </w:rPr>
        <w:t xml:space="preserve">peintures au plomb, le PNUE et l’Organisation mondiale de la </w:t>
      </w:r>
      <w:r w:rsidR="00CD1D94" w:rsidRPr="0039567C">
        <w:rPr>
          <w:noProof/>
          <w:bdr w:val="nil"/>
          <w:lang w:val="fr-FR"/>
        </w:rPr>
        <w:t>S</w:t>
      </w:r>
      <w:r w:rsidR="008107E8" w:rsidRPr="0039567C">
        <w:rPr>
          <w:noProof/>
          <w:bdr w:val="nil"/>
          <w:lang w:val="fr-FR"/>
        </w:rPr>
        <w:t>anté (OMS) collaborent avec des</w:t>
      </w:r>
      <w:r w:rsidR="0039673C" w:rsidRPr="0039567C">
        <w:rPr>
          <w:noProof/>
          <w:bdr w:val="nil"/>
          <w:lang w:val="fr-FR"/>
        </w:rPr>
        <w:t> </w:t>
      </w:r>
      <w:r w:rsidR="008107E8" w:rsidRPr="0039567C">
        <w:rPr>
          <w:noProof/>
          <w:bdr w:val="nil"/>
          <w:lang w:val="fr-FR"/>
        </w:rPr>
        <w:t xml:space="preserve">partenaires (dont l’Organisation internationale du Travail, le Fonds des Nations Unies pour l’enfance – UNICEF – et l’Organisation des Nations Unies pour le développement industriel </w:t>
      </w:r>
      <w:r w:rsidR="00435981" w:rsidRPr="0039567C">
        <w:rPr>
          <w:noProof/>
          <w:bdr w:val="nil"/>
          <w:lang w:val="fr-FR"/>
        </w:rPr>
        <w:t xml:space="preserve">- </w:t>
      </w:r>
      <w:r w:rsidR="008107E8" w:rsidRPr="0039567C">
        <w:rPr>
          <w:noProof/>
          <w:bdr w:val="nil"/>
          <w:lang w:val="fr-FR"/>
        </w:rPr>
        <w:t>ONUDI)</w:t>
      </w:r>
      <w:r w:rsidR="00435981" w:rsidRPr="0039567C">
        <w:rPr>
          <w:noProof/>
          <w:bdr w:val="nil"/>
          <w:lang w:val="fr-FR"/>
        </w:rPr>
        <w:t xml:space="preserve"> afin de prévenir l’exposition au plomb en encourageant l’élimination progressive des peintures qui en contiennent. L’Organisation des Nations Unies pour l’alimentation et l’agriculture (FAO), l</w:t>
      </w:r>
      <w:r w:rsidR="00611BAD" w:rsidRPr="0039567C">
        <w:rPr>
          <w:noProof/>
          <w:bdr w:val="nil"/>
          <w:lang w:val="fr-FR"/>
        </w:rPr>
        <w:t xml:space="preserve">e PNUE </w:t>
      </w:r>
      <w:r w:rsidR="00435981" w:rsidRPr="0039567C">
        <w:rPr>
          <w:noProof/>
          <w:bdr w:val="nil"/>
          <w:lang w:val="fr-FR"/>
        </w:rPr>
        <w:t xml:space="preserve">et l’OMS, en coopération avec d’autres partenaires concernés, sont en train d’élaborer un plan d’action mondial sur les pesticides très dangereux qui vise à réunir les principales parties prenantes et les initiatives </w:t>
      </w:r>
      <w:r w:rsidR="00B55454" w:rsidRPr="0039567C">
        <w:rPr>
          <w:noProof/>
          <w:bdr w:val="nil"/>
          <w:lang w:val="fr-FR"/>
        </w:rPr>
        <w:t>dont l’objectif commun est d’éliminer les préjudices causés par ces p</w:t>
      </w:r>
      <w:r w:rsidR="00F35169" w:rsidRPr="0039567C">
        <w:rPr>
          <w:noProof/>
          <w:bdr w:val="nil"/>
          <w:lang w:val="fr-FR"/>
        </w:rPr>
        <w:t>esticides.</w:t>
      </w:r>
      <w:r w:rsidR="00B55454" w:rsidRPr="0039567C">
        <w:rPr>
          <w:noProof/>
          <w:bdr w:val="nil"/>
          <w:lang w:val="fr-FR"/>
        </w:rPr>
        <w:t xml:space="preserve"> Le PNUE prend </w:t>
      </w:r>
      <w:r w:rsidR="00A349C2" w:rsidRPr="0039567C">
        <w:rPr>
          <w:noProof/>
          <w:bdr w:val="nil"/>
          <w:lang w:val="fr-FR"/>
        </w:rPr>
        <w:t xml:space="preserve">aussi activement part à </w:t>
      </w:r>
      <w:r w:rsidR="00B55454" w:rsidRPr="0039567C">
        <w:rPr>
          <w:noProof/>
          <w:bdr w:val="nil"/>
          <w:lang w:val="fr-FR"/>
        </w:rPr>
        <w:t xml:space="preserve">la réunion conjointe FAO/OMS sur la gestion des pesticides en vue de contribuer aux aspects liés à l’environnement. </w:t>
      </w:r>
      <w:r w:rsidR="007D45B7" w:rsidRPr="0039567C">
        <w:rPr>
          <w:noProof/>
          <w:bdr w:val="nil"/>
          <w:lang w:val="fr-FR"/>
        </w:rPr>
        <w:t>Le programme planetGOLD, qui</w:t>
      </w:r>
      <w:r w:rsidR="002E015E" w:rsidRPr="0039567C">
        <w:rPr>
          <w:noProof/>
          <w:bdr w:val="nil"/>
          <w:lang w:val="fr-FR"/>
        </w:rPr>
        <w:t> </w:t>
      </w:r>
      <w:r w:rsidR="007D45B7" w:rsidRPr="0039567C">
        <w:rPr>
          <w:noProof/>
          <w:bdr w:val="nil"/>
          <w:lang w:val="fr-FR"/>
        </w:rPr>
        <w:t>s</w:t>
      </w:r>
      <w:r w:rsidR="00B55454" w:rsidRPr="0039567C">
        <w:rPr>
          <w:noProof/>
          <w:bdr w:val="nil"/>
          <w:lang w:val="fr-FR"/>
        </w:rPr>
        <w:t>out</w:t>
      </w:r>
      <w:r w:rsidR="007D45B7" w:rsidRPr="0039567C">
        <w:rPr>
          <w:noProof/>
          <w:bdr w:val="nil"/>
          <w:lang w:val="fr-FR"/>
        </w:rPr>
        <w:t>ient</w:t>
      </w:r>
      <w:r w:rsidR="00B55454" w:rsidRPr="0039567C">
        <w:rPr>
          <w:noProof/>
          <w:bdr w:val="nil"/>
          <w:lang w:val="fr-FR"/>
        </w:rPr>
        <w:t xml:space="preserve"> les engagements des pays dans le cadre de la Convention de Minamata sur le mercure</w:t>
      </w:r>
      <w:r w:rsidR="007D45B7" w:rsidRPr="0039567C">
        <w:rPr>
          <w:noProof/>
          <w:bdr w:val="nil"/>
          <w:lang w:val="fr-FR"/>
        </w:rPr>
        <w:t xml:space="preserve"> </w:t>
      </w:r>
      <w:r w:rsidR="00426829" w:rsidRPr="0039567C">
        <w:rPr>
          <w:noProof/>
          <w:bdr w:val="nil"/>
          <w:lang w:val="fr-FR"/>
        </w:rPr>
        <w:t xml:space="preserve">et qui est </w:t>
      </w:r>
      <w:r w:rsidR="007D45B7" w:rsidRPr="0039567C">
        <w:rPr>
          <w:noProof/>
          <w:bdr w:val="nil"/>
          <w:lang w:val="fr-FR"/>
        </w:rPr>
        <w:t xml:space="preserve">mis en œuvre en partenariat avec le PNUE, ONUDI, le Programme des Nations Unies pour le développement, les gouvernements, le secteur privé et les communautés du secteur </w:t>
      </w:r>
      <w:r w:rsidR="00426829" w:rsidRPr="0039567C">
        <w:rPr>
          <w:noProof/>
          <w:bdr w:val="nil"/>
          <w:lang w:val="fr-FR"/>
        </w:rPr>
        <w:t xml:space="preserve">de l’extraction artisanale et à petite échelle de l’or, s’emploie à éliminer le mercure de la chaîne </w:t>
      </w:r>
      <w:r w:rsidR="006B3651" w:rsidRPr="0039567C">
        <w:rPr>
          <w:noProof/>
          <w:bdr w:val="nil"/>
          <w:lang w:val="fr-FR"/>
        </w:rPr>
        <w:t>d’appr</w:t>
      </w:r>
      <w:r w:rsidR="001F3E70" w:rsidRPr="0039567C">
        <w:rPr>
          <w:noProof/>
          <w:bdr w:val="nil"/>
          <w:lang w:val="fr-FR"/>
        </w:rPr>
        <w:t>o</w:t>
      </w:r>
      <w:r w:rsidR="006B3651" w:rsidRPr="0039567C">
        <w:rPr>
          <w:noProof/>
          <w:bdr w:val="nil"/>
          <w:lang w:val="fr-FR"/>
        </w:rPr>
        <w:t>vi</w:t>
      </w:r>
      <w:r w:rsidR="001F3E70" w:rsidRPr="0039567C">
        <w:rPr>
          <w:noProof/>
          <w:bdr w:val="nil"/>
          <w:lang w:val="fr-FR"/>
        </w:rPr>
        <w:t>si</w:t>
      </w:r>
      <w:r w:rsidR="006B3651" w:rsidRPr="0039567C">
        <w:rPr>
          <w:noProof/>
          <w:bdr w:val="nil"/>
          <w:lang w:val="fr-FR"/>
        </w:rPr>
        <w:t xml:space="preserve">onnement </w:t>
      </w:r>
      <w:r w:rsidR="004F537D" w:rsidRPr="0039567C">
        <w:rPr>
          <w:noProof/>
          <w:bdr w:val="nil"/>
          <w:lang w:val="fr-FR"/>
        </w:rPr>
        <w:t xml:space="preserve">en </w:t>
      </w:r>
      <w:r w:rsidR="00426829" w:rsidRPr="0039567C">
        <w:rPr>
          <w:noProof/>
          <w:bdr w:val="nil"/>
          <w:lang w:val="fr-FR"/>
        </w:rPr>
        <w:t>or produit par des mineurs artisanaux et à petite échelle. Le PNUE, en collaboration avec le secrétariat des conventions de Bâle, de Rotterdam et de Stockholm, m</w:t>
      </w:r>
      <w:r w:rsidR="00B030DC" w:rsidRPr="0039567C">
        <w:rPr>
          <w:noProof/>
          <w:bdr w:val="nil"/>
          <w:lang w:val="fr-FR"/>
        </w:rPr>
        <w:t>et en œuvre plusieurs projets du Fonds pour l’environnement mondial</w:t>
      </w:r>
      <w:r w:rsidR="00871557" w:rsidRPr="0039567C">
        <w:rPr>
          <w:noProof/>
          <w:bdr w:val="nil"/>
          <w:lang w:val="fr-FR"/>
        </w:rPr>
        <w:t xml:space="preserve"> (FEM)</w:t>
      </w:r>
      <w:r w:rsidR="00B030DC" w:rsidRPr="0039567C">
        <w:rPr>
          <w:noProof/>
          <w:bdr w:val="nil"/>
          <w:lang w:val="fr-FR"/>
        </w:rPr>
        <w:t xml:space="preserve"> </w:t>
      </w:r>
      <w:r w:rsidR="00A349C2" w:rsidRPr="0039567C">
        <w:rPr>
          <w:noProof/>
          <w:bdr w:val="nil"/>
          <w:lang w:val="fr-FR"/>
        </w:rPr>
        <w:t>en vue d’</w:t>
      </w:r>
      <w:r w:rsidR="00B030DC" w:rsidRPr="0039567C">
        <w:rPr>
          <w:noProof/>
          <w:bdr w:val="nil"/>
          <w:lang w:val="fr-FR"/>
        </w:rPr>
        <w:t xml:space="preserve">aider les pays à appliquer la </w:t>
      </w:r>
      <w:r w:rsidR="00A349C2" w:rsidRPr="0039567C">
        <w:rPr>
          <w:noProof/>
          <w:bdr w:val="nil"/>
          <w:lang w:val="fr-FR"/>
        </w:rPr>
        <w:t>C</w:t>
      </w:r>
      <w:r w:rsidR="00B030DC" w:rsidRPr="0039567C">
        <w:rPr>
          <w:noProof/>
          <w:bdr w:val="nil"/>
          <w:lang w:val="fr-FR"/>
        </w:rPr>
        <w:t>onvention de Stockholm sur les polluants organiques persistants.</w:t>
      </w:r>
    </w:p>
    <w:p w14:paraId="63DD8810" w14:textId="7584D401" w:rsidR="00806D3A" w:rsidRPr="0039567C" w:rsidRDefault="00806D3A" w:rsidP="00364549">
      <w:pPr>
        <w:pStyle w:val="Normalnumber"/>
        <w:tabs>
          <w:tab w:val="clear" w:pos="1134"/>
        </w:tabs>
        <w:rPr>
          <w:noProof/>
          <w:bdr w:val="nil"/>
          <w:lang w:val="fr-FR"/>
        </w:rPr>
      </w:pPr>
      <w:r w:rsidRPr="0039567C">
        <w:rPr>
          <w:noProof/>
          <w:bdr w:val="nil"/>
          <w:lang w:val="fr-FR"/>
        </w:rPr>
        <w:t xml:space="preserve">Outre l’élaboration du rapport sur les </w:t>
      </w:r>
      <w:r w:rsidR="004727A4" w:rsidRPr="0039567C">
        <w:rPr>
          <w:noProof/>
          <w:bdr w:val="nil"/>
          <w:lang w:val="fr-FR"/>
        </w:rPr>
        <w:t xml:space="preserve">impacts </w:t>
      </w:r>
      <w:r w:rsidR="004577A3" w:rsidRPr="0039567C">
        <w:rPr>
          <w:noProof/>
          <w:bdr w:val="nil"/>
          <w:lang w:val="fr-FR"/>
        </w:rPr>
        <w:t>environnementa</w:t>
      </w:r>
      <w:r w:rsidR="00817065" w:rsidRPr="0039567C">
        <w:rPr>
          <w:noProof/>
          <w:bdr w:val="nil"/>
          <w:lang w:val="fr-FR"/>
        </w:rPr>
        <w:t xml:space="preserve">ux </w:t>
      </w:r>
      <w:r w:rsidR="004577A3" w:rsidRPr="0039567C">
        <w:rPr>
          <w:noProof/>
          <w:bdr w:val="nil"/>
          <w:lang w:val="fr-FR"/>
        </w:rPr>
        <w:t>de la résistance</w:t>
      </w:r>
      <w:r w:rsidRPr="0039567C">
        <w:rPr>
          <w:noProof/>
          <w:bdr w:val="nil"/>
          <w:lang w:val="fr-FR"/>
        </w:rPr>
        <w:t xml:space="preserve"> aux antimicrobiens et </w:t>
      </w:r>
      <w:r w:rsidR="00C43BFE" w:rsidRPr="0039567C">
        <w:rPr>
          <w:noProof/>
          <w:bdr w:val="nil"/>
          <w:lang w:val="fr-FR"/>
        </w:rPr>
        <w:t xml:space="preserve">sur </w:t>
      </w:r>
      <w:r w:rsidRPr="0039567C">
        <w:rPr>
          <w:noProof/>
          <w:bdr w:val="nil"/>
          <w:lang w:val="fr-FR"/>
        </w:rPr>
        <w:t>les causes du développement et de l</w:t>
      </w:r>
      <w:r w:rsidR="00466FCC" w:rsidRPr="0039567C">
        <w:rPr>
          <w:noProof/>
          <w:bdr w:val="nil"/>
          <w:lang w:val="fr-FR"/>
        </w:rPr>
        <w:t xml:space="preserve">a </w:t>
      </w:r>
      <w:r w:rsidR="00C43BFE" w:rsidRPr="0039567C">
        <w:rPr>
          <w:noProof/>
          <w:bdr w:val="nil"/>
          <w:lang w:val="fr-FR"/>
        </w:rPr>
        <w:t xml:space="preserve">généralisation </w:t>
      </w:r>
      <w:r w:rsidR="00466FCC" w:rsidRPr="0039567C">
        <w:rPr>
          <w:noProof/>
          <w:bdr w:val="nil"/>
          <w:lang w:val="fr-FR"/>
        </w:rPr>
        <w:t xml:space="preserve">de </w:t>
      </w:r>
      <w:r w:rsidR="00FA7BC3" w:rsidRPr="0039567C">
        <w:rPr>
          <w:noProof/>
          <w:bdr w:val="nil"/>
          <w:lang w:val="fr-FR"/>
        </w:rPr>
        <w:t xml:space="preserve">cette </w:t>
      </w:r>
      <w:r w:rsidRPr="0039567C">
        <w:rPr>
          <w:noProof/>
          <w:bdr w:val="nil"/>
          <w:lang w:val="fr-FR"/>
        </w:rPr>
        <w:t>résistance dans l’environnement, le PNUE mène plusieurs activités en étroite coop</w:t>
      </w:r>
      <w:r w:rsidR="00CC2077" w:rsidRPr="0039567C">
        <w:rPr>
          <w:noProof/>
          <w:bdr w:val="nil"/>
          <w:lang w:val="fr-FR"/>
        </w:rPr>
        <w:t>é</w:t>
      </w:r>
      <w:r w:rsidRPr="0039567C">
        <w:rPr>
          <w:noProof/>
          <w:bdr w:val="nil"/>
          <w:lang w:val="fr-FR"/>
        </w:rPr>
        <w:t>ration et coordination avec les organisations de la collaboration tripartite sur la r</w:t>
      </w:r>
      <w:r w:rsidR="00CC2077" w:rsidRPr="0039567C">
        <w:rPr>
          <w:noProof/>
          <w:bdr w:val="nil"/>
          <w:lang w:val="fr-FR"/>
        </w:rPr>
        <w:t>é</w:t>
      </w:r>
      <w:r w:rsidRPr="0039567C">
        <w:rPr>
          <w:noProof/>
          <w:bdr w:val="nil"/>
          <w:lang w:val="fr-FR"/>
        </w:rPr>
        <w:t xml:space="preserve">sistance aux antimicrobiens </w:t>
      </w:r>
      <w:r w:rsidR="00CC2077" w:rsidRPr="0039567C">
        <w:rPr>
          <w:noProof/>
          <w:bdr w:val="nil"/>
          <w:lang w:val="fr-FR"/>
        </w:rPr>
        <w:t xml:space="preserve">(FAO, Organisation mondiale de la santé animale et OMS) et d’autres parties prenantes principales à l’échelle mondiale, régionale et nationale, en se fondant sur le principe « Un monde, une santé ». En 2018, le PNUE et l’OMS </w:t>
      </w:r>
      <w:r w:rsidR="00D12932" w:rsidRPr="0039567C">
        <w:rPr>
          <w:noProof/>
          <w:bdr w:val="nil"/>
          <w:lang w:val="fr-FR"/>
        </w:rPr>
        <w:t>ont</w:t>
      </w:r>
      <w:r w:rsidR="00CC2077" w:rsidRPr="0039567C">
        <w:rPr>
          <w:noProof/>
          <w:bdr w:val="nil"/>
          <w:lang w:val="fr-FR"/>
        </w:rPr>
        <w:t xml:space="preserve"> signé un mémorandum d’accord qui est en cours d’</w:t>
      </w:r>
      <w:r w:rsidR="00D12932" w:rsidRPr="0039567C">
        <w:rPr>
          <w:noProof/>
          <w:bdr w:val="nil"/>
          <w:lang w:val="fr-FR"/>
        </w:rPr>
        <w:t>exécution</w:t>
      </w:r>
      <w:r w:rsidR="00CC2077" w:rsidRPr="0039567C">
        <w:rPr>
          <w:noProof/>
          <w:bdr w:val="nil"/>
          <w:lang w:val="fr-FR"/>
        </w:rPr>
        <w:t xml:space="preserve"> et </w:t>
      </w:r>
      <w:r w:rsidR="00A349C2" w:rsidRPr="0039567C">
        <w:rPr>
          <w:noProof/>
          <w:bdr w:val="nil"/>
          <w:lang w:val="fr-FR"/>
        </w:rPr>
        <w:t>comprend des activités</w:t>
      </w:r>
      <w:r w:rsidR="00D12932" w:rsidRPr="0039567C">
        <w:rPr>
          <w:noProof/>
          <w:bdr w:val="nil"/>
          <w:lang w:val="fr-FR"/>
        </w:rPr>
        <w:t xml:space="preserve"> de</w:t>
      </w:r>
      <w:r w:rsidR="00CC2077" w:rsidRPr="0039567C">
        <w:rPr>
          <w:noProof/>
          <w:bdr w:val="nil"/>
          <w:lang w:val="fr-FR"/>
        </w:rPr>
        <w:t xml:space="preserve"> collaboration dans les domaines suivants : </w:t>
      </w:r>
      <w:r w:rsidR="00D12932" w:rsidRPr="0039567C">
        <w:rPr>
          <w:noProof/>
          <w:bdr w:val="nil"/>
          <w:lang w:val="fr-FR"/>
        </w:rPr>
        <w:t>air, changements climatiques, eau, biodiversité, produits chimiques et déchets, résistance aux antimicrobiens, et systèmes alimentaires et nutrition.</w:t>
      </w:r>
    </w:p>
    <w:p w14:paraId="5FBAA546" w14:textId="3628595F" w:rsidR="00D12932" w:rsidRPr="0039567C" w:rsidRDefault="00EF27D7" w:rsidP="00364549">
      <w:pPr>
        <w:pStyle w:val="Normalnumber"/>
        <w:tabs>
          <w:tab w:val="clear" w:pos="1134"/>
        </w:tabs>
        <w:rPr>
          <w:noProof/>
          <w:bdr w:val="nil"/>
          <w:lang w:val="fr-FR"/>
        </w:rPr>
      </w:pPr>
      <w:r w:rsidRPr="0039567C">
        <w:rPr>
          <w:noProof/>
          <w:bdr w:val="nil"/>
          <w:lang w:val="fr-FR"/>
        </w:rPr>
        <w:t>Par ailleurs</w:t>
      </w:r>
      <w:r w:rsidR="009938FE" w:rsidRPr="0039567C">
        <w:rPr>
          <w:noProof/>
          <w:bdr w:val="nil"/>
          <w:lang w:val="fr-FR"/>
        </w:rPr>
        <w:t>, le PNUE a proc</w:t>
      </w:r>
      <w:r w:rsidR="00D07071" w:rsidRPr="0039567C">
        <w:rPr>
          <w:noProof/>
          <w:bdr w:val="nil"/>
          <w:lang w:val="fr-FR"/>
        </w:rPr>
        <w:t>édé</w:t>
      </w:r>
      <w:r w:rsidR="009938FE" w:rsidRPr="0039567C">
        <w:rPr>
          <w:noProof/>
          <w:bdr w:val="nil"/>
          <w:lang w:val="fr-FR"/>
        </w:rPr>
        <w:t xml:space="preserve"> à une évaluation </w:t>
      </w:r>
      <w:r w:rsidR="002F0FA7" w:rsidRPr="0039567C">
        <w:rPr>
          <w:noProof/>
          <w:bdr w:val="nil"/>
          <w:lang w:val="fr-FR"/>
        </w:rPr>
        <w:t>sur des liens</w:t>
      </w:r>
      <w:r w:rsidR="00A349C2" w:rsidRPr="0039567C">
        <w:rPr>
          <w:noProof/>
          <w:bdr w:val="nil"/>
          <w:lang w:val="fr-FR"/>
        </w:rPr>
        <w:t xml:space="preserve"> </w:t>
      </w:r>
      <w:r w:rsidR="009938FE" w:rsidRPr="0039567C">
        <w:rPr>
          <w:noProof/>
          <w:bdr w:val="nil"/>
          <w:lang w:val="fr-FR"/>
        </w:rPr>
        <w:t xml:space="preserve">avec d’autres </w:t>
      </w:r>
      <w:r w:rsidR="00D86F80" w:rsidRPr="0039567C">
        <w:rPr>
          <w:noProof/>
          <w:bdr w:val="nil"/>
          <w:lang w:val="fr-FR"/>
        </w:rPr>
        <w:t>domain</w:t>
      </w:r>
      <w:r w:rsidR="00D07071" w:rsidRPr="0039567C">
        <w:rPr>
          <w:noProof/>
          <w:bdr w:val="nil"/>
          <w:lang w:val="fr-FR"/>
        </w:rPr>
        <w:t>e</w:t>
      </w:r>
      <w:r w:rsidR="009938FE" w:rsidRPr="0039567C">
        <w:rPr>
          <w:noProof/>
          <w:bdr w:val="nil"/>
          <w:lang w:val="fr-FR"/>
        </w:rPr>
        <w:t xml:space="preserve">s </w:t>
      </w:r>
      <w:r w:rsidR="00D07071" w:rsidRPr="0039567C">
        <w:rPr>
          <w:noProof/>
          <w:bdr w:val="nil"/>
          <w:lang w:val="fr-FR"/>
        </w:rPr>
        <w:t>liés à la gestion des produits chimiques et des déchets</w:t>
      </w:r>
      <w:r w:rsidR="006E5CB6" w:rsidRPr="0039567C">
        <w:rPr>
          <w:noProof/>
          <w:bdr w:val="nil"/>
          <w:lang w:val="fr-FR"/>
        </w:rPr>
        <w:t>,</w:t>
      </w:r>
      <w:r w:rsidR="00D07071" w:rsidRPr="0039567C">
        <w:rPr>
          <w:noProof/>
          <w:bdr w:val="nil"/>
          <w:lang w:val="fr-FR"/>
        </w:rPr>
        <w:t xml:space="preserve"> et </w:t>
      </w:r>
      <w:r w:rsidR="002F0FA7" w:rsidRPr="0039567C">
        <w:rPr>
          <w:noProof/>
          <w:bdr w:val="nil"/>
          <w:lang w:val="fr-FR"/>
        </w:rPr>
        <w:t>sur différentes possibilités</w:t>
      </w:r>
      <w:r w:rsidR="00D07071" w:rsidRPr="0039567C">
        <w:rPr>
          <w:noProof/>
          <w:bdr w:val="nil"/>
          <w:lang w:val="fr-FR"/>
        </w:rPr>
        <w:t xml:space="preserve"> de coordonner </w:t>
      </w:r>
      <w:r w:rsidR="00A349C2" w:rsidRPr="0039567C">
        <w:rPr>
          <w:noProof/>
          <w:bdr w:val="nil"/>
          <w:lang w:val="fr-FR"/>
        </w:rPr>
        <w:t xml:space="preserve">les activités </w:t>
      </w:r>
      <w:r w:rsidR="00D07071" w:rsidRPr="0039567C">
        <w:rPr>
          <w:noProof/>
          <w:bdr w:val="nil"/>
          <w:lang w:val="fr-FR"/>
        </w:rPr>
        <w:t xml:space="preserve">et </w:t>
      </w:r>
      <w:r w:rsidR="00A349C2" w:rsidRPr="0039567C">
        <w:rPr>
          <w:noProof/>
          <w:bdr w:val="nil"/>
          <w:lang w:val="fr-FR"/>
        </w:rPr>
        <w:t xml:space="preserve">de </w:t>
      </w:r>
      <w:r w:rsidR="00D07071" w:rsidRPr="0039567C">
        <w:rPr>
          <w:noProof/>
          <w:bdr w:val="nil"/>
          <w:lang w:val="fr-FR"/>
        </w:rPr>
        <w:t xml:space="preserve">coopérer dans des domaines d’intérêt commun. Cette évaluation a été effectuée en avril 2019 à la demande du processus intersession </w:t>
      </w:r>
      <w:r w:rsidR="00EA3D9F" w:rsidRPr="0039567C">
        <w:rPr>
          <w:noProof/>
          <w:bdr w:val="nil"/>
          <w:lang w:val="fr-FR"/>
        </w:rPr>
        <w:t xml:space="preserve">sur l’Approche stratégique de la gestion internationale des produits chimiques et </w:t>
      </w:r>
      <w:r w:rsidR="0025788B" w:rsidRPr="0039567C">
        <w:rPr>
          <w:noProof/>
          <w:bdr w:val="nil"/>
          <w:lang w:val="fr-FR"/>
        </w:rPr>
        <w:t>la gestion rationnelle de</w:t>
      </w:r>
      <w:r w:rsidR="003B7655" w:rsidRPr="0039567C">
        <w:rPr>
          <w:noProof/>
          <w:bdr w:val="nil"/>
          <w:lang w:val="fr-FR"/>
        </w:rPr>
        <w:t xml:space="preserve">s produits chimiques et </w:t>
      </w:r>
      <w:r w:rsidR="00EA3D9F" w:rsidRPr="0039567C">
        <w:rPr>
          <w:noProof/>
          <w:bdr w:val="nil"/>
          <w:lang w:val="fr-FR"/>
        </w:rPr>
        <w:t>des déchets.</w:t>
      </w:r>
      <w:r w:rsidR="005E7C62" w:rsidRPr="0039567C">
        <w:rPr>
          <w:noProof/>
          <w:bdr w:val="nil"/>
          <w:lang w:val="fr-FR"/>
        </w:rPr>
        <w:t xml:space="preserve"> Le document d’évaluation met en avant sept </w:t>
      </w:r>
      <w:r w:rsidR="00D86F80" w:rsidRPr="0039567C">
        <w:rPr>
          <w:noProof/>
          <w:bdr w:val="nil"/>
          <w:lang w:val="fr-FR"/>
        </w:rPr>
        <w:t>domaine</w:t>
      </w:r>
      <w:r w:rsidR="005E7C62" w:rsidRPr="0039567C">
        <w:rPr>
          <w:noProof/>
          <w:bdr w:val="nil"/>
          <w:lang w:val="fr-FR"/>
        </w:rPr>
        <w:t>s liés</w:t>
      </w:r>
      <w:r w:rsidR="00D86F80" w:rsidRPr="0039567C">
        <w:rPr>
          <w:noProof/>
          <w:bdr w:val="nil"/>
          <w:lang w:val="fr-FR"/>
        </w:rPr>
        <w:t xml:space="preserve"> aux produits chimiques et aux déchets : la santé, la biodiversité, le monde du travail, les changements climatiques, l’agriculture et l’alimentation, les droits de l’homme et la consommation et la production durables. Il suggère également des éléments de coordination et de coopération.</w:t>
      </w:r>
    </w:p>
    <w:p w14:paraId="29AFDE6B" w14:textId="08E0D231" w:rsidR="00A53BC3" w:rsidRPr="0039567C" w:rsidRDefault="007C39D3" w:rsidP="00A53BC3">
      <w:pPr>
        <w:pStyle w:val="Normalnumber"/>
        <w:tabs>
          <w:tab w:val="clear" w:pos="1134"/>
        </w:tabs>
        <w:rPr>
          <w:noProof/>
          <w:bdr w:val="nil"/>
          <w:lang w:val="fr-FR"/>
        </w:rPr>
      </w:pPr>
      <w:r w:rsidRPr="0039567C">
        <w:rPr>
          <w:noProof/>
          <w:bdr w:val="nil"/>
          <w:lang w:val="fr-FR"/>
        </w:rPr>
        <w:t xml:space="preserve">Concernant la biodiversité, la pollution constitue l’un des cinq </w:t>
      </w:r>
      <w:r w:rsidR="006E5CB6" w:rsidRPr="0039567C">
        <w:rPr>
          <w:noProof/>
          <w:bdr w:val="nil"/>
          <w:lang w:val="fr-FR"/>
        </w:rPr>
        <w:t>points de</w:t>
      </w:r>
      <w:r w:rsidRPr="0039567C">
        <w:rPr>
          <w:noProof/>
          <w:bdr w:val="nil"/>
          <w:lang w:val="fr-FR"/>
        </w:rPr>
        <w:t xml:space="preserve"> pression</w:t>
      </w:r>
      <w:r w:rsidR="006E5CB6" w:rsidRPr="0039567C">
        <w:rPr>
          <w:noProof/>
          <w:bdr w:val="nil"/>
          <w:lang w:val="fr-FR"/>
        </w:rPr>
        <w:t xml:space="preserve"> principaux qui</w:t>
      </w:r>
      <w:r w:rsidRPr="0039567C">
        <w:rPr>
          <w:noProof/>
          <w:bdr w:val="nil"/>
          <w:lang w:val="fr-FR"/>
        </w:rPr>
        <w:t xml:space="preserve"> entraînent </w:t>
      </w:r>
      <w:r w:rsidR="006E5CB6" w:rsidRPr="0039567C">
        <w:rPr>
          <w:noProof/>
          <w:bdr w:val="nil"/>
          <w:lang w:val="fr-FR"/>
        </w:rPr>
        <w:t xml:space="preserve">directement </w:t>
      </w:r>
      <w:r w:rsidRPr="0039567C">
        <w:rPr>
          <w:noProof/>
          <w:bdr w:val="nil"/>
          <w:lang w:val="fr-FR"/>
        </w:rPr>
        <w:t xml:space="preserve">une perte de biodiversité au niveau mondial. Dans un effort collectif entrepris avec les secrétariats des conventions de Bâle, de Rotterdam et de Stockholm, </w:t>
      </w:r>
      <w:r w:rsidR="006D06D5" w:rsidRPr="0039567C">
        <w:rPr>
          <w:noProof/>
          <w:bdr w:val="nil"/>
          <w:lang w:val="fr-FR"/>
        </w:rPr>
        <w:t xml:space="preserve">de </w:t>
      </w:r>
      <w:r w:rsidRPr="0039567C">
        <w:rPr>
          <w:noProof/>
          <w:bdr w:val="nil"/>
          <w:lang w:val="fr-FR"/>
        </w:rPr>
        <w:t xml:space="preserve">la </w:t>
      </w:r>
      <w:r w:rsidR="006D06D5" w:rsidRPr="0039567C">
        <w:rPr>
          <w:noProof/>
          <w:bdr w:val="nil"/>
          <w:lang w:val="fr-FR"/>
        </w:rPr>
        <w:t>C</w:t>
      </w:r>
      <w:r w:rsidRPr="0039567C">
        <w:rPr>
          <w:noProof/>
          <w:bdr w:val="nil"/>
          <w:lang w:val="fr-FR"/>
        </w:rPr>
        <w:t xml:space="preserve">onvention de Minamata, </w:t>
      </w:r>
      <w:r w:rsidR="006D06D5" w:rsidRPr="0039567C">
        <w:rPr>
          <w:noProof/>
          <w:bdr w:val="nil"/>
          <w:lang w:val="fr-FR"/>
        </w:rPr>
        <w:t xml:space="preserve">de </w:t>
      </w:r>
      <w:r w:rsidRPr="0039567C">
        <w:rPr>
          <w:noProof/>
          <w:bdr w:val="nil"/>
          <w:lang w:val="fr-FR"/>
        </w:rPr>
        <w:t xml:space="preserve">l’Approche stratégique de la gestion internationale des produits chimiques et des déchets et le Secrétariat de l’ozone, le PNUE participe activement au processus et </w:t>
      </w:r>
      <w:r w:rsidR="00A53BC3" w:rsidRPr="0039567C">
        <w:rPr>
          <w:noProof/>
          <w:bdr w:val="nil"/>
          <w:lang w:val="fr-FR"/>
        </w:rPr>
        <w:t>apporte sa contribution au cadre mondial de la biodiversité pour l’après</w:t>
      </w:r>
      <w:r w:rsidR="00A53BC3" w:rsidRPr="0039567C">
        <w:rPr>
          <w:noProof/>
          <w:bdr w:val="nil"/>
          <w:lang w:val="fr-FR"/>
        </w:rPr>
        <w:noBreakHyphen/>
        <w:t xml:space="preserve">2020 dans le but d’établir des liens entre la pollution et les objectifs de protection de la nature. </w:t>
      </w:r>
    </w:p>
    <w:p w14:paraId="4A1288AE" w14:textId="32E22AA0" w:rsidR="00A53BC3" w:rsidRPr="0039567C" w:rsidRDefault="00A53BC3" w:rsidP="00A53BC3">
      <w:pPr>
        <w:pStyle w:val="Normalnumber"/>
        <w:tabs>
          <w:tab w:val="clear" w:pos="1134"/>
        </w:tabs>
        <w:rPr>
          <w:noProof/>
          <w:bdr w:val="nil"/>
          <w:lang w:val="fr-FR"/>
        </w:rPr>
      </w:pPr>
      <w:r w:rsidRPr="0039567C">
        <w:rPr>
          <w:noProof/>
          <w:bdr w:val="nil"/>
          <w:lang w:val="fr-FR"/>
        </w:rPr>
        <w:t xml:space="preserve">Enfin, </w:t>
      </w:r>
      <w:r w:rsidR="006E5CB6" w:rsidRPr="0039567C">
        <w:rPr>
          <w:noProof/>
          <w:bdr w:val="nil"/>
          <w:lang w:val="fr-FR"/>
        </w:rPr>
        <w:t xml:space="preserve">par l’élaboration d’un rapport sur les produits chimiques présents dans les plastiques, </w:t>
      </w:r>
      <w:r w:rsidRPr="0039567C">
        <w:rPr>
          <w:noProof/>
          <w:bdr w:val="nil"/>
          <w:lang w:val="fr-FR"/>
        </w:rPr>
        <w:t>le</w:t>
      </w:r>
      <w:r w:rsidR="0065020F" w:rsidRPr="0039567C">
        <w:rPr>
          <w:noProof/>
          <w:bdr w:val="nil"/>
          <w:lang w:val="fr-FR"/>
        </w:rPr>
        <w:t> </w:t>
      </w:r>
      <w:r w:rsidRPr="0039567C">
        <w:rPr>
          <w:noProof/>
          <w:bdr w:val="nil"/>
          <w:lang w:val="fr-FR"/>
        </w:rPr>
        <w:t xml:space="preserve">PNUE participe aux efforts visant à mieux comprendre les produits chimiques </w:t>
      </w:r>
      <w:r w:rsidR="000D254E" w:rsidRPr="0039567C">
        <w:rPr>
          <w:noProof/>
          <w:bdr w:val="nil"/>
          <w:lang w:val="fr-FR"/>
        </w:rPr>
        <w:t>préoccupant</w:t>
      </w:r>
      <w:r w:rsidRPr="0039567C">
        <w:rPr>
          <w:noProof/>
          <w:bdr w:val="nil"/>
          <w:lang w:val="fr-FR"/>
        </w:rPr>
        <w:t>s et le</w:t>
      </w:r>
      <w:r w:rsidR="006E5CB6" w:rsidRPr="0039567C">
        <w:rPr>
          <w:noProof/>
          <w:bdr w:val="nil"/>
          <w:lang w:val="fr-FR"/>
        </w:rPr>
        <w:t>s</w:t>
      </w:r>
      <w:r w:rsidRPr="0039567C">
        <w:rPr>
          <w:noProof/>
          <w:bdr w:val="nil"/>
          <w:lang w:val="fr-FR"/>
        </w:rPr>
        <w:t xml:space="preserve"> </w:t>
      </w:r>
      <w:r w:rsidR="006E5CB6" w:rsidRPr="0039567C">
        <w:rPr>
          <w:noProof/>
          <w:bdr w:val="nil"/>
          <w:lang w:val="fr-FR"/>
        </w:rPr>
        <w:t>possibilités</w:t>
      </w:r>
      <w:r w:rsidRPr="0039567C">
        <w:rPr>
          <w:noProof/>
          <w:bdr w:val="nil"/>
          <w:lang w:val="fr-FR"/>
        </w:rPr>
        <w:t xml:space="preserve"> d’innovation, </w:t>
      </w:r>
      <w:r w:rsidR="000D254E" w:rsidRPr="0039567C">
        <w:rPr>
          <w:noProof/>
          <w:bdr w:val="nil"/>
          <w:lang w:val="fr-FR"/>
        </w:rPr>
        <w:t>deux éléments liés aux résolutions</w:t>
      </w:r>
      <w:r w:rsidR="0065020F" w:rsidRPr="0039567C">
        <w:rPr>
          <w:noProof/>
          <w:bdr w:val="nil"/>
          <w:lang w:val="fr-FR"/>
        </w:rPr>
        <w:t> </w:t>
      </w:r>
      <w:r w:rsidR="000D254E" w:rsidRPr="0039567C">
        <w:rPr>
          <w:noProof/>
          <w:bdr w:val="nil"/>
          <w:lang w:val="fr-FR"/>
        </w:rPr>
        <w:t>4/6 et</w:t>
      </w:r>
      <w:r w:rsidR="0065020F" w:rsidRPr="0039567C">
        <w:rPr>
          <w:noProof/>
          <w:bdr w:val="nil"/>
          <w:lang w:val="fr-FR"/>
        </w:rPr>
        <w:t> </w:t>
      </w:r>
      <w:r w:rsidR="000D254E" w:rsidRPr="0039567C">
        <w:rPr>
          <w:noProof/>
          <w:bdr w:val="nil"/>
          <w:lang w:val="fr-FR"/>
        </w:rPr>
        <w:t xml:space="preserve">4/9. </w:t>
      </w:r>
    </w:p>
    <w:p w14:paraId="18B0F3A5" w14:textId="4681C034" w:rsidR="000D254E" w:rsidRPr="0039567C" w:rsidRDefault="00364549" w:rsidP="00181517">
      <w:pPr>
        <w:pStyle w:val="CH2"/>
        <w:ind w:left="1253"/>
        <w:rPr>
          <w:noProof/>
          <w:lang w:val="fr-FR"/>
        </w:rPr>
      </w:pPr>
      <w:r w:rsidRPr="0039567C">
        <w:rPr>
          <w:noProof/>
          <w:lang w:val="fr-FR"/>
        </w:rPr>
        <w:tab/>
      </w:r>
      <w:r w:rsidR="00333FC6" w:rsidRPr="0039567C">
        <w:rPr>
          <w:noProof/>
          <w:lang w:val="fr-FR"/>
        </w:rPr>
        <w:t>C</w:t>
      </w:r>
      <w:r w:rsidR="0085698B" w:rsidRPr="0039567C">
        <w:rPr>
          <w:noProof/>
          <w:lang w:val="fr-FR"/>
        </w:rPr>
        <w:t>.</w:t>
      </w:r>
      <w:r w:rsidR="001F7820" w:rsidRPr="0039567C">
        <w:rPr>
          <w:noProof/>
          <w:lang w:val="fr-FR"/>
        </w:rPr>
        <w:tab/>
      </w:r>
      <w:r w:rsidR="000D254E" w:rsidRPr="0039567C">
        <w:rPr>
          <w:noProof/>
          <w:lang w:val="fr-FR"/>
        </w:rPr>
        <w:t xml:space="preserve">Renforcer l’appui fourni à l’Approche stratégique de la gestion internationale des produits chimiques et </w:t>
      </w:r>
      <w:r w:rsidR="00EE0376" w:rsidRPr="0039567C">
        <w:rPr>
          <w:noProof/>
          <w:lang w:val="fr-FR"/>
        </w:rPr>
        <w:t>examiner</w:t>
      </w:r>
      <w:r w:rsidR="000D254E" w:rsidRPr="0039567C">
        <w:rPr>
          <w:noProof/>
          <w:lang w:val="fr-FR"/>
        </w:rPr>
        <w:t xml:space="preserve"> l’après-2020 </w:t>
      </w:r>
    </w:p>
    <w:p w14:paraId="4488E7E6" w14:textId="7B6E40C1" w:rsidR="00C66F25" w:rsidRPr="0039567C" w:rsidRDefault="00EE0376" w:rsidP="00181517">
      <w:pPr>
        <w:pStyle w:val="Normalnumber"/>
        <w:keepNext/>
        <w:keepLines/>
        <w:tabs>
          <w:tab w:val="clear" w:pos="1134"/>
        </w:tabs>
        <w:ind w:left="1253"/>
        <w:rPr>
          <w:noProof/>
          <w:bdr w:val="nil"/>
          <w:lang w:val="fr-FR"/>
        </w:rPr>
      </w:pPr>
      <w:r w:rsidRPr="0039567C">
        <w:rPr>
          <w:noProof/>
          <w:bdr w:val="nil"/>
          <w:lang w:val="fr-FR"/>
        </w:rPr>
        <w:t>Du fait</w:t>
      </w:r>
      <w:r w:rsidR="00C66F25" w:rsidRPr="0039567C">
        <w:rPr>
          <w:noProof/>
          <w:bdr w:val="nil"/>
          <w:lang w:val="fr-FR"/>
        </w:rPr>
        <w:t xml:space="preserve"> de la pandémie de maladie à coronavirus (COVID-19), la cinquième session de la Conférence internationale sur la gestion des produits chimiques, qui devait avoir lieu à Bonn</w:t>
      </w:r>
      <w:r w:rsidR="001A506D" w:rsidRPr="0039567C">
        <w:rPr>
          <w:noProof/>
          <w:bdr w:val="nil"/>
          <w:lang w:val="fr-FR"/>
        </w:rPr>
        <w:t xml:space="preserve"> (Allemagne)</w:t>
      </w:r>
      <w:r w:rsidR="00C66F25" w:rsidRPr="0039567C">
        <w:rPr>
          <w:noProof/>
          <w:bdr w:val="nil"/>
          <w:lang w:val="fr-FR"/>
        </w:rPr>
        <w:t>, a été reportée et sera organisée du</w:t>
      </w:r>
      <w:r w:rsidR="0065020F" w:rsidRPr="0039567C">
        <w:rPr>
          <w:noProof/>
          <w:bdr w:val="nil"/>
          <w:lang w:val="fr-FR"/>
        </w:rPr>
        <w:t> </w:t>
      </w:r>
      <w:r w:rsidR="00C66F25" w:rsidRPr="0039567C">
        <w:rPr>
          <w:noProof/>
          <w:bdr w:val="nil"/>
          <w:lang w:val="fr-FR"/>
        </w:rPr>
        <w:t>5 au 9</w:t>
      </w:r>
      <w:r w:rsidR="0065020F" w:rsidRPr="0039567C">
        <w:rPr>
          <w:noProof/>
          <w:bdr w:val="nil"/>
          <w:lang w:val="fr-FR"/>
        </w:rPr>
        <w:t> </w:t>
      </w:r>
      <w:r w:rsidR="00C66F25" w:rsidRPr="0039567C">
        <w:rPr>
          <w:noProof/>
          <w:bdr w:val="nil"/>
          <w:lang w:val="fr-FR"/>
        </w:rPr>
        <w:t>juillet 2021. Les travaux se poursuivent sur l’examen de l’</w:t>
      </w:r>
      <w:r w:rsidR="001022CD" w:rsidRPr="0039567C">
        <w:rPr>
          <w:noProof/>
          <w:bdr w:val="nil"/>
          <w:lang w:val="fr-FR"/>
        </w:rPr>
        <w:t>A</w:t>
      </w:r>
      <w:r w:rsidR="00C66F25" w:rsidRPr="0039567C">
        <w:rPr>
          <w:noProof/>
          <w:bdr w:val="nil"/>
          <w:lang w:val="fr-FR"/>
        </w:rPr>
        <w:t>pproche stratégique et la gestion rationnelle des produits chimiques et des déchets au</w:t>
      </w:r>
      <w:r w:rsidR="00C66F25" w:rsidRPr="0039567C">
        <w:rPr>
          <w:noProof/>
          <w:bdr w:val="nil"/>
          <w:lang w:val="fr-FR"/>
        </w:rPr>
        <w:noBreakHyphen/>
        <w:t>delà de 2020 par le biais d’un processus intersession.</w:t>
      </w:r>
    </w:p>
    <w:p w14:paraId="65F0A357" w14:textId="42AA3FE6" w:rsidR="00921700" w:rsidRPr="0039567C" w:rsidRDefault="00EE0376" w:rsidP="00282CC4">
      <w:pPr>
        <w:pStyle w:val="Normalnumber"/>
        <w:tabs>
          <w:tab w:val="clear" w:pos="1134"/>
        </w:tabs>
        <w:rPr>
          <w:noProof/>
          <w:bdr w:val="nil"/>
          <w:lang w:val="fr-FR"/>
        </w:rPr>
      </w:pPr>
      <w:r w:rsidRPr="0039567C">
        <w:rPr>
          <w:noProof/>
          <w:bdr w:val="nil"/>
          <w:lang w:val="fr-FR"/>
        </w:rPr>
        <w:t>En raison des restrictions liées à la pandémie de COVID-19</w:t>
      </w:r>
      <w:r w:rsidR="002F0FA7" w:rsidRPr="0039567C">
        <w:rPr>
          <w:noProof/>
          <w:bdr w:val="nil"/>
          <w:lang w:val="fr-FR"/>
        </w:rPr>
        <w:t>, qui ont entrainé le</w:t>
      </w:r>
      <w:r w:rsidRPr="0039567C">
        <w:rPr>
          <w:noProof/>
          <w:bdr w:val="nil"/>
          <w:lang w:val="fr-FR"/>
        </w:rPr>
        <w:t xml:space="preserve"> report</w:t>
      </w:r>
      <w:r w:rsidR="004D375A" w:rsidRPr="0039567C">
        <w:rPr>
          <w:noProof/>
          <w:bdr w:val="nil"/>
          <w:lang w:val="fr-FR"/>
        </w:rPr>
        <w:t xml:space="preserve"> </w:t>
      </w:r>
      <w:r w:rsidRPr="0039567C">
        <w:rPr>
          <w:noProof/>
          <w:bdr w:val="nil"/>
          <w:lang w:val="fr-FR"/>
        </w:rPr>
        <w:t>de la quatrième réunion du processus intersession de r</w:t>
      </w:r>
      <w:r w:rsidR="004D375A" w:rsidRPr="0039567C">
        <w:rPr>
          <w:noProof/>
          <w:bdr w:val="nil"/>
          <w:lang w:val="fr-FR"/>
        </w:rPr>
        <w:t>é</w:t>
      </w:r>
      <w:r w:rsidRPr="0039567C">
        <w:rPr>
          <w:noProof/>
          <w:bdr w:val="nil"/>
          <w:lang w:val="fr-FR"/>
        </w:rPr>
        <w:t>flexion sur l’</w:t>
      </w:r>
      <w:r w:rsidR="001022CD" w:rsidRPr="0039567C">
        <w:rPr>
          <w:noProof/>
          <w:bdr w:val="nil"/>
          <w:lang w:val="fr-FR"/>
        </w:rPr>
        <w:t>A</w:t>
      </w:r>
      <w:r w:rsidRPr="0039567C">
        <w:rPr>
          <w:noProof/>
          <w:bdr w:val="nil"/>
          <w:lang w:val="fr-FR"/>
        </w:rPr>
        <w:t>pproche stratégique et la gestion rationnelle des produits chimiques et des déchets au</w:t>
      </w:r>
      <w:r w:rsidRPr="0039567C">
        <w:rPr>
          <w:noProof/>
          <w:bdr w:val="nil"/>
          <w:lang w:val="fr-FR"/>
        </w:rPr>
        <w:noBreakHyphen/>
        <w:t>delà de 2020</w:t>
      </w:r>
      <w:r w:rsidR="004D375A" w:rsidRPr="0039567C">
        <w:rPr>
          <w:noProof/>
          <w:bdr w:val="nil"/>
          <w:lang w:val="fr-FR"/>
        </w:rPr>
        <w:t xml:space="preserve"> et de la cinquième session de la Conférence internationale sur la gestion des produits chimiques, le </w:t>
      </w:r>
      <w:r w:rsidR="002F0FA7" w:rsidRPr="0039567C">
        <w:rPr>
          <w:noProof/>
          <w:bdr w:val="nil"/>
          <w:lang w:val="fr-FR"/>
        </w:rPr>
        <w:t>B</w:t>
      </w:r>
      <w:r w:rsidR="004D375A" w:rsidRPr="0039567C">
        <w:rPr>
          <w:noProof/>
          <w:bdr w:val="nil"/>
          <w:lang w:val="fr-FR"/>
        </w:rPr>
        <w:t>ureau de la cinquième session de la Conférence et les coprésidents du processus intersession ont proposé de créer plusieurs groupes de travail virtuels afin d’a</w:t>
      </w:r>
      <w:r w:rsidR="002F0FA7" w:rsidRPr="0039567C">
        <w:rPr>
          <w:noProof/>
          <w:bdr w:val="nil"/>
          <w:lang w:val="fr-FR"/>
        </w:rPr>
        <w:t xml:space="preserve">ider </w:t>
      </w:r>
      <w:r w:rsidR="004D375A" w:rsidRPr="0039567C">
        <w:rPr>
          <w:noProof/>
          <w:bdr w:val="nil"/>
          <w:lang w:val="fr-FR"/>
        </w:rPr>
        <w:t xml:space="preserve">le processus d’intersession </w:t>
      </w:r>
      <w:r w:rsidR="002F0FA7" w:rsidRPr="0039567C">
        <w:rPr>
          <w:noProof/>
          <w:bdr w:val="nil"/>
          <w:lang w:val="fr-FR"/>
        </w:rPr>
        <w:t>à poursuivre</w:t>
      </w:r>
      <w:r w:rsidR="004D375A" w:rsidRPr="0039567C">
        <w:rPr>
          <w:noProof/>
          <w:bdr w:val="nil"/>
          <w:lang w:val="fr-FR"/>
        </w:rPr>
        <w:t xml:space="preserve"> ses délibérations. Les propositions </w:t>
      </w:r>
      <w:r w:rsidR="002F0FA7" w:rsidRPr="0039567C">
        <w:rPr>
          <w:noProof/>
          <w:bdr w:val="nil"/>
          <w:lang w:val="fr-FR"/>
        </w:rPr>
        <w:t>faites par les</w:t>
      </w:r>
      <w:r w:rsidR="004D375A" w:rsidRPr="0039567C">
        <w:rPr>
          <w:noProof/>
          <w:bdr w:val="nil"/>
          <w:lang w:val="fr-FR"/>
        </w:rPr>
        <w:t xml:space="preserve"> groupes de travail virtuels peuvent permettre de combler les lacunes</w:t>
      </w:r>
      <w:r w:rsidR="002F0FA7" w:rsidRPr="0039567C">
        <w:rPr>
          <w:noProof/>
          <w:bdr w:val="nil"/>
          <w:lang w:val="fr-FR"/>
        </w:rPr>
        <w:t xml:space="preserve"> déjà</w:t>
      </w:r>
      <w:r w:rsidR="004D375A" w:rsidRPr="0039567C">
        <w:rPr>
          <w:noProof/>
          <w:bdr w:val="nil"/>
          <w:lang w:val="fr-FR"/>
        </w:rPr>
        <w:t xml:space="preserve"> recensées, de</w:t>
      </w:r>
      <w:r w:rsidR="00E624BB" w:rsidRPr="0039567C">
        <w:rPr>
          <w:noProof/>
          <w:bdr w:val="nil"/>
          <w:lang w:val="fr-FR"/>
        </w:rPr>
        <w:t> </w:t>
      </w:r>
      <w:r w:rsidR="004D375A" w:rsidRPr="0039567C">
        <w:rPr>
          <w:noProof/>
          <w:bdr w:val="nil"/>
          <w:lang w:val="fr-FR"/>
        </w:rPr>
        <w:t>présenter un texte de compromis ou d’</w:t>
      </w:r>
      <w:r w:rsidR="00A119EB" w:rsidRPr="0039567C">
        <w:rPr>
          <w:noProof/>
          <w:bdr w:val="nil"/>
          <w:lang w:val="fr-FR"/>
        </w:rPr>
        <w:t>e</w:t>
      </w:r>
      <w:r w:rsidR="004D375A" w:rsidRPr="0039567C">
        <w:rPr>
          <w:noProof/>
          <w:bdr w:val="nil"/>
          <w:lang w:val="fr-FR"/>
        </w:rPr>
        <w:t xml:space="preserve">n proposer un nouveau ou </w:t>
      </w:r>
      <w:r w:rsidR="00643074" w:rsidRPr="0039567C">
        <w:rPr>
          <w:noProof/>
          <w:bdr w:val="nil"/>
          <w:lang w:val="fr-FR"/>
        </w:rPr>
        <w:t>une variante</w:t>
      </w:r>
      <w:r w:rsidR="004D375A" w:rsidRPr="0039567C">
        <w:rPr>
          <w:noProof/>
          <w:bdr w:val="nil"/>
          <w:lang w:val="fr-FR"/>
        </w:rPr>
        <w:t xml:space="preserve"> qui pourrait être examiné à la quatrième </w:t>
      </w:r>
      <w:r w:rsidR="00A93ECB" w:rsidRPr="0039567C">
        <w:rPr>
          <w:noProof/>
          <w:bdr w:val="nil"/>
          <w:lang w:val="fr-FR"/>
        </w:rPr>
        <w:t>réunion</w:t>
      </w:r>
      <w:r w:rsidR="004D375A" w:rsidRPr="0039567C">
        <w:rPr>
          <w:noProof/>
          <w:bdr w:val="nil"/>
          <w:lang w:val="fr-FR"/>
        </w:rPr>
        <w:t xml:space="preserve"> du processus intersession.</w:t>
      </w:r>
    </w:p>
    <w:p w14:paraId="5D25B276" w14:textId="186228EF" w:rsidR="00643074" w:rsidRPr="0039567C" w:rsidRDefault="00643074" w:rsidP="001F7820">
      <w:pPr>
        <w:pStyle w:val="Normalnumber"/>
        <w:tabs>
          <w:tab w:val="clear" w:pos="1134"/>
        </w:tabs>
        <w:rPr>
          <w:rFonts w:cs="Arial"/>
          <w:noProof/>
          <w:color w:val="000000"/>
          <w:bdr w:val="nil"/>
          <w:lang w:val="fr-FR"/>
        </w:rPr>
      </w:pPr>
      <w:r w:rsidRPr="0039567C">
        <w:rPr>
          <w:rFonts w:cs="Arial"/>
          <w:noProof/>
          <w:color w:val="000000"/>
          <w:bdr w:val="nil"/>
          <w:lang w:val="fr-FR"/>
        </w:rPr>
        <w:t xml:space="preserve">De plus, les participants à la cinquième session de la Conférence internationale sur la gestion des produits chimiques se pencheront sur l’idée d’une déclaration de haut niveau qui permettrait de renouveler l’engagement inscrit dans la Déclaration de Dubaï sur la gestion internationale des produits chimiques de 2006. En octobre 2020, le </w:t>
      </w:r>
      <w:r w:rsidR="00177A63" w:rsidRPr="0039567C">
        <w:rPr>
          <w:rFonts w:cs="Arial"/>
          <w:noProof/>
          <w:color w:val="000000"/>
          <w:bdr w:val="nil"/>
          <w:lang w:val="fr-FR"/>
        </w:rPr>
        <w:t>P</w:t>
      </w:r>
      <w:r w:rsidRPr="0039567C">
        <w:rPr>
          <w:rFonts w:cs="Arial"/>
          <w:noProof/>
          <w:color w:val="000000"/>
          <w:bdr w:val="nil"/>
          <w:lang w:val="fr-FR"/>
        </w:rPr>
        <w:t>résident de la cinquième session a lancé un processus d’élaboration d’une possible déclaration de haut niveau qui tiendrait compte des contributions, des</w:t>
      </w:r>
      <w:r w:rsidR="009D3DBC" w:rsidRPr="0039567C">
        <w:rPr>
          <w:rFonts w:cs="Arial"/>
          <w:noProof/>
          <w:color w:val="000000"/>
          <w:bdr w:val="nil"/>
          <w:lang w:val="fr-FR"/>
        </w:rPr>
        <w:t> </w:t>
      </w:r>
      <w:r w:rsidRPr="0039567C">
        <w:rPr>
          <w:rFonts w:cs="Arial"/>
          <w:noProof/>
          <w:color w:val="000000"/>
          <w:bdr w:val="nil"/>
          <w:lang w:val="fr-FR"/>
        </w:rPr>
        <w:t>idées, des suggestions et des avis de toutes les parties prenantes du processus intersession.</w:t>
      </w:r>
    </w:p>
    <w:p w14:paraId="03224974" w14:textId="6AC018B7" w:rsidR="00921700" w:rsidRPr="0039567C" w:rsidRDefault="00364549" w:rsidP="00364549">
      <w:pPr>
        <w:pStyle w:val="CH2"/>
        <w:rPr>
          <w:noProof/>
          <w:lang w:val="fr-FR"/>
        </w:rPr>
      </w:pPr>
      <w:r w:rsidRPr="0039567C">
        <w:rPr>
          <w:noProof/>
          <w:lang w:val="fr-FR"/>
        </w:rPr>
        <w:tab/>
      </w:r>
      <w:r w:rsidR="00333FC6" w:rsidRPr="0039567C">
        <w:rPr>
          <w:noProof/>
          <w:lang w:val="fr-FR"/>
        </w:rPr>
        <w:t>D</w:t>
      </w:r>
      <w:r w:rsidR="0085698B" w:rsidRPr="0039567C">
        <w:rPr>
          <w:noProof/>
          <w:lang w:val="fr-FR"/>
        </w:rPr>
        <w:t>.</w:t>
      </w:r>
      <w:r w:rsidR="001F7820" w:rsidRPr="0039567C">
        <w:rPr>
          <w:noProof/>
          <w:lang w:val="fr-FR"/>
        </w:rPr>
        <w:tab/>
      </w:r>
      <w:r w:rsidR="00315D35" w:rsidRPr="0039567C">
        <w:rPr>
          <w:noProof/>
          <w:lang w:val="fr-FR"/>
        </w:rPr>
        <w:t>M</w:t>
      </w:r>
      <w:r w:rsidR="00921700" w:rsidRPr="0039567C">
        <w:rPr>
          <w:noProof/>
          <w:lang w:val="fr-FR"/>
        </w:rPr>
        <w:t>anu</w:t>
      </w:r>
      <w:r w:rsidR="00315D35" w:rsidRPr="0039567C">
        <w:rPr>
          <w:noProof/>
          <w:lang w:val="fr-FR"/>
        </w:rPr>
        <w:t>els sur la chimie verte et la chimie durable</w:t>
      </w:r>
    </w:p>
    <w:p w14:paraId="7EA37635" w14:textId="08C90C27" w:rsidR="00315D35" w:rsidRPr="0039567C" w:rsidRDefault="00315D35" w:rsidP="001F7820">
      <w:pPr>
        <w:pStyle w:val="Normalnumber"/>
        <w:tabs>
          <w:tab w:val="clear" w:pos="1134"/>
        </w:tabs>
        <w:rPr>
          <w:noProof/>
          <w:bdr w:val="nil"/>
          <w:lang w:val="fr-FR"/>
        </w:rPr>
      </w:pPr>
      <w:r w:rsidRPr="0039567C">
        <w:rPr>
          <w:noProof/>
          <w:bdr w:val="nil"/>
          <w:lang w:val="fr-FR"/>
        </w:rPr>
        <w:t>En pré</w:t>
      </w:r>
      <w:r w:rsidR="00E108D2" w:rsidRPr="0039567C">
        <w:rPr>
          <w:noProof/>
          <w:bdr w:val="nil"/>
          <w:lang w:val="fr-FR"/>
        </w:rPr>
        <w:t xml:space="preserve">vision </w:t>
      </w:r>
      <w:r w:rsidRPr="0039567C">
        <w:rPr>
          <w:noProof/>
          <w:bdr w:val="nil"/>
          <w:lang w:val="fr-FR"/>
        </w:rPr>
        <w:t>de la cinquième session de l’Assemblée pour l’environnement, le PNUE a</w:t>
      </w:r>
      <w:r w:rsidR="00C662E1" w:rsidRPr="0039567C">
        <w:rPr>
          <w:noProof/>
          <w:bdr w:val="nil"/>
          <w:lang w:val="fr-FR"/>
        </w:rPr>
        <w:t> </w:t>
      </w:r>
      <w:r w:rsidR="00D676E5" w:rsidRPr="0039567C">
        <w:rPr>
          <w:noProof/>
          <w:bdr w:val="nil"/>
          <w:lang w:val="fr-FR"/>
        </w:rPr>
        <w:t xml:space="preserve">élaboré </w:t>
      </w:r>
      <w:r w:rsidRPr="0039567C">
        <w:rPr>
          <w:noProof/>
          <w:bdr w:val="nil"/>
          <w:lang w:val="fr-FR"/>
        </w:rPr>
        <w:t>des manuels sur la chimie verte et la chimie durable. Ils contiennent un manuel</w:t>
      </w:r>
      <w:r w:rsidRPr="0039567C">
        <w:rPr>
          <w:noProof/>
          <w:bdr w:val="nil"/>
          <w:lang w:val="fr-FR"/>
        </w:rPr>
        <w:noBreakHyphen/>
        <w:t>cadre, un</w:t>
      </w:r>
      <w:r w:rsidR="00C662E1" w:rsidRPr="0039567C">
        <w:rPr>
          <w:noProof/>
          <w:bdr w:val="nil"/>
          <w:lang w:val="fr-FR"/>
        </w:rPr>
        <w:t> </w:t>
      </w:r>
      <w:r w:rsidRPr="0039567C">
        <w:rPr>
          <w:noProof/>
          <w:bdr w:val="nil"/>
          <w:lang w:val="fr-FR"/>
        </w:rPr>
        <w:t xml:space="preserve">résumé </w:t>
      </w:r>
      <w:r w:rsidR="006F27BC" w:rsidRPr="0039567C">
        <w:rPr>
          <w:noProof/>
          <w:bdr w:val="nil"/>
          <w:lang w:val="fr-FR"/>
        </w:rPr>
        <w:t xml:space="preserve">analytique </w:t>
      </w:r>
      <w:r w:rsidRPr="0039567C">
        <w:rPr>
          <w:noProof/>
          <w:bdr w:val="nil"/>
          <w:lang w:val="fr-FR"/>
        </w:rPr>
        <w:t xml:space="preserve">et un manuel consacré à l’éducation afin de mieux faire comprendre la chimie verte et la chimie durable </w:t>
      </w:r>
      <w:r w:rsidR="00282CC4" w:rsidRPr="0039567C">
        <w:rPr>
          <w:noProof/>
          <w:bdr w:val="nil"/>
          <w:lang w:val="fr-FR"/>
        </w:rPr>
        <w:t>et de conseiller les pays et les parties prenantes dans ces domaines.</w:t>
      </w:r>
    </w:p>
    <w:p w14:paraId="7D3F18A6" w14:textId="607D4F90" w:rsidR="00921700" w:rsidRPr="0039567C" w:rsidRDefault="00282CC4" w:rsidP="00282CC4">
      <w:pPr>
        <w:pStyle w:val="Normalnumber"/>
        <w:tabs>
          <w:tab w:val="clear" w:pos="1134"/>
        </w:tabs>
        <w:rPr>
          <w:noProof/>
          <w:bdr w:val="nil"/>
          <w:lang w:val="fr-FR"/>
        </w:rPr>
      </w:pPr>
      <w:r w:rsidRPr="0039567C">
        <w:rPr>
          <w:noProof/>
          <w:bdr w:val="nil"/>
          <w:lang w:val="fr-FR"/>
        </w:rPr>
        <w:t xml:space="preserve">Le manuel-cadre sur la chimie verte et la chimie durable s’appuie sur le rapport 2019 du PNUE, qui analyse les communications des parties prenantes sur la chimie durable en </w:t>
      </w:r>
      <w:r w:rsidR="00A46F6B" w:rsidRPr="0039567C">
        <w:rPr>
          <w:noProof/>
          <w:bdr w:val="nil"/>
          <w:lang w:val="fr-FR"/>
        </w:rPr>
        <w:t xml:space="preserve">application </w:t>
      </w:r>
      <w:r w:rsidRPr="0039567C">
        <w:rPr>
          <w:noProof/>
          <w:bdr w:val="nil"/>
          <w:lang w:val="fr-FR"/>
        </w:rPr>
        <w:t>de la résolution</w:t>
      </w:r>
      <w:r w:rsidR="00B324F3" w:rsidRPr="0039567C">
        <w:rPr>
          <w:noProof/>
          <w:bdr w:val="nil"/>
          <w:lang w:val="fr-FR"/>
        </w:rPr>
        <w:t> </w:t>
      </w:r>
      <w:r w:rsidRPr="0039567C">
        <w:rPr>
          <w:noProof/>
          <w:bdr w:val="nil"/>
          <w:lang w:val="fr-FR"/>
        </w:rPr>
        <w:t xml:space="preserve">2/7 et sur le rapport intitulé </w:t>
      </w:r>
      <w:r w:rsidRPr="0039567C">
        <w:rPr>
          <w:i/>
          <w:iCs/>
          <w:noProof/>
          <w:bdr w:val="nil"/>
          <w:lang w:val="fr-FR"/>
        </w:rPr>
        <w:t>G</w:t>
      </w:r>
      <w:r w:rsidR="00921700" w:rsidRPr="0039567C">
        <w:rPr>
          <w:i/>
          <w:iCs/>
          <w:noProof/>
          <w:bdr w:val="nil"/>
          <w:lang w:val="fr-FR"/>
        </w:rPr>
        <w:t>lobal Chemicals Outlook</w:t>
      </w:r>
      <w:r w:rsidR="00715A5E" w:rsidRPr="0039567C">
        <w:rPr>
          <w:i/>
          <w:iCs/>
          <w:noProof/>
          <w:bdr w:val="nil"/>
          <w:lang w:val="fr-FR"/>
        </w:rPr>
        <w:t xml:space="preserve"> </w:t>
      </w:r>
      <w:r w:rsidR="00921700" w:rsidRPr="0039567C">
        <w:rPr>
          <w:i/>
          <w:iCs/>
          <w:noProof/>
          <w:bdr w:val="nil"/>
          <w:lang w:val="fr-FR"/>
        </w:rPr>
        <w:t>II</w:t>
      </w:r>
      <w:r w:rsidR="00303706" w:rsidRPr="0039567C">
        <w:rPr>
          <w:i/>
          <w:iCs/>
          <w:noProof/>
          <w:bdr w:val="nil"/>
          <w:lang w:val="fr-FR"/>
        </w:rPr>
        <w:t>:</w:t>
      </w:r>
      <w:r w:rsidR="00D92895" w:rsidRPr="0039567C">
        <w:rPr>
          <w:i/>
          <w:iCs/>
          <w:noProof/>
          <w:bdr w:val="nil"/>
          <w:lang w:val="fr-FR"/>
        </w:rPr>
        <w:t xml:space="preserve"> </w:t>
      </w:r>
      <w:r w:rsidR="00C7588E" w:rsidRPr="0039567C">
        <w:rPr>
          <w:i/>
          <w:iCs/>
          <w:noProof/>
          <w:bdr w:val="nil"/>
          <w:lang w:val="fr-FR"/>
        </w:rPr>
        <w:t>From Legacies to Innovative Solutions</w:t>
      </w:r>
      <w:r w:rsidR="00177E9B" w:rsidRPr="0039567C">
        <w:rPr>
          <w:i/>
          <w:iCs/>
          <w:noProof/>
          <w:bdr w:val="nil"/>
          <w:lang w:val="fr-FR"/>
        </w:rPr>
        <w:t>:</w:t>
      </w:r>
      <w:r w:rsidR="00C7588E" w:rsidRPr="0039567C">
        <w:rPr>
          <w:i/>
          <w:iCs/>
          <w:noProof/>
          <w:bdr w:val="nil"/>
          <w:lang w:val="fr-FR"/>
        </w:rPr>
        <w:t xml:space="preserve"> Implementing the 2030 Agenda for Sustainable Development</w:t>
      </w:r>
      <w:r w:rsidR="00921700" w:rsidRPr="0039567C">
        <w:rPr>
          <w:noProof/>
          <w:bdr w:val="nil"/>
          <w:lang w:val="fr-FR"/>
        </w:rPr>
        <w:t>.</w:t>
      </w:r>
    </w:p>
    <w:p w14:paraId="0C2A3163" w14:textId="7C9B54F1" w:rsidR="00282CC4" w:rsidRPr="0039567C" w:rsidRDefault="00282CC4" w:rsidP="001F7820">
      <w:pPr>
        <w:pStyle w:val="Normalnumber"/>
        <w:tabs>
          <w:tab w:val="clear" w:pos="1134"/>
        </w:tabs>
        <w:rPr>
          <w:noProof/>
          <w:bdr w:val="nil"/>
          <w:lang w:val="fr-FR"/>
        </w:rPr>
      </w:pPr>
      <w:r w:rsidRPr="0039567C">
        <w:rPr>
          <w:noProof/>
          <w:bdr w:val="nil"/>
          <w:lang w:val="fr-FR"/>
        </w:rPr>
        <w:t>Cette activité a été financ</w:t>
      </w:r>
      <w:r w:rsidR="00C30A04" w:rsidRPr="0039567C">
        <w:rPr>
          <w:noProof/>
          <w:bdr w:val="nil"/>
          <w:lang w:val="fr-FR"/>
        </w:rPr>
        <w:t>é</w:t>
      </w:r>
      <w:r w:rsidRPr="0039567C">
        <w:rPr>
          <w:noProof/>
          <w:bdr w:val="nil"/>
          <w:lang w:val="fr-FR"/>
        </w:rPr>
        <w:t xml:space="preserve">e par les </w:t>
      </w:r>
      <w:r w:rsidR="006A14E5" w:rsidRPr="0039567C">
        <w:rPr>
          <w:noProof/>
          <w:bdr w:val="nil"/>
          <w:lang w:val="fr-FR"/>
        </w:rPr>
        <w:t>G</w:t>
      </w:r>
      <w:r w:rsidRPr="0039567C">
        <w:rPr>
          <w:noProof/>
          <w:bdr w:val="nil"/>
          <w:lang w:val="fr-FR"/>
        </w:rPr>
        <w:t xml:space="preserve">ouvernements </w:t>
      </w:r>
      <w:r w:rsidR="002F0FA7" w:rsidRPr="0039567C">
        <w:rPr>
          <w:noProof/>
          <w:bdr w:val="nil"/>
          <w:lang w:val="fr-FR"/>
        </w:rPr>
        <w:t>allemand et suédois</w:t>
      </w:r>
      <w:r w:rsidRPr="0039567C">
        <w:rPr>
          <w:noProof/>
          <w:bdr w:val="nil"/>
          <w:lang w:val="fr-FR"/>
        </w:rPr>
        <w:t xml:space="preserve"> ainsi que par le Fonds pour l’environnement. </w:t>
      </w:r>
      <w:r w:rsidR="00C30A04" w:rsidRPr="0039567C">
        <w:rPr>
          <w:noProof/>
          <w:bdr w:val="nil"/>
          <w:lang w:val="fr-FR"/>
        </w:rPr>
        <w:t>Un groupe multipartite d’experts a guidé son élaboration et les manuels ont été envoyés aux organisations membres du Programme interorganisations pour la gestion rationnelle des produits chimiques, pour examen.</w:t>
      </w:r>
    </w:p>
    <w:p w14:paraId="0A5A965B" w14:textId="2F1823DA" w:rsidR="00921700" w:rsidRPr="0039567C" w:rsidRDefault="00364549" w:rsidP="00364549">
      <w:pPr>
        <w:pStyle w:val="CH2"/>
        <w:rPr>
          <w:i/>
          <w:iCs/>
          <w:noProof/>
          <w:lang w:val="fr-FR"/>
        </w:rPr>
      </w:pPr>
      <w:r w:rsidRPr="0039567C">
        <w:rPr>
          <w:noProof/>
          <w:lang w:val="fr-FR"/>
        </w:rPr>
        <w:tab/>
      </w:r>
      <w:r w:rsidR="00333FC6" w:rsidRPr="0039567C">
        <w:rPr>
          <w:noProof/>
          <w:lang w:val="fr-FR"/>
        </w:rPr>
        <w:t>E</w:t>
      </w:r>
      <w:r w:rsidR="008720FD" w:rsidRPr="0039567C">
        <w:rPr>
          <w:noProof/>
          <w:lang w:val="fr-FR"/>
        </w:rPr>
        <w:t>.</w:t>
      </w:r>
      <w:r w:rsidR="001F7820" w:rsidRPr="0039567C">
        <w:rPr>
          <w:noProof/>
          <w:lang w:val="fr-FR"/>
        </w:rPr>
        <w:tab/>
      </w:r>
      <w:r w:rsidR="00A74F3C" w:rsidRPr="0039567C">
        <w:rPr>
          <w:noProof/>
          <w:lang w:val="fr-FR"/>
        </w:rPr>
        <w:t xml:space="preserve">Suivre les tendances observées dans la conception, la production, l’utilisation et le rejet des produits chimiques et la production de déchets afin de recenser les questions préoccupantes pour les éditions futures des rapports </w:t>
      </w:r>
      <w:r w:rsidR="00921700" w:rsidRPr="0039567C">
        <w:rPr>
          <w:i/>
          <w:iCs/>
          <w:noProof/>
          <w:lang w:val="fr-FR"/>
        </w:rPr>
        <w:t xml:space="preserve">Global Chemicals </w:t>
      </w:r>
      <w:r w:rsidR="00B01333" w:rsidRPr="0039567C">
        <w:rPr>
          <w:i/>
          <w:iCs/>
          <w:noProof/>
          <w:lang w:val="fr-FR"/>
        </w:rPr>
        <w:t>Outlook</w:t>
      </w:r>
      <w:r w:rsidR="00B01333" w:rsidRPr="0039567C">
        <w:rPr>
          <w:noProof/>
          <w:lang w:val="fr-FR"/>
        </w:rPr>
        <w:t xml:space="preserve"> </w:t>
      </w:r>
      <w:r w:rsidR="00A74F3C" w:rsidRPr="0039567C">
        <w:rPr>
          <w:noProof/>
          <w:lang w:val="fr-FR"/>
        </w:rPr>
        <w:t>et</w:t>
      </w:r>
      <w:r w:rsidR="009F29B8" w:rsidRPr="0039567C">
        <w:rPr>
          <w:noProof/>
          <w:lang w:val="fr-FR"/>
        </w:rPr>
        <w:t xml:space="preserve"> </w:t>
      </w:r>
      <w:r w:rsidR="009F29B8" w:rsidRPr="0039567C">
        <w:rPr>
          <w:i/>
          <w:iCs/>
          <w:noProof/>
          <w:lang w:val="fr-FR"/>
        </w:rPr>
        <w:t xml:space="preserve">Global </w:t>
      </w:r>
      <w:r w:rsidR="00921700" w:rsidRPr="0039567C">
        <w:rPr>
          <w:i/>
          <w:iCs/>
          <w:noProof/>
          <w:lang w:val="fr-FR"/>
        </w:rPr>
        <w:t>Waste Management Outlook</w:t>
      </w:r>
    </w:p>
    <w:p w14:paraId="254926C3" w14:textId="61B49445" w:rsidR="00DC0836" w:rsidRPr="0039567C" w:rsidRDefault="00DC0836" w:rsidP="001F7820">
      <w:pPr>
        <w:pStyle w:val="Normalnumber"/>
        <w:tabs>
          <w:tab w:val="clear" w:pos="1134"/>
        </w:tabs>
        <w:rPr>
          <w:noProof/>
          <w:bdr w:val="nil"/>
          <w:lang w:val="fr-FR"/>
        </w:rPr>
      </w:pPr>
      <w:r w:rsidRPr="0039567C">
        <w:rPr>
          <w:noProof/>
          <w:bdr w:val="nil"/>
          <w:lang w:val="fr-FR"/>
        </w:rPr>
        <w:t xml:space="preserve">La prochaine édition du rapport </w:t>
      </w:r>
      <w:r w:rsidRPr="0039567C">
        <w:rPr>
          <w:rFonts w:eastAsia="Arial Unicode MS"/>
          <w:i/>
          <w:iCs/>
          <w:noProof/>
          <w:bdr w:val="nil"/>
          <w:lang w:val="fr-FR"/>
        </w:rPr>
        <w:t xml:space="preserve">Global Waste Management Outlook </w:t>
      </w:r>
      <w:r w:rsidRPr="0039567C">
        <w:rPr>
          <w:rFonts w:eastAsia="Arial Unicode MS"/>
          <w:noProof/>
          <w:bdr w:val="nil"/>
          <w:lang w:val="fr-FR"/>
        </w:rPr>
        <w:t>est en cours d</w:t>
      </w:r>
      <w:r w:rsidR="006A14E5" w:rsidRPr="0039567C">
        <w:rPr>
          <w:rFonts w:eastAsia="Arial Unicode MS"/>
          <w:noProof/>
          <w:bdr w:val="nil"/>
          <w:lang w:val="fr-FR"/>
        </w:rPr>
        <w:t>e préparatio</w:t>
      </w:r>
      <w:r w:rsidRPr="0039567C">
        <w:rPr>
          <w:rFonts w:eastAsia="Arial Unicode MS"/>
          <w:noProof/>
          <w:bdr w:val="nil"/>
          <w:lang w:val="fr-FR"/>
        </w:rPr>
        <w:t xml:space="preserve">n </w:t>
      </w:r>
      <w:r w:rsidR="006A14E5" w:rsidRPr="0039567C">
        <w:rPr>
          <w:rFonts w:eastAsia="Arial Unicode MS"/>
          <w:noProof/>
          <w:bdr w:val="nil"/>
          <w:lang w:val="fr-FR"/>
        </w:rPr>
        <w:t>en vue de</w:t>
      </w:r>
      <w:r w:rsidRPr="0039567C">
        <w:rPr>
          <w:rFonts w:eastAsia="Arial Unicode MS"/>
          <w:noProof/>
          <w:bdr w:val="nil"/>
          <w:lang w:val="fr-FR"/>
        </w:rPr>
        <w:t xml:space="preserve"> la cinquième session de l’Assemblée pour l’environnement. Les efforts entrepris pour recenser les questions préoccupantes sont décrits au paragraphe 19 ci-dessous et reposent sur le rapport</w:t>
      </w:r>
      <w:r w:rsidRPr="0039567C">
        <w:rPr>
          <w:i/>
          <w:iCs/>
          <w:noProof/>
          <w:bdr w:val="nil"/>
          <w:lang w:val="fr-FR"/>
        </w:rPr>
        <w:t xml:space="preserve"> Global Chemicals Outlook II</w:t>
      </w:r>
      <w:r w:rsidRPr="0039567C">
        <w:rPr>
          <w:noProof/>
          <w:bdr w:val="nil"/>
          <w:lang w:val="fr-FR"/>
        </w:rPr>
        <w:t xml:space="preserve">, qui a été publié en 2019. </w:t>
      </w:r>
      <w:r w:rsidR="0061021C" w:rsidRPr="0039567C">
        <w:rPr>
          <w:noProof/>
          <w:bdr w:val="nil"/>
          <w:lang w:val="fr-FR"/>
        </w:rPr>
        <w:t>Lors de l’élaboration de ces rapports, le PNUE a étudié la conception, la production, l’utilisation et le rejet des produits chimiques et la production de déchets.</w:t>
      </w:r>
    </w:p>
    <w:p w14:paraId="5FB8DFEB" w14:textId="000077B7" w:rsidR="00E25523" w:rsidRPr="0039567C" w:rsidRDefault="00E25523" w:rsidP="001F7820">
      <w:pPr>
        <w:pStyle w:val="Normalnumber"/>
        <w:tabs>
          <w:tab w:val="clear" w:pos="1134"/>
        </w:tabs>
        <w:rPr>
          <w:noProof/>
          <w:bdr w:val="nil"/>
          <w:lang w:val="fr-FR"/>
        </w:rPr>
      </w:pPr>
      <w:r w:rsidRPr="0039567C">
        <w:rPr>
          <w:noProof/>
          <w:bdr w:val="nil"/>
          <w:lang w:val="fr-FR"/>
        </w:rPr>
        <w:t xml:space="preserve">Des progrès ont été réalisés </w:t>
      </w:r>
      <w:r w:rsidR="00F53D06" w:rsidRPr="0039567C">
        <w:rPr>
          <w:noProof/>
          <w:bdr w:val="nil"/>
          <w:lang w:val="fr-FR"/>
        </w:rPr>
        <w:t xml:space="preserve">s’agissant du recensement et de l’établissement d’une cartographie des zones sensibles où la pollution a lieu, ainsi que de l’inventaire des bonnes pratiques en la matière. </w:t>
      </w:r>
      <w:r w:rsidR="00416C4B" w:rsidRPr="0039567C">
        <w:rPr>
          <w:noProof/>
          <w:bdr w:val="nil"/>
          <w:lang w:val="fr-FR"/>
        </w:rPr>
        <w:t>Sept rapports sur les perspectives régionales en matière de gestion des déchets ont été publiés en</w:t>
      </w:r>
      <w:r w:rsidR="00CD278B" w:rsidRPr="0039567C">
        <w:rPr>
          <w:noProof/>
          <w:bdr w:val="nil"/>
          <w:lang w:val="fr-FR"/>
        </w:rPr>
        <w:t> </w:t>
      </w:r>
      <w:r w:rsidR="00416C4B" w:rsidRPr="0039567C">
        <w:rPr>
          <w:noProof/>
          <w:bdr w:val="nil"/>
          <w:lang w:val="fr-FR"/>
        </w:rPr>
        <w:t>juin</w:t>
      </w:r>
      <w:r w:rsidR="00CD278B" w:rsidRPr="0039567C">
        <w:rPr>
          <w:noProof/>
          <w:bdr w:val="nil"/>
          <w:lang w:val="fr-FR"/>
        </w:rPr>
        <w:t> </w:t>
      </w:r>
      <w:r w:rsidR="00416C4B" w:rsidRPr="0039567C">
        <w:rPr>
          <w:noProof/>
          <w:bdr w:val="nil"/>
          <w:lang w:val="fr-FR"/>
        </w:rPr>
        <w:t xml:space="preserve">2020. Ils concernent l’Afrique, l’Asie, l’Asie centrale, l’Asie occidentale, l’Amérique latine et les Caraïbes, les petits États insulaires en développement et les régions montagneuses. La prochaine édition du </w:t>
      </w:r>
      <w:r w:rsidR="00416C4B" w:rsidRPr="0039567C">
        <w:rPr>
          <w:i/>
          <w:iCs/>
          <w:noProof/>
          <w:bdr w:val="nil"/>
          <w:lang w:val="fr-FR"/>
        </w:rPr>
        <w:t>Global Waste Management Outlook</w:t>
      </w:r>
      <w:r w:rsidR="00416C4B" w:rsidRPr="0039567C">
        <w:rPr>
          <w:noProof/>
          <w:bdr w:val="nil"/>
          <w:lang w:val="fr-FR"/>
        </w:rPr>
        <w:t xml:space="preserve"> repose sur les tendances principales observées dans ces rapports régionaux. </w:t>
      </w:r>
      <w:r w:rsidR="00DE6EC9" w:rsidRPr="0039567C">
        <w:rPr>
          <w:noProof/>
          <w:bdr w:val="nil"/>
          <w:lang w:val="fr-FR"/>
        </w:rPr>
        <w:t xml:space="preserve">La production de déchets s’accroît de façon beaucoup plus rapide que le développement de nouvelles infrastructures </w:t>
      </w:r>
      <w:r w:rsidR="006A14E5" w:rsidRPr="0039567C">
        <w:rPr>
          <w:noProof/>
          <w:bdr w:val="nil"/>
          <w:lang w:val="fr-FR"/>
        </w:rPr>
        <w:t xml:space="preserve">de </w:t>
      </w:r>
      <w:r w:rsidR="006E162D" w:rsidRPr="0039567C">
        <w:rPr>
          <w:noProof/>
          <w:bdr w:val="nil"/>
          <w:lang w:val="fr-FR"/>
        </w:rPr>
        <w:t xml:space="preserve">traitement </w:t>
      </w:r>
      <w:r w:rsidR="006A14E5" w:rsidRPr="0039567C">
        <w:rPr>
          <w:noProof/>
          <w:bdr w:val="nil"/>
          <w:lang w:val="fr-FR"/>
        </w:rPr>
        <w:t>des déchets</w:t>
      </w:r>
      <w:r w:rsidR="00DE6EC9" w:rsidRPr="0039567C">
        <w:rPr>
          <w:noProof/>
          <w:bdr w:val="nil"/>
          <w:lang w:val="fr-FR"/>
        </w:rPr>
        <w:t xml:space="preserve">, ce qui signifie que le nombre de décharges sauvages va continuer d’augmenter. </w:t>
      </w:r>
      <w:r w:rsidR="004C7DBA" w:rsidRPr="0039567C">
        <w:rPr>
          <w:noProof/>
          <w:bdr w:val="nil"/>
          <w:lang w:val="fr-FR"/>
        </w:rPr>
        <w:t xml:space="preserve">Les déchets </w:t>
      </w:r>
      <w:r w:rsidR="001E6DDF" w:rsidRPr="0039567C">
        <w:rPr>
          <w:noProof/>
          <w:bdr w:val="nil"/>
          <w:lang w:val="fr-FR"/>
        </w:rPr>
        <w:t xml:space="preserve">d’équipements </w:t>
      </w:r>
      <w:r w:rsidR="00C950D8" w:rsidRPr="0039567C">
        <w:rPr>
          <w:noProof/>
          <w:bdr w:val="nil"/>
          <w:lang w:val="fr-FR"/>
        </w:rPr>
        <w:t xml:space="preserve">électriques et </w:t>
      </w:r>
      <w:r w:rsidR="004C7DBA" w:rsidRPr="0039567C">
        <w:rPr>
          <w:noProof/>
          <w:bdr w:val="nil"/>
          <w:lang w:val="fr-FR"/>
        </w:rPr>
        <w:t xml:space="preserve">électroniques, </w:t>
      </w:r>
      <w:r w:rsidR="000C74EB" w:rsidRPr="0039567C">
        <w:rPr>
          <w:noProof/>
          <w:bdr w:val="nil"/>
          <w:lang w:val="fr-FR"/>
        </w:rPr>
        <w:t xml:space="preserve">un flux de déchets </w:t>
      </w:r>
      <w:r w:rsidR="004C7DBA" w:rsidRPr="0039567C">
        <w:rPr>
          <w:noProof/>
          <w:bdr w:val="nil"/>
          <w:lang w:val="fr-FR"/>
        </w:rPr>
        <w:t>cont</w:t>
      </w:r>
      <w:r w:rsidR="000C74EB" w:rsidRPr="0039567C">
        <w:rPr>
          <w:noProof/>
          <w:bdr w:val="nil"/>
          <w:lang w:val="fr-FR"/>
        </w:rPr>
        <w:t>ena</w:t>
      </w:r>
      <w:r w:rsidR="004C7DBA" w:rsidRPr="0039567C">
        <w:rPr>
          <w:noProof/>
          <w:bdr w:val="nil"/>
          <w:lang w:val="fr-FR"/>
        </w:rPr>
        <w:t>nt de</w:t>
      </w:r>
      <w:r w:rsidR="000C74EB" w:rsidRPr="0039567C">
        <w:rPr>
          <w:noProof/>
          <w:bdr w:val="nil"/>
          <w:lang w:val="fr-FR"/>
        </w:rPr>
        <w:t xml:space="preserve"> </w:t>
      </w:r>
      <w:r w:rsidR="004C7DBA" w:rsidRPr="0039567C">
        <w:rPr>
          <w:noProof/>
          <w:bdr w:val="nil"/>
          <w:lang w:val="fr-FR"/>
        </w:rPr>
        <w:t>nombreu</w:t>
      </w:r>
      <w:r w:rsidR="000C74EB" w:rsidRPr="0039567C">
        <w:rPr>
          <w:noProof/>
          <w:bdr w:val="nil"/>
          <w:lang w:val="fr-FR"/>
        </w:rPr>
        <w:t>ses substances chimiques et dont le recyclage nécessite l’utilisation de produits chimiques, ont augmenté de 21</w:t>
      </w:r>
      <w:r w:rsidR="00B324F3" w:rsidRPr="0039567C">
        <w:rPr>
          <w:noProof/>
          <w:bdr w:val="nil"/>
          <w:lang w:val="fr-FR"/>
        </w:rPr>
        <w:t> </w:t>
      </w:r>
      <w:r w:rsidR="000C74EB" w:rsidRPr="0039567C">
        <w:rPr>
          <w:noProof/>
          <w:bdr w:val="nil"/>
          <w:lang w:val="fr-FR"/>
        </w:rPr>
        <w:t>% en cinq ans, avec un record de 53,6</w:t>
      </w:r>
      <w:r w:rsidR="00B324F3" w:rsidRPr="0039567C">
        <w:rPr>
          <w:noProof/>
          <w:bdr w:val="nil"/>
          <w:lang w:val="fr-FR"/>
        </w:rPr>
        <w:t> </w:t>
      </w:r>
      <w:r w:rsidR="000C74EB" w:rsidRPr="0039567C">
        <w:rPr>
          <w:noProof/>
          <w:bdr w:val="nil"/>
          <w:lang w:val="fr-FR"/>
        </w:rPr>
        <w:t>millions de tonnes de déchets électroniques</w:t>
      </w:r>
      <w:r w:rsidR="000F0869" w:rsidRPr="0039567C">
        <w:rPr>
          <w:noProof/>
          <w:bdr w:val="nil"/>
          <w:lang w:val="fr-FR"/>
        </w:rPr>
        <w:t xml:space="preserve"> générés au niveau mondial en 2019. </w:t>
      </w:r>
      <w:r w:rsidR="002C43C9" w:rsidRPr="0039567C">
        <w:rPr>
          <w:noProof/>
          <w:bdr w:val="nil"/>
          <w:lang w:val="fr-FR"/>
        </w:rPr>
        <w:t>De façon générale</w:t>
      </w:r>
      <w:r w:rsidR="000F0869" w:rsidRPr="0039567C">
        <w:rPr>
          <w:noProof/>
          <w:bdr w:val="nil"/>
          <w:lang w:val="fr-FR"/>
        </w:rPr>
        <w:t>, l’industrie du traitement des déchets</w:t>
      </w:r>
      <w:r w:rsidR="002C43C9" w:rsidRPr="0039567C">
        <w:rPr>
          <w:noProof/>
          <w:bdr w:val="nil"/>
          <w:lang w:val="fr-FR"/>
        </w:rPr>
        <w:t xml:space="preserve"> est </w:t>
      </w:r>
      <w:r w:rsidR="00BA4117" w:rsidRPr="0039567C">
        <w:rPr>
          <w:noProof/>
          <w:bdr w:val="nil"/>
          <w:lang w:val="fr-FR"/>
        </w:rPr>
        <w:t>régie</w:t>
      </w:r>
      <w:r w:rsidR="002C43C9" w:rsidRPr="0039567C">
        <w:rPr>
          <w:noProof/>
          <w:bdr w:val="nil"/>
          <w:lang w:val="fr-FR"/>
        </w:rPr>
        <w:t xml:space="preserve"> par l’interaction entre quatre</w:t>
      </w:r>
      <w:r w:rsidR="00BA4117" w:rsidRPr="0039567C">
        <w:rPr>
          <w:noProof/>
          <w:bdr w:val="nil"/>
          <w:lang w:val="fr-FR"/>
        </w:rPr>
        <w:t xml:space="preserve"> grandes</w:t>
      </w:r>
      <w:r w:rsidR="002C43C9" w:rsidRPr="0039567C">
        <w:rPr>
          <w:noProof/>
          <w:bdr w:val="nil"/>
          <w:lang w:val="fr-FR"/>
        </w:rPr>
        <w:t xml:space="preserve"> tendances : l’économie circulaire, les détritus marins, les changements climatiques et la quatrième révolution industrielle.</w:t>
      </w:r>
    </w:p>
    <w:p w14:paraId="1A084E12" w14:textId="4C9500B3" w:rsidR="00BA4117" w:rsidRPr="0039567C" w:rsidRDefault="00492BA4" w:rsidP="0014080C">
      <w:pPr>
        <w:pStyle w:val="Normalnumber"/>
        <w:numPr>
          <w:ilvl w:val="0"/>
          <w:numId w:val="0"/>
        </w:numPr>
        <w:ind w:left="1247"/>
        <w:rPr>
          <w:noProof/>
          <w:bdr w:val="nil"/>
          <w:lang w:val="fr-FR"/>
        </w:rPr>
      </w:pPr>
      <w:r w:rsidRPr="0039567C">
        <w:rPr>
          <w:noProof/>
          <w:bdr w:val="nil"/>
          <w:lang w:val="fr-FR"/>
        </w:rPr>
        <w:t>20.</w:t>
      </w:r>
      <w:r w:rsidR="001818A8" w:rsidRPr="0039567C">
        <w:rPr>
          <w:noProof/>
          <w:bdr w:val="nil"/>
          <w:lang w:val="fr-FR"/>
        </w:rPr>
        <w:tab/>
      </w:r>
      <w:r w:rsidR="00BA4117" w:rsidRPr="0039567C">
        <w:rPr>
          <w:noProof/>
          <w:bdr w:val="nil"/>
          <w:lang w:val="fr-FR"/>
        </w:rPr>
        <w:t xml:space="preserve">Il est important de souligner le fait que les politiques relatives aux produits chimiques et aux déchets peuvent avoir un impact positif très fort sur la conception des produits et les efforts entrepris en amont pour </w:t>
      </w:r>
      <w:r w:rsidR="006A14E5" w:rsidRPr="0039567C">
        <w:rPr>
          <w:noProof/>
          <w:bdr w:val="nil"/>
          <w:lang w:val="fr-FR"/>
        </w:rPr>
        <w:t>s’orienter</w:t>
      </w:r>
      <w:r w:rsidR="00BA4117" w:rsidRPr="0039567C">
        <w:rPr>
          <w:noProof/>
          <w:bdr w:val="nil"/>
          <w:lang w:val="fr-FR"/>
        </w:rPr>
        <w:t xml:space="preserve"> vers une consommation et une production durables, ainsi qu’une circularité. Pour atteindre cet objectif, une coordination doit être assurée entre ces politiques et d’autres mesures liées aux produits. Plusieurs pays ont cité la mise en œuvre nationale des conventions sur les produits chimiques comme exemple positif permettant d’obtenir une cohérence et une collaboration au niveau national </w:t>
      </w:r>
      <w:r w:rsidR="004E4854" w:rsidRPr="0039567C">
        <w:rPr>
          <w:noProof/>
          <w:bdr w:val="nil"/>
          <w:lang w:val="fr-FR"/>
        </w:rPr>
        <w:t xml:space="preserve">s’agissant des efforts entrepris en matière </w:t>
      </w:r>
      <w:r w:rsidR="00BA4117" w:rsidRPr="0039567C">
        <w:rPr>
          <w:noProof/>
          <w:bdr w:val="nil"/>
          <w:lang w:val="fr-FR"/>
        </w:rPr>
        <w:t>de politique</w:t>
      </w:r>
      <w:r w:rsidR="004E4854" w:rsidRPr="0039567C">
        <w:rPr>
          <w:noProof/>
          <w:bdr w:val="nil"/>
          <w:lang w:val="fr-FR"/>
        </w:rPr>
        <w:t>s de produits</w:t>
      </w:r>
      <w:r w:rsidR="00BA4117" w:rsidRPr="0039567C">
        <w:rPr>
          <w:noProof/>
          <w:bdr w:val="nil"/>
          <w:lang w:val="fr-FR"/>
        </w:rPr>
        <w:t xml:space="preserve"> </w:t>
      </w:r>
      <w:r w:rsidR="004E4854" w:rsidRPr="0039567C">
        <w:rPr>
          <w:noProof/>
          <w:bdr w:val="nil"/>
          <w:lang w:val="fr-FR"/>
        </w:rPr>
        <w:t>–</w:t>
      </w:r>
      <w:r w:rsidR="00BA4117" w:rsidRPr="0039567C">
        <w:rPr>
          <w:noProof/>
          <w:bdr w:val="nil"/>
          <w:lang w:val="fr-FR"/>
        </w:rPr>
        <w:t xml:space="preserve"> </w:t>
      </w:r>
      <w:r w:rsidR="004E4854" w:rsidRPr="0039567C">
        <w:rPr>
          <w:noProof/>
          <w:bdr w:val="nil"/>
          <w:lang w:val="fr-FR"/>
        </w:rPr>
        <w:t>par exemple, en élaborant une législation nationale visant à interdire le mercure dans les produits.</w:t>
      </w:r>
    </w:p>
    <w:p w14:paraId="0B624675" w14:textId="0D2C3BDE" w:rsidR="004E4854" w:rsidRPr="0039567C" w:rsidRDefault="00364549" w:rsidP="004E4854">
      <w:pPr>
        <w:pStyle w:val="CH2"/>
        <w:rPr>
          <w:noProof/>
          <w:lang w:val="fr-FR"/>
        </w:rPr>
      </w:pPr>
      <w:r w:rsidRPr="0039567C">
        <w:rPr>
          <w:noProof/>
          <w:lang w:val="fr-FR"/>
        </w:rPr>
        <w:tab/>
      </w:r>
      <w:r w:rsidR="00333FC6" w:rsidRPr="0039567C">
        <w:rPr>
          <w:noProof/>
          <w:lang w:val="fr-FR"/>
        </w:rPr>
        <w:t>F</w:t>
      </w:r>
      <w:r w:rsidR="008720FD" w:rsidRPr="0039567C">
        <w:rPr>
          <w:noProof/>
          <w:lang w:val="fr-FR"/>
        </w:rPr>
        <w:t>.</w:t>
      </w:r>
      <w:r w:rsidR="001F7820" w:rsidRPr="0039567C">
        <w:rPr>
          <w:noProof/>
          <w:lang w:val="fr-FR"/>
        </w:rPr>
        <w:tab/>
      </w:r>
      <w:r w:rsidR="004E4854" w:rsidRPr="0039567C">
        <w:rPr>
          <w:noProof/>
          <w:lang w:val="fr-FR"/>
        </w:rPr>
        <w:t>Établir l</w:t>
      </w:r>
      <w:r w:rsidR="006A14E5" w:rsidRPr="0039567C">
        <w:rPr>
          <w:noProof/>
          <w:lang w:val="fr-FR"/>
        </w:rPr>
        <w:t>e</w:t>
      </w:r>
      <w:r w:rsidR="004E4854" w:rsidRPr="0039567C">
        <w:rPr>
          <w:noProof/>
          <w:lang w:val="fr-FR"/>
        </w:rPr>
        <w:t xml:space="preserve"> rapport sur les questions qui, selon les données obtenues récemment, présentent un risque pour la santé humaine et l’environnement</w:t>
      </w:r>
    </w:p>
    <w:p w14:paraId="64DA0638" w14:textId="213BB145" w:rsidR="0014080C" w:rsidRPr="0039567C" w:rsidRDefault="0014080C" w:rsidP="00492BA4">
      <w:pPr>
        <w:pStyle w:val="Normalnumber"/>
        <w:numPr>
          <w:ilvl w:val="0"/>
          <w:numId w:val="32"/>
        </w:numPr>
        <w:rPr>
          <w:rStyle w:val="preferred"/>
          <w:noProof/>
          <w:bdr w:val="nil"/>
          <w:lang w:val="fr-FR"/>
        </w:rPr>
      </w:pPr>
      <w:r w:rsidRPr="0039567C">
        <w:rPr>
          <w:noProof/>
          <w:bdr w:val="nil"/>
          <w:lang w:val="fr-FR"/>
        </w:rPr>
        <w:t>Un rapport sur les questions qui, selon les données obtenues récemment, présentent un risque pour la santé humaine et le développement a été élaboré avec l’aide financière du Gouvernement suisse. Il vise à informer la communauté internationale de la situation actuelle de certaines questions préoccupantes</w:t>
      </w:r>
      <w:r w:rsidR="006A14E5" w:rsidRPr="0039567C">
        <w:rPr>
          <w:noProof/>
          <w:bdr w:val="nil"/>
          <w:lang w:val="fr-FR"/>
        </w:rPr>
        <w:t>.</w:t>
      </w:r>
      <w:r w:rsidRPr="0039567C">
        <w:rPr>
          <w:noProof/>
          <w:bdr w:val="nil"/>
          <w:lang w:val="fr-FR"/>
        </w:rPr>
        <w:t xml:space="preserve"> Ce document a été établi en coopération avec les organisations membres du Programme interorganisations </w:t>
      </w:r>
      <w:r w:rsidRPr="0039567C">
        <w:rPr>
          <w:rStyle w:val="preferred"/>
          <w:noProof/>
          <w:lang w:val="fr-FR"/>
        </w:rPr>
        <w:t xml:space="preserve">pour la gestion rationnelle des produits chimiques et les secrétariats des accords multilatéraux relatifs à l’environnement. </w:t>
      </w:r>
    </w:p>
    <w:p w14:paraId="5219F527" w14:textId="3F8F189A" w:rsidR="00921700" w:rsidRPr="0039567C" w:rsidRDefault="0014080C" w:rsidP="009E70C2">
      <w:pPr>
        <w:pStyle w:val="Normalnumber"/>
        <w:tabs>
          <w:tab w:val="clear" w:pos="1134"/>
        </w:tabs>
        <w:rPr>
          <w:noProof/>
          <w:bdr w:val="nil"/>
          <w:lang w:val="fr-FR"/>
        </w:rPr>
      </w:pPr>
      <w:r w:rsidRPr="0039567C">
        <w:rPr>
          <w:noProof/>
          <w:bdr w:val="nil"/>
          <w:lang w:val="fr-FR"/>
        </w:rPr>
        <w:t xml:space="preserve">Le rapport contient une évaluation des huit </w:t>
      </w:r>
      <w:r w:rsidR="008C1728" w:rsidRPr="0039567C">
        <w:rPr>
          <w:noProof/>
          <w:bdr w:val="nil"/>
          <w:lang w:val="fr-FR"/>
        </w:rPr>
        <w:t xml:space="preserve">nouvelles questions de politique </w:t>
      </w:r>
      <w:r w:rsidR="00CE21A6" w:rsidRPr="0039567C">
        <w:rPr>
          <w:noProof/>
          <w:bdr w:val="nil"/>
          <w:lang w:val="fr-FR"/>
        </w:rPr>
        <w:t>g</w:t>
      </w:r>
      <w:r w:rsidR="008C1728" w:rsidRPr="0039567C">
        <w:rPr>
          <w:noProof/>
          <w:bdr w:val="nil"/>
          <w:lang w:val="fr-FR"/>
        </w:rPr>
        <w:t>énérale et d’autres sujets de préo</w:t>
      </w:r>
      <w:r w:rsidR="009E37B4" w:rsidRPr="0039567C">
        <w:rPr>
          <w:noProof/>
          <w:bdr w:val="nil"/>
          <w:lang w:val="fr-FR"/>
        </w:rPr>
        <w:t>c</w:t>
      </w:r>
      <w:r w:rsidR="008C1728" w:rsidRPr="0039567C">
        <w:rPr>
          <w:noProof/>
          <w:bdr w:val="nil"/>
          <w:lang w:val="fr-FR"/>
        </w:rPr>
        <w:t>cupation</w:t>
      </w:r>
      <w:r w:rsidR="00CE21A6" w:rsidRPr="0039567C">
        <w:rPr>
          <w:noProof/>
          <w:bdr w:val="nil"/>
          <w:lang w:val="fr-FR"/>
        </w:rPr>
        <w:t xml:space="preserve"> recensés dans le cadre de l’Approche stratégique de la gestion internationale des produits chimiques : les substances chimiques incorporées dans les produits, les perturbateurs endocriniens, les polluants pharmaceutiques persistants, </w:t>
      </w:r>
      <w:r w:rsidR="009E37B4" w:rsidRPr="0039567C">
        <w:rPr>
          <w:noProof/>
          <w:bdr w:val="nil"/>
          <w:lang w:val="fr-FR"/>
        </w:rPr>
        <w:t>les substances dangereuses tout au long du cycle de vie des équipements électriques et électroniques, les pesticides</w:t>
      </w:r>
      <w:r w:rsidR="007069B9" w:rsidRPr="0039567C">
        <w:rPr>
          <w:noProof/>
          <w:bdr w:val="nil"/>
          <w:lang w:val="fr-FR"/>
        </w:rPr>
        <w:t xml:space="preserve"> </w:t>
      </w:r>
      <w:r w:rsidR="00E60A83" w:rsidRPr="0039567C">
        <w:rPr>
          <w:noProof/>
          <w:bdr w:val="nil"/>
          <w:lang w:val="fr-FR"/>
        </w:rPr>
        <w:t xml:space="preserve">très </w:t>
      </w:r>
      <w:r w:rsidR="009E37B4" w:rsidRPr="0039567C">
        <w:rPr>
          <w:noProof/>
          <w:bdr w:val="nil"/>
          <w:lang w:val="fr-FR"/>
        </w:rPr>
        <w:t>dangereux, les</w:t>
      </w:r>
      <w:r w:rsidR="00164141" w:rsidRPr="0039567C">
        <w:rPr>
          <w:noProof/>
          <w:bdr w:val="nil"/>
          <w:lang w:val="fr-FR"/>
        </w:rPr>
        <w:t> </w:t>
      </w:r>
      <w:r w:rsidR="009E37B4" w:rsidRPr="0039567C">
        <w:rPr>
          <w:noProof/>
          <w:bdr w:val="nil"/>
          <w:lang w:val="fr-FR"/>
        </w:rPr>
        <w:t xml:space="preserve">peintures au plomb, les nanotechnologies et les nanomatériaux manufacturés, et les substances </w:t>
      </w:r>
      <w:r w:rsidR="009E37B4" w:rsidRPr="0039567C">
        <w:rPr>
          <w:noProof/>
          <w:lang w:val="fr-FR"/>
        </w:rPr>
        <w:t xml:space="preserve">per- et polyfluoroalkylées. </w:t>
      </w:r>
      <w:r w:rsidR="00D25D58" w:rsidRPr="0039567C">
        <w:rPr>
          <w:noProof/>
          <w:lang w:val="fr-FR"/>
        </w:rPr>
        <w:t>Il rend compte de la façon dont l</w:t>
      </w:r>
      <w:r w:rsidR="009E37B4" w:rsidRPr="0039567C">
        <w:rPr>
          <w:noProof/>
          <w:lang w:val="fr-FR"/>
        </w:rPr>
        <w:t xml:space="preserve">es cadres politiques et réglementaires actuels répondent à ces questions par le biais d’instruments et d’actions spécifiques en s’appuyant sur les conclusions du rapport </w:t>
      </w:r>
      <w:r w:rsidR="00254579" w:rsidRPr="0039567C">
        <w:rPr>
          <w:i/>
          <w:iCs/>
          <w:noProof/>
          <w:bdr w:val="nil"/>
          <w:lang w:val="fr-FR"/>
        </w:rPr>
        <w:t>Global Chemicals Outlook II</w:t>
      </w:r>
      <w:r w:rsidR="00254579" w:rsidRPr="0039567C">
        <w:rPr>
          <w:noProof/>
          <w:bdr w:val="nil"/>
          <w:lang w:val="fr-FR"/>
        </w:rPr>
        <w:t xml:space="preserve"> </w:t>
      </w:r>
      <w:r w:rsidR="009E37B4" w:rsidRPr="0039567C">
        <w:rPr>
          <w:noProof/>
          <w:bdr w:val="nil"/>
          <w:lang w:val="fr-FR"/>
        </w:rPr>
        <w:t xml:space="preserve">et en soulignant les obstacles à surmonter et les chances à saisir dans ce domaine. </w:t>
      </w:r>
    </w:p>
    <w:p w14:paraId="26385924" w14:textId="477D822E" w:rsidR="007069B9" w:rsidRPr="0039567C" w:rsidRDefault="007069B9" w:rsidP="009E70C2">
      <w:pPr>
        <w:pStyle w:val="Normalnumber"/>
        <w:tabs>
          <w:tab w:val="clear" w:pos="1134"/>
        </w:tabs>
        <w:rPr>
          <w:noProof/>
          <w:bdr w:val="nil"/>
          <w:lang w:val="fr-FR"/>
        </w:rPr>
      </w:pPr>
      <w:r w:rsidRPr="0039567C">
        <w:rPr>
          <w:noProof/>
          <w:bdr w:val="nil"/>
          <w:lang w:val="fr-FR"/>
        </w:rPr>
        <w:t xml:space="preserve">Le rapport sur les sujets de préoccupation aborde également </w:t>
      </w:r>
      <w:r w:rsidR="004952D2" w:rsidRPr="0039567C">
        <w:rPr>
          <w:noProof/>
          <w:bdr w:val="nil"/>
          <w:lang w:val="fr-FR"/>
        </w:rPr>
        <w:t>la question d</w:t>
      </w:r>
      <w:r w:rsidRPr="0039567C">
        <w:rPr>
          <w:noProof/>
          <w:bdr w:val="nil"/>
          <w:lang w:val="fr-FR"/>
        </w:rPr>
        <w:t>es 11</w:t>
      </w:r>
      <w:r w:rsidR="00B324F3" w:rsidRPr="0039567C">
        <w:rPr>
          <w:noProof/>
          <w:bdr w:val="nil"/>
          <w:lang w:val="fr-FR"/>
        </w:rPr>
        <w:t> </w:t>
      </w:r>
      <w:r w:rsidRPr="0039567C">
        <w:rPr>
          <w:noProof/>
          <w:bdr w:val="nil"/>
          <w:lang w:val="fr-FR"/>
        </w:rPr>
        <w:t xml:space="preserve">produits chimiques </w:t>
      </w:r>
      <w:r w:rsidRPr="0039567C">
        <w:rPr>
          <w:noProof/>
          <w:lang w:val="fr-FR"/>
        </w:rPr>
        <w:t xml:space="preserve">qui, selon les données obtenues récemment, présentent un risque pour la santé humaine et l’environnement et qui sont recensés dans le rapport </w:t>
      </w:r>
      <w:r w:rsidR="003079C9" w:rsidRPr="0039567C">
        <w:rPr>
          <w:i/>
          <w:iCs/>
          <w:noProof/>
          <w:bdr w:val="nil"/>
          <w:lang w:val="fr-FR"/>
        </w:rPr>
        <w:t>Global Chemicals Outlook II</w:t>
      </w:r>
      <w:r w:rsidRPr="0039567C">
        <w:rPr>
          <w:i/>
          <w:iCs/>
          <w:noProof/>
          <w:bdr w:val="nil"/>
          <w:lang w:val="fr-FR"/>
        </w:rPr>
        <w:t xml:space="preserve"> </w:t>
      </w:r>
      <w:r w:rsidR="00921700" w:rsidRPr="0039567C">
        <w:rPr>
          <w:noProof/>
          <w:bdr w:val="nil"/>
          <w:lang w:val="fr-FR"/>
        </w:rPr>
        <w:t xml:space="preserve">: </w:t>
      </w:r>
      <w:r w:rsidRPr="0039567C">
        <w:rPr>
          <w:noProof/>
          <w:bdr w:val="nil"/>
          <w:lang w:val="fr-FR"/>
        </w:rPr>
        <w:t xml:space="preserve">arsenic, bisphénol A, cadmium, glyphosate, plomb, microplastiques, néonicotinoïdes, organoétain, phtalates, </w:t>
      </w:r>
      <w:r w:rsidR="009E70C2" w:rsidRPr="0039567C">
        <w:rPr>
          <w:noProof/>
          <w:lang w:val="fr-FR"/>
        </w:rPr>
        <w:t>hydrocarbures aromatiques polycycliques et triclosan. Le rapport examine l’exposition actuelle à ces risques et les instruments et mesures prises dans le</w:t>
      </w:r>
      <w:r w:rsidR="007B02E1" w:rsidRPr="0039567C">
        <w:rPr>
          <w:noProof/>
          <w:lang w:val="fr-FR"/>
        </w:rPr>
        <w:t>s</w:t>
      </w:r>
      <w:r w:rsidR="009E70C2" w:rsidRPr="0039567C">
        <w:rPr>
          <w:noProof/>
          <w:lang w:val="fr-FR"/>
        </w:rPr>
        <w:t xml:space="preserve"> cadres réglementaires et politiques actuels</w:t>
      </w:r>
      <w:r w:rsidR="007B02E1" w:rsidRPr="0039567C">
        <w:rPr>
          <w:noProof/>
          <w:lang w:val="fr-FR"/>
        </w:rPr>
        <w:t>,</w:t>
      </w:r>
      <w:r w:rsidR="009E70C2" w:rsidRPr="0039567C">
        <w:rPr>
          <w:noProof/>
          <w:lang w:val="fr-FR"/>
        </w:rPr>
        <w:t xml:space="preserve"> tout en soulignant les contraintes et les atouts en la matière.</w:t>
      </w:r>
      <w:r w:rsidR="008A25A3" w:rsidRPr="0039567C">
        <w:rPr>
          <w:noProof/>
          <w:lang w:val="fr-FR"/>
        </w:rPr>
        <w:t xml:space="preserve"> Des informations de base sur les effets de ces risques sur la santé humaine et l’environnement sont également fournies et se fondent sur les évaluations existantes menées par les autorités publiques et les institutions intergouvernementales. </w:t>
      </w:r>
    </w:p>
    <w:p w14:paraId="414B986D" w14:textId="0EA3B2D2" w:rsidR="00921700" w:rsidRPr="0039567C" w:rsidRDefault="007B02E1" w:rsidP="00B704C4">
      <w:pPr>
        <w:pStyle w:val="Normalnumber"/>
        <w:tabs>
          <w:tab w:val="clear" w:pos="1134"/>
        </w:tabs>
        <w:rPr>
          <w:noProof/>
          <w:bdr w:val="nil"/>
          <w:lang w:val="fr-FR"/>
        </w:rPr>
      </w:pPr>
      <w:r w:rsidRPr="0039567C">
        <w:rPr>
          <w:noProof/>
          <w:bdr w:val="nil"/>
          <w:lang w:val="fr-FR"/>
        </w:rPr>
        <w:t>Dans le même rapport, une base de réflexion est présentée concernant le recensement des sujets de préoccupation, notamment une étude sur les méthodes en vigueur, une carte présentant d’autres initiatives actuelles pertinentes et des réflexions sur les zones possibles dans lesquelles des sujets de préoccupation futurs pourraient être découverts ainsi que les procédures d’identification possibles. Enfin</w:t>
      </w:r>
      <w:r w:rsidR="00085F23" w:rsidRPr="0039567C">
        <w:rPr>
          <w:noProof/>
          <w:bdr w:val="nil"/>
          <w:lang w:val="fr-FR"/>
        </w:rPr>
        <w:t xml:space="preserve">, le rapport présente un aperçu </w:t>
      </w:r>
      <w:r w:rsidRPr="0039567C">
        <w:rPr>
          <w:noProof/>
          <w:bdr w:val="nil"/>
          <w:lang w:val="fr-FR"/>
        </w:rPr>
        <w:t>des perspectives globales</w:t>
      </w:r>
      <w:r w:rsidR="00085F23" w:rsidRPr="0039567C">
        <w:rPr>
          <w:noProof/>
          <w:bdr w:val="nil"/>
          <w:lang w:val="fr-FR"/>
        </w:rPr>
        <w:t xml:space="preserve"> d’évolution</w:t>
      </w:r>
      <w:r w:rsidRPr="0039567C">
        <w:rPr>
          <w:noProof/>
          <w:bdr w:val="nil"/>
          <w:lang w:val="fr-FR"/>
        </w:rPr>
        <w:t xml:space="preserve"> </w:t>
      </w:r>
      <w:r w:rsidR="00085F23" w:rsidRPr="0039567C">
        <w:rPr>
          <w:noProof/>
          <w:bdr w:val="nil"/>
          <w:lang w:val="fr-FR"/>
        </w:rPr>
        <w:t>des futurs travaux</w:t>
      </w:r>
      <w:r w:rsidRPr="0039567C">
        <w:rPr>
          <w:noProof/>
          <w:bdr w:val="nil"/>
          <w:lang w:val="fr-FR"/>
        </w:rPr>
        <w:t xml:space="preserve"> internationa</w:t>
      </w:r>
      <w:r w:rsidR="00085F23" w:rsidRPr="0039567C">
        <w:rPr>
          <w:noProof/>
          <w:bdr w:val="nil"/>
          <w:lang w:val="fr-FR"/>
        </w:rPr>
        <w:t>ux</w:t>
      </w:r>
      <w:r w:rsidRPr="0039567C">
        <w:rPr>
          <w:noProof/>
          <w:bdr w:val="nil"/>
          <w:lang w:val="fr-FR"/>
        </w:rPr>
        <w:t xml:space="preserve"> sur les sujets de préoccupation. </w:t>
      </w:r>
    </w:p>
    <w:p w14:paraId="4782EB7E" w14:textId="4AF73930" w:rsidR="00921700" w:rsidRPr="0039567C" w:rsidRDefault="00364549" w:rsidP="00364549">
      <w:pPr>
        <w:pStyle w:val="CH2"/>
        <w:rPr>
          <w:rFonts w:eastAsia="SimSun"/>
          <w:noProof/>
          <w:lang w:val="fr-FR"/>
        </w:rPr>
      </w:pPr>
      <w:r w:rsidRPr="0039567C">
        <w:rPr>
          <w:rFonts w:eastAsia="SimSun"/>
          <w:noProof/>
          <w:lang w:val="fr-FR"/>
        </w:rPr>
        <w:tab/>
      </w:r>
      <w:r w:rsidR="00333FC6" w:rsidRPr="0039567C">
        <w:rPr>
          <w:rFonts w:eastAsia="SimSun"/>
          <w:noProof/>
          <w:lang w:val="fr-FR"/>
        </w:rPr>
        <w:t>G</w:t>
      </w:r>
      <w:r w:rsidR="00D06CD1" w:rsidRPr="0039567C">
        <w:rPr>
          <w:rFonts w:eastAsia="SimSun"/>
          <w:noProof/>
          <w:lang w:val="fr-FR"/>
        </w:rPr>
        <w:t>.</w:t>
      </w:r>
      <w:r w:rsidR="001F7820" w:rsidRPr="0039567C">
        <w:rPr>
          <w:rFonts w:eastAsia="SimSun"/>
          <w:noProof/>
          <w:lang w:val="fr-FR"/>
        </w:rPr>
        <w:tab/>
      </w:r>
      <w:r w:rsidR="00B704C4" w:rsidRPr="0039567C">
        <w:rPr>
          <w:rFonts w:eastAsia="SimSun"/>
          <w:noProof/>
          <w:lang w:val="fr-FR"/>
        </w:rPr>
        <w:t>Établir une évaluation des options possible</w:t>
      </w:r>
      <w:r w:rsidR="004952D2" w:rsidRPr="0039567C">
        <w:rPr>
          <w:rFonts w:eastAsia="SimSun"/>
          <w:noProof/>
          <w:lang w:val="fr-FR"/>
        </w:rPr>
        <w:t>s</w:t>
      </w:r>
      <w:r w:rsidR="00B704C4" w:rsidRPr="0039567C">
        <w:rPr>
          <w:rFonts w:eastAsia="SimSun"/>
          <w:noProof/>
          <w:lang w:val="fr-FR"/>
        </w:rPr>
        <w:t xml:space="preserve"> pour renforcer l’interface science</w:t>
      </w:r>
      <w:r w:rsidR="00B704C4" w:rsidRPr="0039567C">
        <w:rPr>
          <w:rFonts w:eastAsia="SimSun"/>
          <w:noProof/>
          <w:lang w:val="fr-FR"/>
        </w:rPr>
        <w:noBreakHyphen/>
        <w:t>politique</w:t>
      </w:r>
    </w:p>
    <w:p w14:paraId="3ACB5B77" w14:textId="0B6E518D" w:rsidR="00B704C4" w:rsidRPr="0039567C" w:rsidRDefault="00B704C4" w:rsidP="001F7820">
      <w:pPr>
        <w:pStyle w:val="Normalnumber"/>
        <w:tabs>
          <w:tab w:val="clear" w:pos="1134"/>
        </w:tabs>
        <w:rPr>
          <w:noProof/>
          <w:bdr w:val="nil"/>
          <w:lang w:val="fr-FR"/>
        </w:rPr>
      </w:pPr>
      <w:r w:rsidRPr="0039567C">
        <w:rPr>
          <w:noProof/>
          <w:bdr w:val="nil"/>
          <w:lang w:val="fr-FR"/>
        </w:rPr>
        <w:t xml:space="preserve">Un rapport d’évaluation des options possibles </w:t>
      </w:r>
      <w:r w:rsidR="004952D2" w:rsidRPr="0039567C">
        <w:rPr>
          <w:noProof/>
          <w:bdr w:val="nil"/>
          <w:lang w:val="fr-FR"/>
        </w:rPr>
        <w:t>visant à</w:t>
      </w:r>
      <w:r w:rsidRPr="0039567C">
        <w:rPr>
          <w:noProof/>
          <w:bdr w:val="nil"/>
          <w:lang w:val="fr-FR"/>
        </w:rPr>
        <w:t xml:space="preserve"> renforcer l’interface science</w:t>
      </w:r>
      <w:r w:rsidRPr="0039567C">
        <w:rPr>
          <w:noProof/>
          <w:bdr w:val="nil"/>
          <w:lang w:val="fr-FR"/>
        </w:rPr>
        <w:noBreakHyphen/>
        <w:t xml:space="preserve">politique au niveau international pour la gestion rationnelle des produits chimiques et des déchets a été établi </w:t>
      </w:r>
      <w:r w:rsidR="001E2F7D" w:rsidRPr="0039567C">
        <w:rPr>
          <w:noProof/>
          <w:bdr w:val="nil"/>
          <w:lang w:val="fr-FR"/>
        </w:rPr>
        <w:t>pour la cinquième session de l’Assemblée</w:t>
      </w:r>
      <w:r w:rsidRPr="0039567C">
        <w:rPr>
          <w:noProof/>
          <w:bdr w:val="nil"/>
          <w:lang w:val="fr-FR"/>
        </w:rPr>
        <w:t xml:space="preserve"> </w:t>
      </w:r>
      <w:r w:rsidR="001E2F7D" w:rsidRPr="0039567C">
        <w:rPr>
          <w:noProof/>
          <w:bdr w:val="nil"/>
          <w:lang w:val="fr-FR"/>
        </w:rPr>
        <w:t>des Nations Unies pour l’environnement et publié le 30</w:t>
      </w:r>
      <w:r w:rsidR="00B324F3" w:rsidRPr="0039567C">
        <w:rPr>
          <w:noProof/>
          <w:bdr w:val="nil"/>
          <w:lang w:val="fr-FR"/>
        </w:rPr>
        <w:t> </w:t>
      </w:r>
      <w:r w:rsidR="001E2F7D" w:rsidRPr="0039567C">
        <w:rPr>
          <w:noProof/>
          <w:bdr w:val="nil"/>
          <w:lang w:val="fr-FR"/>
        </w:rPr>
        <w:t>juin</w:t>
      </w:r>
      <w:r w:rsidR="005619B3" w:rsidRPr="0039567C">
        <w:rPr>
          <w:noProof/>
          <w:bdr w:val="nil"/>
          <w:lang w:val="fr-FR"/>
        </w:rPr>
        <w:t> </w:t>
      </w:r>
      <w:r w:rsidR="001E2F7D" w:rsidRPr="0039567C">
        <w:rPr>
          <w:noProof/>
          <w:bdr w:val="nil"/>
          <w:lang w:val="fr-FR"/>
        </w:rPr>
        <w:t xml:space="preserve">2020. Les </w:t>
      </w:r>
      <w:r w:rsidR="004952D2" w:rsidRPr="0039567C">
        <w:rPr>
          <w:noProof/>
          <w:bdr w:val="nil"/>
          <w:lang w:val="fr-FR"/>
        </w:rPr>
        <w:t>G</w:t>
      </w:r>
      <w:r w:rsidR="001E2F7D" w:rsidRPr="0039567C">
        <w:rPr>
          <w:noProof/>
          <w:bdr w:val="nil"/>
          <w:lang w:val="fr-FR"/>
        </w:rPr>
        <w:t xml:space="preserve">ouvernements allemand et suisse, ainsi que des </w:t>
      </w:r>
      <w:r w:rsidR="004952D2" w:rsidRPr="0039567C">
        <w:rPr>
          <w:noProof/>
          <w:bdr w:val="nil"/>
          <w:lang w:val="fr-FR"/>
        </w:rPr>
        <w:t>F</w:t>
      </w:r>
      <w:r w:rsidR="001E2F7D" w:rsidRPr="0039567C">
        <w:rPr>
          <w:noProof/>
          <w:bdr w:val="nil"/>
          <w:lang w:val="fr-FR"/>
        </w:rPr>
        <w:t>onds pour l’environnement, ont financé ce rapport.</w:t>
      </w:r>
    </w:p>
    <w:p w14:paraId="014A42F6" w14:textId="75016506" w:rsidR="001E2F7D" w:rsidRPr="0039567C" w:rsidRDefault="001E2F7D" w:rsidP="001F7820">
      <w:pPr>
        <w:pStyle w:val="Normalnumber"/>
        <w:tabs>
          <w:tab w:val="clear" w:pos="1134"/>
        </w:tabs>
        <w:rPr>
          <w:noProof/>
          <w:bdr w:val="nil"/>
          <w:lang w:val="fr-FR"/>
        </w:rPr>
      </w:pPr>
      <w:r w:rsidRPr="0039567C">
        <w:rPr>
          <w:noProof/>
          <w:bdr w:val="nil"/>
          <w:lang w:val="fr-FR"/>
        </w:rPr>
        <w:t>Ce rapport vise à faciliter et éclairer le débat sur le renforcement de l’interface science</w:t>
      </w:r>
      <w:r w:rsidRPr="0039567C">
        <w:rPr>
          <w:noProof/>
          <w:bdr w:val="nil"/>
          <w:lang w:val="fr-FR"/>
        </w:rPr>
        <w:noBreakHyphen/>
        <w:t>politique pour la gestion des produits chimiques et des déchets et, par conséquent, d’appuyer et d’encourager les initiatives fondées sur l</w:t>
      </w:r>
      <w:r w:rsidR="00D34AF7" w:rsidRPr="0039567C">
        <w:rPr>
          <w:noProof/>
          <w:bdr w:val="nil"/>
          <w:lang w:val="fr-FR"/>
        </w:rPr>
        <w:t>a</w:t>
      </w:r>
      <w:r w:rsidRPr="0039567C">
        <w:rPr>
          <w:noProof/>
          <w:bdr w:val="nil"/>
          <w:lang w:val="fr-FR"/>
        </w:rPr>
        <w:t xml:space="preserve"> science à l’échelle local</w:t>
      </w:r>
      <w:r w:rsidR="004952D2" w:rsidRPr="0039567C">
        <w:rPr>
          <w:noProof/>
          <w:bdr w:val="nil"/>
          <w:lang w:val="fr-FR"/>
        </w:rPr>
        <w:t>e</w:t>
      </w:r>
      <w:r w:rsidRPr="0039567C">
        <w:rPr>
          <w:noProof/>
          <w:bdr w:val="nil"/>
          <w:lang w:val="fr-FR"/>
        </w:rPr>
        <w:t>, national</w:t>
      </w:r>
      <w:r w:rsidR="004952D2" w:rsidRPr="0039567C">
        <w:rPr>
          <w:noProof/>
          <w:bdr w:val="nil"/>
          <w:lang w:val="fr-FR"/>
        </w:rPr>
        <w:t>e</w:t>
      </w:r>
      <w:r w:rsidRPr="0039567C">
        <w:rPr>
          <w:noProof/>
          <w:bdr w:val="nil"/>
          <w:lang w:val="fr-FR"/>
        </w:rPr>
        <w:t>, régional</w:t>
      </w:r>
      <w:r w:rsidR="004952D2" w:rsidRPr="0039567C">
        <w:rPr>
          <w:noProof/>
          <w:bdr w:val="nil"/>
          <w:lang w:val="fr-FR"/>
        </w:rPr>
        <w:t>e</w:t>
      </w:r>
      <w:r w:rsidRPr="0039567C">
        <w:rPr>
          <w:noProof/>
          <w:bdr w:val="nil"/>
          <w:lang w:val="fr-FR"/>
        </w:rPr>
        <w:t xml:space="preserve"> et mondial</w:t>
      </w:r>
      <w:r w:rsidR="004952D2" w:rsidRPr="0039567C">
        <w:rPr>
          <w:noProof/>
          <w:bdr w:val="nil"/>
          <w:lang w:val="fr-FR"/>
        </w:rPr>
        <w:t>e</w:t>
      </w:r>
      <w:r w:rsidRPr="0039567C">
        <w:rPr>
          <w:noProof/>
          <w:bdr w:val="nil"/>
          <w:lang w:val="fr-FR"/>
        </w:rPr>
        <w:t xml:space="preserve"> </w:t>
      </w:r>
      <w:r w:rsidR="001E0A41" w:rsidRPr="0039567C">
        <w:rPr>
          <w:noProof/>
          <w:bdr w:val="nil"/>
          <w:lang w:val="fr-FR"/>
        </w:rPr>
        <w:t>en rapport avec la gestion rationnelle des produits chimiques et des déchets au</w:t>
      </w:r>
      <w:r w:rsidR="001E0A41" w:rsidRPr="0039567C">
        <w:rPr>
          <w:noProof/>
          <w:bdr w:val="nil"/>
          <w:lang w:val="fr-FR"/>
        </w:rPr>
        <w:noBreakHyphen/>
        <w:t>delà de 2020.</w:t>
      </w:r>
    </w:p>
    <w:p w14:paraId="0428A41C" w14:textId="3E5E1AAD" w:rsidR="001E0A41" w:rsidRPr="0039567C" w:rsidRDefault="004C16F8" w:rsidP="001F7820">
      <w:pPr>
        <w:pStyle w:val="Normalnumber"/>
        <w:tabs>
          <w:tab w:val="clear" w:pos="1134"/>
        </w:tabs>
        <w:rPr>
          <w:noProof/>
          <w:bdr w:val="nil"/>
          <w:lang w:val="fr-FR"/>
        </w:rPr>
      </w:pPr>
      <w:r w:rsidRPr="0039567C">
        <w:rPr>
          <w:noProof/>
          <w:bdr w:val="nil"/>
          <w:lang w:val="fr-FR"/>
        </w:rPr>
        <w:t xml:space="preserve">Dans le rapport, plusieurs plateformes pour l’interface science-politique sont examinées et les enseignements </w:t>
      </w:r>
      <w:r w:rsidR="009C026A" w:rsidRPr="0039567C">
        <w:rPr>
          <w:noProof/>
          <w:bdr w:val="nil"/>
          <w:lang w:val="fr-FR"/>
        </w:rPr>
        <w:t xml:space="preserve">tirés </w:t>
      </w:r>
      <w:r w:rsidRPr="0039567C">
        <w:rPr>
          <w:noProof/>
          <w:bdr w:val="nil"/>
          <w:lang w:val="fr-FR"/>
        </w:rPr>
        <w:t xml:space="preserve">de l’élaboration de perspectives et d’évaluations sont discutés. </w:t>
      </w:r>
      <w:r w:rsidR="006C7D72" w:rsidRPr="0039567C">
        <w:rPr>
          <w:noProof/>
          <w:bdr w:val="nil"/>
          <w:lang w:val="fr-FR"/>
        </w:rPr>
        <w:t xml:space="preserve">Les effets et les résultats d’un renforcement des plateformes pour l’interface science-politique sont examinés et la structure institutionnelle de ces plateformes est débattue. </w:t>
      </w:r>
      <w:r w:rsidR="004952D2" w:rsidRPr="0039567C">
        <w:rPr>
          <w:noProof/>
          <w:bdr w:val="nil"/>
          <w:lang w:val="fr-FR"/>
        </w:rPr>
        <w:t>Vu</w:t>
      </w:r>
      <w:r w:rsidR="006C7D72" w:rsidRPr="0039567C">
        <w:rPr>
          <w:noProof/>
          <w:bdr w:val="nil"/>
          <w:lang w:val="fr-FR"/>
        </w:rPr>
        <w:t xml:space="preserve"> la nécessité d</w:t>
      </w:r>
      <w:r w:rsidR="007A230E" w:rsidRPr="0039567C">
        <w:rPr>
          <w:noProof/>
          <w:bdr w:val="nil"/>
          <w:lang w:val="fr-FR"/>
        </w:rPr>
        <w:t>’obtenir d</w:t>
      </w:r>
      <w:r w:rsidR="006C7D72" w:rsidRPr="0039567C">
        <w:rPr>
          <w:noProof/>
          <w:bdr w:val="nil"/>
          <w:lang w:val="fr-FR"/>
        </w:rPr>
        <w:t>e</w:t>
      </w:r>
      <w:r w:rsidR="007A230E" w:rsidRPr="0039567C">
        <w:rPr>
          <w:noProof/>
          <w:bdr w:val="nil"/>
          <w:lang w:val="fr-FR"/>
        </w:rPr>
        <w:t>s</w:t>
      </w:r>
      <w:r w:rsidR="006C7D72" w:rsidRPr="0039567C">
        <w:rPr>
          <w:noProof/>
          <w:bdr w:val="nil"/>
          <w:lang w:val="fr-FR"/>
        </w:rPr>
        <w:t xml:space="preserve"> résultats </w:t>
      </w:r>
      <w:r w:rsidR="007A230E" w:rsidRPr="0039567C">
        <w:rPr>
          <w:noProof/>
          <w:bdr w:val="nil"/>
          <w:lang w:val="fr-FR"/>
        </w:rPr>
        <w:t>sérieux qui soient utile</w:t>
      </w:r>
      <w:r w:rsidR="004952D2" w:rsidRPr="0039567C">
        <w:rPr>
          <w:noProof/>
          <w:bdr w:val="nil"/>
          <w:lang w:val="fr-FR"/>
        </w:rPr>
        <w:t>s</w:t>
      </w:r>
      <w:r w:rsidR="007A230E" w:rsidRPr="0039567C">
        <w:rPr>
          <w:noProof/>
          <w:bdr w:val="nil"/>
          <w:lang w:val="fr-FR"/>
        </w:rPr>
        <w:t xml:space="preserve"> pour l’élaboration de politiques sans être contraignants, et de bénéficier d’une plateforme très réactive, le rapport </w:t>
      </w:r>
      <w:r w:rsidR="002B1C3C" w:rsidRPr="0039567C">
        <w:rPr>
          <w:noProof/>
          <w:bdr w:val="nil"/>
          <w:lang w:val="fr-FR"/>
        </w:rPr>
        <w:t>présentent des solutions possibles</w:t>
      </w:r>
      <w:r w:rsidR="007A230E" w:rsidRPr="0039567C">
        <w:rPr>
          <w:noProof/>
          <w:bdr w:val="nil"/>
          <w:lang w:val="fr-FR"/>
        </w:rPr>
        <w:t xml:space="preserve"> pour renforcer l’interface science</w:t>
      </w:r>
      <w:r w:rsidR="007A230E" w:rsidRPr="0039567C">
        <w:rPr>
          <w:noProof/>
          <w:bdr w:val="nil"/>
          <w:lang w:val="fr-FR"/>
        </w:rPr>
        <w:noBreakHyphen/>
        <w:t>politique.</w:t>
      </w:r>
    </w:p>
    <w:p w14:paraId="1A5A1573" w14:textId="414621D5" w:rsidR="00921700" w:rsidRPr="0039567C" w:rsidRDefault="00364549" w:rsidP="00364549">
      <w:pPr>
        <w:pStyle w:val="CH2"/>
        <w:rPr>
          <w:rFonts w:eastAsia="SimSun"/>
          <w:noProof/>
          <w:lang w:val="fr-FR"/>
        </w:rPr>
      </w:pPr>
      <w:r w:rsidRPr="0039567C">
        <w:rPr>
          <w:rFonts w:eastAsia="SimSun"/>
          <w:noProof/>
          <w:lang w:val="fr-FR"/>
        </w:rPr>
        <w:tab/>
      </w:r>
      <w:r w:rsidR="00333FC6" w:rsidRPr="0039567C">
        <w:rPr>
          <w:rFonts w:eastAsia="SimSun"/>
          <w:noProof/>
          <w:lang w:val="fr-FR"/>
        </w:rPr>
        <w:t>H</w:t>
      </w:r>
      <w:r w:rsidR="00D06CD1" w:rsidRPr="0039567C">
        <w:rPr>
          <w:rFonts w:eastAsia="SimSun"/>
          <w:noProof/>
          <w:lang w:val="fr-FR"/>
        </w:rPr>
        <w:t>.</w:t>
      </w:r>
      <w:r w:rsidR="001F7820" w:rsidRPr="0039567C">
        <w:rPr>
          <w:rFonts w:eastAsia="SimSun"/>
          <w:noProof/>
          <w:lang w:val="fr-FR"/>
        </w:rPr>
        <w:tab/>
      </w:r>
      <w:r w:rsidR="00CF06FA" w:rsidRPr="0039567C">
        <w:rPr>
          <w:rFonts w:eastAsia="SimSun"/>
          <w:noProof/>
          <w:lang w:val="fr-FR"/>
        </w:rPr>
        <w:t>Fournir des conseils techniques, un appui à l’élaboration des politiques et une</w:t>
      </w:r>
      <w:r w:rsidR="008267D4" w:rsidRPr="0039567C">
        <w:rPr>
          <w:rFonts w:eastAsia="SimSun"/>
          <w:noProof/>
          <w:lang w:val="fr-FR"/>
        </w:rPr>
        <w:t> </w:t>
      </w:r>
      <w:r w:rsidR="00CF06FA" w:rsidRPr="0039567C">
        <w:rPr>
          <w:rFonts w:eastAsia="SimSun"/>
          <w:noProof/>
          <w:lang w:val="fr-FR"/>
        </w:rPr>
        <w:t xml:space="preserve">aide en matière de renforcement des capacités aux pays en développement et </w:t>
      </w:r>
      <w:r w:rsidR="005F5854" w:rsidRPr="0039567C">
        <w:rPr>
          <w:rFonts w:eastAsia="SimSun"/>
          <w:noProof/>
          <w:lang w:val="fr-FR"/>
        </w:rPr>
        <w:t xml:space="preserve">aux pays </w:t>
      </w:r>
      <w:r w:rsidR="005B6EFF" w:rsidRPr="0039567C">
        <w:rPr>
          <w:rFonts w:eastAsia="SimSun"/>
          <w:noProof/>
          <w:lang w:val="fr-FR"/>
        </w:rPr>
        <w:t xml:space="preserve">à économie </w:t>
      </w:r>
      <w:r w:rsidR="00CF06FA" w:rsidRPr="0039567C">
        <w:rPr>
          <w:rFonts w:eastAsia="SimSun"/>
          <w:noProof/>
          <w:lang w:val="fr-FR"/>
        </w:rPr>
        <w:t xml:space="preserve">en transition </w:t>
      </w:r>
    </w:p>
    <w:p w14:paraId="3C83BA8B" w14:textId="0A8D3CA9" w:rsidR="00CF06FA" w:rsidRPr="0039567C" w:rsidRDefault="00CF06FA" w:rsidP="001F7820">
      <w:pPr>
        <w:pStyle w:val="Normalnumber"/>
        <w:tabs>
          <w:tab w:val="clear" w:pos="1134"/>
        </w:tabs>
        <w:rPr>
          <w:noProof/>
          <w:bdr w:val="nil"/>
          <w:lang w:val="fr-FR"/>
        </w:rPr>
      </w:pPr>
      <w:r w:rsidRPr="0039567C">
        <w:rPr>
          <w:noProof/>
          <w:bdr w:val="nil"/>
          <w:lang w:val="fr-FR"/>
        </w:rPr>
        <w:t>Le PNUE fournit un appui et un renforcement des cap</w:t>
      </w:r>
      <w:r w:rsidR="0093576F" w:rsidRPr="0039567C">
        <w:rPr>
          <w:noProof/>
          <w:bdr w:val="nil"/>
          <w:lang w:val="fr-FR"/>
        </w:rPr>
        <w:t>a</w:t>
      </w:r>
      <w:r w:rsidRPr="0039567C">
        <w:rPr>
          <w:noProof/>
          <w:bdr w:val="nil"/>
          <w:lang w:val="fr-FR"/>
        </w:rPr>
        <w:t xml:space="preserve">cités </w:t>
      </w:r>
      <w:r w:rsidR="0093576F" w:rsidRPr="0039567C">
        <w:rPr>
          <w:noProof/>
          <w:bdr w:val="nil"/>
          <w:lang w:val="fr-FR"/>
        </w:rPr>
        <w:t>dans le cadre d</w:t>
      </w:r>
      <w:r w:rsidR="005D6BDC" w:rsidRPr="0039567C">
        <w:rPr>
          <w:noProof/>
          <w:bdr w:val="nil"/>
          <w:lang w:val="fr-FR"/>
        </w:rPr>
        <w:t xml:space="preserve">e la surveillance </w:t>
      </w:r>
      <w:r w:rsidR="0093576F" w:rsidRPr="0039567C">
        <w:rPr>
          <w:noProof/>
          <w:bdr w:val="nil"/>
          <w:lang w:val="fr-FR"/>
        </w:rPr>
        <w:t xml:space="preserve">des polluants organiques persistants dans </w:t>
      </w:r>
      <w:r w:rsidR="00D47AA6" w:rsidRPr="0039567C">
        <w:rPr>
          <w:noProof/>
          <w:bdr w:val="nil"/>
          <w:lang w:val="fr-FR"/>
        </w:rPr>
        <w:t>le</w:t>
      </w:r>
      <w:r w:rsidR="0093576F" w:rsidRPr="0039567C">
        <w:rPr>
          <w:noProof/>
          <w:bdr w:val="nil"/>
          <w:lang w:val="fr-FR"/>
        </w:rPr>
        <w:t>s milieux biotiques et abiotiques en mettant en œuvre des projets du F</w:t>
      </w:r>
      <w:r w:rsidR="005F5854" w:rsidRPr="0039567C">
        <w:rPr>
          <w:noProof/>
          <w:bdr w:val="nil"/>
          <w:lang w:val="fr-FR"/>
        </w:rPr>
        <w:t xml:space="preserve">EM </w:t>
      </w:r>
      <w:r w:rsidR="0093576F" w:rsidRPr="0039567C">
        <w:rPr>
          <w:noProof/>
          <w:bdr w:val="nil"/>
          <w:lang w:val="fr-FR"/>
        </w:rPr>
        <w:t>sur le Plan mondial de surveillance des polluants organiques persistants, qui comprennent une formation et des conseils techniques sur l’échantillonnage et l’analyse de matrices</w:t>
      </w:r>
      <w:r w:rsidR="00D47AA6" w:rsidRPr="0039567C">
        <w:rPr>
          <w:noProof/>
          <w:bdr w:val="nil"/>
          <w:lang w:val="fr-FR"/>
        </w:rPr>
        <w:t xml:space="preserve"> visant à</w:t>
      </w:r>
      <w:r w:rsidR="0093576F" w:rsidRPr="0039567C">
        <w:rPr>
          <w:noProof/>
          <w:bdr w:val="nil"/>
          <w:lang w:val="fr-FR"/>
        </w:rPr>
        <w:t xml:space="preserve"> connaître les niveaux de ces polluants. Le PNUE aide également à la production de données </w:t>
      </w:r>
      <w:r w:rsidR="00520C61" w:rsidRPr="0039567C">
        <w:rPr>
          <w:noProof/>
          <w:bdr w:val="nil"/>
          <w:lang w:val="fr-FR"/>
        </w:rPr>
        <w:t xml:space="preserve">sur les niveaux de polluants organiques persistants présents dans le lait maternel et l’environnement par le biais de plusieurs laboratoires spécialisés. Ces activités </w:t>
      </w:r>
      <w:r w:rsidR="003A2005" w:rsidRPr="0039567C">
        <w:rPr>
          <w:noProof/>
          <w:bdr w:val="nil"/>
          <w:lang w:val="fr-FR"/>
        </w:rPr>
        <w:t xml:space="preserve">apportent une contribution </w:t>
      </w:r>
      <w:r w:rsidR="00520C61" w:rsidRPr="0039567C">
        <w:rPr>
          <w:noProof/>
          <w:bdr w:val="nil"/>
          <w:lang w:val="fr-FR"/>
        </w:rPr>
        <w:t xml:space="preserve">directe au Plan mondial de surveillance </w:t>
      </w:r>
      <w:r w:rsidR="00BD1692" w:rsidRPr="0039567C">
        <w:rPr>
          <w:noProof/>
          <w:bdr w:val="nil"/>
          <w:lang w:val="fr-FR"/>
        </w:rPr>
        <w:t xml:space="preserve">au titre </w:t>
      </w:r>
      <w:r w:rsidR="00520C61" w:rsidRPr="0039567C">
        <w:rPr>
          <w:noProof/>
          <w:bdr w:val="nil"/>
          <w:lang w:val="fr-FR"/>
        </w:rPr>
        <w:t xml:space="preserve">de la Convention de Stockholm sur les polluants organiques persistants et </w:t>
      </w:r>
      <w:r w:rsidR="003A2005" w:rsidRPr="0039567C">
        <w:rPr>
          <w:noProof/>
          <w:bdr w:val="nil"/>
          <w:lang w:val="fr-FR"/>
        </w:rPr>
        <w:t>à</w:t>
      </w:r>
      <w:r w:rsidR="00520C61" w:rsidRPr="0039567C">
        <w:rPr>
          <w:noProof/>
          <w:bdr w:val="nil"/>
          <w:lang w:val="fr-FR"/>
        </w:rPr>
        <w:t xml:space="preserve"> son processus d’évaluation</w:t>
      </w:r>
      <w:r w:rsidR="003A2005" w:rsidRPr="0039567C">
        <w:rPr>
          <w:noProof/>
          <w:bdr w:val="nil"/>
          <w:lang w:val="fr-FR"/>
        </w:rPr>
        <w:t xml:space="preserve"> de l’efficacité</w:t>
      </w:r>
      <w:r w:rsidR="00520C61" w:rsidRPr="0039567C">
        <w:rPr>
          <w:noProof/>
          <w:bdr w:val="nil"/>
          <w:lang w:val="fr-FR"/>
        </w:rPr>
        <w:t>.</w:t>
      </w:r>
    </w:p>
    <w:p w14:paraId="1AFF856A" w14:textId="518D8BEB" w:rsidR="003A2005" w:rsidRPr="0039567C" w:rsidRDefault="000C0BEE" w:rsidP="001F7820">
      <w:pPr>
        <w:pStyle w:val="Normalnumber"/>
        <w:tabs>
          <w:tab w:val="clear" w:pos="1134"/>
        </w:tabs>
        <w:rPr>
          <w:noProof/>
          <w:bdr w:val="nil"/>
          <w:lang w:val="fr-FR"/>
        </w:rPr>
      </w:pPr>
      <w:r w:rsidRPr="0039567C">
        <w:rPr>
          <w:noProof/>
          <w:bdr w:val="nil"/>
          <w:lang w:val="fr-FR"/>
        </w:rPr>
        <w:t>À titre d’</w:t>
      </w:r>
      <w:r w:rsidR="003A2005" w:rsidRPr="0039567C">
        <w:rPr>
          <w:noProof/>
          <w:bdr w:val="nil"/>
          <w:lang w:val="fr-FR"/>
        </w:rPr>
        <w:t xml:space="preserve">exemple, s’agissant du mercure, le PNUE a aidé </w:t>
      </w:r>
      <w:r w:rsidR="00795856" w:rsidRPr="0039567C">
        <w:rPr>
          <w:noProof/>
          <w:bdr w:val="nil"/>
          <w:lang w:val="fr-FR"/>
        </w:rPr>
        <w:t xml:space="preserve">à ce jour </w:t>
      </w:r>
      <w:r w:rsidR="003A2005" w:rsidRPr="0039567C">
        <w:rPr>
          <w:noProof/>
          <w:bdr w:val="nil"/>
          <w:lang w:val="fr-FR"/>
        </w:rPr>
        <w:t xml:space="preserve">62 pays à </w:t>
      </w:r>
      <w:r w:rsidR="000B7C28" w:rsidRPr="0039567C">
        <w:rPr>
          <w:noProof/>
          <w:bdr w:val="nil"/>
          <w:lang w:val="fr-FR"/>
        </w:rPr>
        <w:t xml:space="preserve">réaliser </w:t>
      </w:r>
      <w:r w:rsidR="00795856" w:rsidRPr="0039567C">
        <w:rPr>
          <w:noProof/>
          <w:bdr w:val="nil"/>
          <w:lang w:val="fr-FR"/>
        </w:rPr>
        <w:t>d</w:t>
      </w:r>
      <w:r w:rsidR="003A2005" w:rsidRPr="0039567C">
        <w:rPr>
          <w:noProof/>
          <w:bdr w:val="nil"/>
          <w:lang w:val="fr-FR"/>
        </w:rPr>
        <w:t>es évaluations in</w:t>
      </w:r>
      <w:r w:rsidR="00795856" w:rsidRPr="0039567C">
        <w:rPr>
          <w:noProof/>
          <w:bdr w:val="nil"/>
          <w:lang w:val="fr-FR"/>
        </w:rPr>
        <w:t>i</w:t>
      </w:r>
      <w:r w:rsidR="003A2005" w:rsidRPr="0039567C">
        <w:rPr>
          <w:noProof/>
          <w:bdr w:val="nil"/>
          <w:lang w:val="fr-FR"/>
        </w:rPr>
        <w:t xml:space="preserve">tiales de </w:t>
      </w:r>
      <w:r w:rsidR="00D74911" w:rsidRPr="0039567C">
        <w:rPr>
          <w:noProof/>
          <w:bdr w:val="nil"/>
          <w:lang w:val="fr-FR"/>
        </w:rPr>
        <w:t xml:space="preserve">la Convention de </w:t>
      </w:r>
      <w:r w:rsidR="003A2005" w:rsidRPr="0039567C">
        <w:rPr>
          <w:noProof/>
          <w:bdr w:val="nil"/>
          <w:lang w:val="fr-FR"/>
        </w:rPr>
        <w:t xml:space="preserve">Minamata et 30 pays </w:t>
      </w:r>
      <w:r w:rsidR="00795856" w:rsidRPr="0039567C">
        <w:rPr>
          <w:noProof/>
          <w:bdr w:val="nil"/>
          <w:lang w:val="fr-FR"/>
        </w:rPr>
        <w:t xml:space="preserve">à </w:t>
      </w:r>
      <w:r w:rsidR="000B7C28" w:rsidRPr="0039567C">
        <w:rPr>
          <w:noProof/>
          <w:bdr w:val="nil"/>
          <w:lang w:val="fr-FR"/>
        </w:rPr>
        <w:t xml:space="preserve">élaborer </w:t>
      </w:r>
      <w:r w:rsidR="00795856" w:rsidRPr="0039567C">
        <w:rPr>
          <w:noProof/>
          <w:bdr w:val="nil"/>
          <w:lang w:val="fr-FR"/>
        </w:rPr>
        <w:t>des plans d’action nationaux visant à réduire l’utilisation du mercure dans les mines d’or artisanale et à petite échelle, grâce au financement du F</w:t>
      </w:r>
      <w:r w:rsidR="00EA29EC" w:rsidRPr="0039567C">
        <w:rPr>
          <w:noProof/>
          <w:bdr w:val="nil"/>
          <w:lang w:val="fr-FR"/>
        </w:rPr>
        <w:t>EM</w:t>
      </w:r>
      <w:r w:rsidR="00795856" w:rsidRPr="0039567C">
        <w:rPr>
          <w:noProof/>
          <w:bdr w:val="nil"/>
          <w:lang w:val="fr-FR"/>
        </w:rPr>
        <w:t xml:space="preserve">. Il a également </w:t>
      </w:r>
      <w:r w:rsidR="00EA29EC" w:rsidRPr="0039567C">
        <w:rPr>
          <w:noProof/>
          <w:bdr w:val="nil"/>
          <w:lang w:val="fr-FR"/>
        </w:rPr>
        <w:t>mis au point d</w:t>
      </w:r>
      <w:r w:rsidR="00795856" w:rsidRPr="0039567C">
        <w:rPr>
          <w:noProof/>
          <w:bdr w:val="nil"/>
          <w:lang w:val="fr-FR"/>
        </w:rPr>
        <w:t>es outils et des documents directifs essentiels pour appuyer les activités entreprises dans le cadre des mines d’or artisanale et à petite échelle.</w:t>
      </w:r>
    </w:p>
    <w:p w14:paraId="0251CA14" w14:textId="3E3D9036" w:rsidR="00795856" w:rsidRPr="0039567C" w:rsidRDefault="00795856" w:rsidP="001F7820">
      <w:pPr>
        <w:pStyle w:val="Normalnumber"/>
        <w:tabs>
          <w:tab w:val="clear" w:pos="1134"/>
        </w:tabs>
        <w:rPr>
          <w:noProof/>
          <w:bdr w:val="nil"/>
          <w:lang w:val="fr-FR"/>
        </w:rPr>
      </w:pPr>
      <w:r w:rsidRPr="0039567C">
        <w:rPr>
          <w:noProof/>
          <w:bdr w:val="nil"/>
          <w:lang w:val="fr-FR"/>
        </w:rPr>
        <w:t>En outre, le Partenariat mondial sur le mercure</w:t>
      </w:r>
      <w:r w:rsidR="008808D8" w:rsidRPr="0039567C">
        <w:rPr>
          <w:noProof/>
          <w:bdr w:val="nil"/>
          <w:lang w:val="fr-FR"/>
        </w:rPr>
        <w:t>, qui compte plus de 190</w:t>
      </w:r>
      <w:r w:rsidR="00217426" w:rsidRPr="0039567C">
        <w:rPr>
          <w:noProof/>
          <w:bdr w:val="nil"/>
          <w:lang w:val="fr-FR"/>
        </w:rPr>
        <w:t> </w:t>
      </w:r>
      <w:r w:rsidR="008808D8" w:rsidRPr="0039567C">
        <w:rPr>
          <w:noProof/>
          <w:bdr w:val="nil"/>
          <w:lang w:val="fr-FR"/>
        </w:rPr>
        <w:t xml:space="preserve">parties prenantes, </w:t>
      </w:r>
      <w:r w:rsidRPr="0039567C">
        <w:rPr>
          <w:noProof/>
          <w:bdr w:val="nil"/>
          <w:lang w:val="fr-FR"/>
        </w:rPr>
        <w:t>a</w:t>
      </w:r>
      <w:r w:rsidR="000F2590" w:rsidRPr="0039567C">
        <w:rPr>
          <w:noProof/>
          <w:bdr w:val="nil"/>
          <w:lang w:val="fr-FR"/>
        </w:rPr>
        <w:t> </w:t>
      </w:r>
      <w:r w:rsidRPr="0039567C">
        <w:rPr>
          <w:noProof/>
          <w:bdr w:val="nil"/>
          <w:lang w:val="fr-FR"/>
        </w:rPr>
        <w:t xml:space="preserve">pour but d’aider les pays à mettre en </w:t>
      </w:r>
      <w:r w:rsidR="008808D8" w:rsidRPr="0039567C">
        <w:rPr>
          <w:noProof/>
          <w:bdr w:val="nil"/>
          <w:lang w:val="fr-FR"/>
        </w:rPr>
        <w:t>œuvre</w:t>
      </w:r>
      <w:r w:rsidRPr="0039567C">
        <w:rPr>
          <w:noProof/>
          <w:bdr w:val="nil"/>
          <w:lang w:val="fr-FR"/>
        </w:rPr>
        <w:t xml:space="preserve"> la Convention de Minamata </w:t>
      </w:r>
      <w:r w:rsidR="008808D8" w:rsidRPr="0039567C">
        <w:rPr>
          <w:noProof/>
          <w:bdr w:val="nil"/>
          <w:lang w:val="fr-FR"/>
        </w:rPr>
        <w:t>dans les délais</w:t>
      </w:r>
      <w:r w:rsidR="0054579A" w:rsidRPr="0039567C">
        <w:rPr>
          <w:noProof/>
          <w:bdr w:val="nil"/>
          <w:lang w:val="fr-FR"/>
        </w:rPr>
        <w:t xml:space="preserve"> </w:t>
      </w:r>
      <w:r w:rsidR="00905CD0" w:rsidRPr="0039567C">
        <w:rPr>
          <w:noProof/>
          <w:bdr w:val="nil"/>
          <w:lang w:val="fr-FR"/>
        </w:rPr>
        <w:t>pr</w:t>
      </w:r>
      <w:r w:rsidR="004F7DA2" w:rsidRPr="0039567C">
        <w:rPr>
          <w:noProof/>
          <w:bdr w:val="nil"/>
          <w:lang w:val="fr-FR"/>
        </w:rPr>
        <w:t xml:space="preserve">évus </w:t>
      </w:r>
      <w:r w:rsidR="008808D8" w:rsidRPr="0039567C">
        <w:rPr>
          <w:noProof/>
          <w:bdr w:val="nil"/>
          <w:lang w:val="fr-FR"/>
        </w:rPr>
        <w:t xml:space="preserve">et de </w:t>
      </w:r>
      <w:r w:rsidR="0054579A" w:rsidRPr="0039567C">
        <w:rPr>
          <w:noProof/>
          <w:bdr w:val="nil"/>
          <w:lang w:val="fr-FR"/>
        </w:rPr>
        <w:t xml:space="preserve">manière </w:t>
      </w:r>
      <w:r w:rsidRPr="0039567C">
        <w:rPr>
          <w:noProof/>
          <w:bdr w:val="nil"/>
          <w:lang w:val="fr-FR"/>
        </w:rPr>
        <w:t>efficace</w:t>
      </w:r>
      <w:r w:rsidR="008808D8" w:rsidRPr="0039567C">
        <w:rPr>
          <w:noProof/>
          <w:bdr w:val="nil"/>
          <w:lang w:val="fr-FR"/>
        </w:rPr>
        <w:t xml:space="preserve"> en</w:t>
      </w:r>
      <w:r w:rsidRPr="0039567C">
        <w:rPr>
          <w:noProof/>
          <w:bdr w:val="nil"/>
          <w:lang w:val="fr-FR"/>
        </w:rPr>
        <w:t xml:space="preserve"> </w:t>
      </w:r>
      <w:r w:rsidR="008808D8" w:rsidRPr="0039567C">
        <w:rPr>
          <w:noProof/>
          <w:bdr w:val="nil"/>
          <w:lang w:val="fr-FR"/>
        </w:rPr>
        <w:t>fournissant les connaissances et les informations scientifiques les plus récentes sur le mercure et en organisant des acti</w:t>
      </w:r>
      <w:r w:rsidR="00D47AA6" w:rsidRPr="0039567C">
        <w:rPr>
          <w:noProof/>
          <w:bdr w:val="nil"/>
          <w:lang w:val="fr-FR"/>
        </w:rPr>
        <w:t>vités</w:t>
      </w:r>
      <w:r w:rsidR="008808D8" w:rsidRPr="0039567C">
        <w:rPr>
          <w:noProof/>
          <w:bdr w:val="nil"/>
          <w:lang w:val="fr-FR"/>
        </w:rPr>
        <w:t xml:space="preserve"> de communication et de sensibilisation sur les mesures prises sur le mercure au niveau mondial.</w:t>
      </w:r>
    </w:p>
    <w:p w14:paraId="7D2162F5" w14:textId="5AD2394A" w:rsidR="008808D8" w:rsidRPr="0039567C" w:rsidRDefault="008808D8" w:rsidP="001F7820">
      <w:pPr>
        <w:pStyle w:val="Normalnumber"/>
        <w:tabs>
          <w:tab w:val="clear" w:pos="1134"/>
        </w:tabs>
        <w:rPr>
          <w:noProof/>
          <w:bdr w:val="nil"/>
          <w:lang w:val="fr-FR"/>
        </w:rPr>
      </w:pPr>
      <w:r w:rsidRPr="0039567C">
        <w:rPr>
          <w:noProof/>
          <w:bdr w:val="nil"/>
          <w:lang w:val="fr-FR"/>
        </w:rPr>
        <w:t>Le PNUE, par le biais de l’Alliance mondiale pour l’élimination des peintures au plomb, a</w:t>
      </w:r>
      <w:r w:rsidR="00A22B14" w:rsidRPr="0039567C">
        <w:rPr>
          <w:noProof/>
          <w:bdr w:val="nil"/>
          <w:lang w:val="fr-FR"/>
        </w:rPr>
        <w:t> </w:t>
      </w:r>
      <w:r w:rsidRPr="0039567C">
        <w:rPr>
          <w:noProof/>
          <w:bdr w:val="nil"/>
          <w:lang w:val="fr-FR"/>
        </w:rPr>
        <w:t>soutenu 61</w:t>
      </w:r>
      <w:r w:rsidR="00217426" w:rsidRPr="0039567C">
        <w:rPr>
          <w:noProof/>
          <w:bdr w:val="nil"/>
          <w:lang w:val="fr-FR"/>
        </w:rPr>
        <w:t> </w:t>
      </w:r>
      <w:r w:rsidRPr="0039567C">
        <w:rPr>
          <w:noProof/>
          <w:bdr w:val="nil"/>
          <w:lang w:val="fr-FR"/>
        </w:rPr>
        <w:t xml:space="preserve">pays, notamment en vertu de la composante 1 des </w:t>
      </w:r>
      <w:r w:rsidR="00796E7F" w:rsidRPr="0039567C">
        <w:rPr>
          <w:noProof/>
          <w:bdr w:val="nil"/>
          <w:lang w:val="fr-FR"/>
        </w:rPr>
        <w:t>M</w:t>
      </w:r>
      <w:r w:rsidRPr="0039567C">
        <w:rPr>
          <w:noProof/>
          <w:bdr w:val="nil"/>
          <w:lang w:val="fr-FR"/>
        </w:rPr>
        <w:t>eilleures pratiques mondiale</w:t>
      </w:r>
      <w:r w:rsidR="00796E7F" w:rsidRPr="0039567C">
        <w:rPr>
          <w:noProof/>
          <w:bdr w:val="nil"/>
          <w:lang w:val="fr-FR"/>
        </w:rPr>
        <w:t>s</w:t>
      </w:r>
      <w:r w:rsidR="00143401" w:rsidRPr="0039567C">
        <w:rPr>
          <w:noProof/>
          <w:bdr w:val="nil"/>
          <w:lang w:val="fr-FR"/>
        </w:rPr>
        <w:t xml:space="preserve"> </w:t>
      </w:r>
      <w:r w:rsidR="00796E7F" w:rsidRPr="0039567C">
        <w:rPr>
          <w:noProof/>
          <w:bdr w:val="nil"/>
          <w:lang w:val="fr-FR"/>
        </w:rPr>
        <w:t>concernant les nouvelles questions de politique générale préoccupantes au regard de l’Approche stratégique de la gestion internationale des produits chimiques.</w:t>
      </w:r>
      <w:r w:rsidRPr="0039567C">
        <w:rPr>
          <w:noProof/>
          <w:bdr w:val="nil"/>
          <w:lang w:val="fr-FR"/>
        </w:rPr>
        <w:t xml:space="preserve"> </w:t>
      </w:r>
      <w:r w:rsidR="00915271" w:rsidRPr="0039567C">
        <w:rPr>
          <w:noProof/>
          <w:bdr w:val="nil"/>
          <w:lang w:val="fr-FR"/>
        </w:rPr>
        <w:t>Dans le cadre de l’adoption de la législation relative aux peintures au plomb, une assistance technique a été fournie aux pays en termes d’élaboration de textes juridiques et de sensibilisation.</w:t>
      </w:r>
    </w:p>
    <w:p w14:paraId="16D2E96A" w14:textId="4DECA546" w:rsidR="00A546A9" w:rsidRPr="0039567C" w:rsidRDefault="00915271" w:rsidP="00A91C09">
      <w:pPr>
        <w:pStyle w:val="Normalnumber"/>
        <w:tabs>
          <w:tab w:val="clear" w:pos="1134"/>
        </w:tabs>
        <w:rPr>
          <w:noProof/>
          <w:bdr w:val="nil"/>
          <w:lang w:val="fr-FR"/>
        </w:rPr>
      </w:pPr>
      <w:r w:rsidRPr="0039567C">
        <w:rPr>
          <w:noProof/>
          <w:bdr w:val="nil"/>
          <w:lang w:val="fr-FR"/>
        </w:rPr>
        <w:t xml:space="preserve">Le PNUE fournit actuellement un soutien à quatre pays asiatiques afin qu’ils puissent respecter les accords multilatéraux </w:t>
      </w:r>
      <w:r w:rsidR="00C9068C" w:rsidRPr="0039567C">
        <w:rPr>
          <w:noProof/>
          <w:bdr w:val="nil"/>
          <w:lang w:val="fr-FR"/>
        </w:rPr>
        <w:t xml:space="preserve">sur </w:t>
      </w:r>
      <w:r w:rsidRPr="0039567C">
        <w:rPr>
          <w:noProof/>
          <w:bdr w:val="nil"/>
          <w:lang w:val="fr-FR"/>
        </w:rPr>
        <w:t>l’environnement en élaborant des cours en ligne personnalisés et une série d’activités de renforcement des capacités fondées sur une évaluation des lacunes, avec un budget d’un million de dollars issu du fonds chinois d’affectation spéciale.</w:t>
      </w:r>
    </w:p>
    <w:p w14:paraId="5731B16B" w14:textId="047EFD95" w:rsidR="00915271" w:rsidRPr="0039567C" w:rsidRDefault="00915271" w:rsidP="00A91C09">
      <w:pPr>
        <w:pStyle w:val="Normalnumber"/>
        <w:tabs>
          <w:tab w:val="clear" w:pos="1134"/>
        </w:tabs>
        <w:rPr>
          <w:noProof/>
          <w:bdr w:val="nil"/>
          <w:lang w:val="fr-FR"/>
        </w:rPr>
      </w:pPr>
      <w:r w:rsidRPr="0039567C">
        <w:rPr>
          <w:noProof/>
          <w:bdr w:val="nil"/>
          <w:lang w:val="fr-FR"/>
        </w:rPr>
        <w:t>Un m</w:t>
      </w:r>
      <w:r w:rsidR="00D32976" w:rsidRPr="0039567C">
        <w:rPr>
          <w:noProof/>
          <w:bdr w:val="nil"/>
          <w:lang w:val="fr-FR"/>
        </w:rPr>
        <w:t>é</w:t>
      </w:r>
      <w:r w:rsidRPr="0039567C">
        <w:rPr>
          <w:noProof/>
          <w:bdr w:val="nil"/>
          <w:lang w:val="fr-FR"/>
        </w:rPr>
        <w:t>morandum d’accord a été signé en 201</w:t>
      </w:r>
      <w:r w:rsidR="00D32976" w:rsidRPr="0039567C">
        <w:rPr>
          <w:noProof/>
          <w:bdr w:val="nil"/>
          <w:lang w:val="fr-FR"/>
        </w:rPr>
        <w:t>6 entre le PNUE et le Conseil international des associations de l’industrie chimique afin de mettre au point et d’appliquer des régimes de gestion efficaces des produits chimiques à l’intention des entreprises et des institutions publiques. Plusieurs activités conjointes ont été menées, notamment des études, des activités nationales de renforcement des capacités dans des pays en développement (Argentine, Chine, Inde, Kenya et République</w:t>
      </w:r>
      <w:r w:rsidR="00D32976" w:rsidRPr="0039567C">
        <w:rPr>
          <w:noProof/>
          <w:bdr w:val="nil"/>
          <w:lang w:val="fr-FR"/>
        </w:rPr>
        <w:noBreakHyphen/>
        <w:t>Unie de Tanzanie) et l</w:t>
      </w:r>
      <w:r w:rsidR="00430C75" w:rsidRPr="0039567C">
        <w:rPr>
          <w:noProof/>
          <w:bdr w:val="nil"/>
          <w:lang w:val="fr-FR"/>
        </w:rPr>
        <w:t>’éla</w:t>
      </w:r>
      <w:r w:rsidR="00227746" w:rsidRPr="0039567C">
        <w:rPr>
          <w:noProof/>
          <w:bdr w:val="nil"/>
          <w:lang w:val="fr-FR"/>
        </w:rPr>
        <w:t xml:space="preserve">boration </w:t>
      </w:r>
      <w:r w:rsidR="00D32976" w:rsidRPr="0039567C">
        <w:rPr>
          <w:noProof/>
          <w:bdr w:val="nil"/>
          <w:lang w:val="fr-FR"/>
        </w:rPr>
        <w:t>d’outils d’apprentissage</w:t>
      </w:r>
      <w:r w:rsidR="00361B18" w:rsidRPr="0039567C">
        <w:rPr>
          <w:noProof/>
          <w:bdr w:val="nil"/>
          <w:lang w:val="fr-FR"/>
        </w:rPr>
        <w:t xml:space="preserve"> en matière d’hygiène du milieu liée aux produits chimiques et de renseignements sur la</w:t>
      </w:r>
      <w:r w:rsidR="00D32976" w:rsidRPr="0039567C">
        <w:rPr>
          <w:noProof/>
          <w:bdr w:val="nil"/>
          <w:lang w:val="fr-FR"/>
        </w:rPr>
        <w:t xml:space="preserve"> santé</w:t>
      </w:r>
      <w:r w:rsidR="00361B18" w:rsidRPr="0039567C">
        <w:rPr>
          <w:noProof/>
          <w:bdr w:val="nil"/>
          <w:lang w:val="fr-FR"/>
        </w:rPr>
        <w:t>.</w:t>
      </w:r>
    </w:p>
    <w:p w14:paraId="0F06FC15" w14:textId="675CC4C8" w:rsidR="00361B18" w:rsidRPr="0039567C" w:rsidRDefault="00361B18" w:rsidP="001F7820">
      <w:pPr>
        <w:pStyle w:val="Normalnumber"/>
        <w:tabs>
          <w:tab w:val="clear" w:pos="1134"/>
        </w:tabs>
        <w:rPr>
          <w:noProof/>
          <w:bdr w:val="nil"/>
          <w:lang w:val="fr-FR"/>
        </w:rPr>
      </w:pPr>
      <w:r w:rsidRPr="0039567C">
        <w:rPr>
          <w:noProof/>
          <w:bdr w:val="nil"/>
          <w:lang w:val="fr-FR"/>
        </w:rPr>
        <w:t xml:space="preserve">Le PNUE et les secrétariats des conventions de Bâle, </w:t>
      </w:r>
      <w:r w:rsidR="00CD50F4" w:rsidRPr="0039567C">
        <w:rPr>
          <w:noProof/>
          <w:bdr w:val="nil"/>
          <w:lang w:val="fr-FR"/>
        </w:rPr>
        <w:t xml:space="preserve">de </w:t>
      </w:r>
      <w:r w:rsidRPr="0039567C">
        <w:rPr>
          <w:noProof/>
          <w:bdr w:val="nil"/>
          <w:lang w:val="fr-FR"/>
        </w:rPr>
        <w:t xml:space="preserve">Rotterdam et </w:t>
      </w:r>
      <w:r w:rsidR="00CD50F4" w:rsidRPr="0039567C">
        <w:rPr>
          <w:noProof/>
          <w:bdr w:val="nil"/>
          <w:lang w:val="fr-FR"/>
        </w:rPr>
        <w:t xml:space="preserve">de </w:t>
      </w:r>
      <w:r w:rsidRPr="0039567C">
        <w:rPr>
          <w:noProof/>
          <w:bdr w:val="nil"/>
          <w:lang w:val="fr-FR"/>
        </w:rPr>
        <w:t xml:space="preserve">Stockholm, </w:t>
      </w:r>
      <w:r w:rsidR="00AE1383" w:rsidRPr="0039567C">
        <w:rPr>
          <w:noProof/>
          <w:bdr w:val="nil"/>
          <w:lang w:val="fr-FR"/>
        </w:rPr>
        <w:t xml:space="preserve">de </w:t>
      </w:r>
      <w:r w:rsidRPr="0039567C">
        <w:rPr>
          <w:noProof/>
          <w:bdr w:val="nil"/>
          <w:lang w:val="fr-FR"/>
        </w:rPr>
        <w:t xml:space="preserve">la Convention de Minamata et </w:t>
      </w:r>
      <w:r w:rsidR="00AE1383" w:rsidRPr="0039567C">
        <w:rPr>
          <w:noProof/>
          <w:bdr w:val="nil"/>
          <w:lang w:val="fr-FR"/>
        </w:rPr>
        <w:t xml:space="preserve">de </w:t>
      </w:r>
      <w:r w:rsidRPr="0039567C">
        <w:rPr>
          <w:noProof/>
          <w:bdr w:val="nil"/>
          <w:lang w:val="fr-FR"/>
        </w:rPr>
        <w:t>l’Approche stratégique</w:t>
      </w:r>
      <w:r w:rsidR="00071739" w:rsidRPr="0039567C">
        <w:rPr>
          <w:noProof/>
          <w:bdr w:val="nil"/>
          <w:lang w:val="fr-FR"/>
        </w:rPr>
        <w:t xml:space="preserve"> de la gestion internationale des produits chimiques ont relancé leur groupe de travail mixte relatif à la coopération programmatique sur les produits chimiques et les déchets. Ce groupe a pour but d’encourager la coopération programmatique et sert de plateforme pour </w:t>
      </w:r>
      <w:r w:rsidR="004A3E66" w:rsidRPr="0039567C">
        <w:rPr>
          <w:noProof/>
          <w:bdr w:val="nil"/>
          <w:lang w:val="fr-FR"/>
        </w:rPr>
        <w:t>étudier les liens avec des programme plus larges sur l’environnement et le développement durable, comme la pollution, les modes de vie durables, la circularité et les villes.</w:t>
      </w:r>
    </w:p>
    <w:p w14:paraId="2C5B8778" w14:textId="6CF61EFF" w:rsidR="007A77A3" w:rsidRPr="0039567C" w:rsidRDefault="007A77A3" w:rsidP="005B2417">
      <w:pPr>
        <w:pStyle w:val="Normalnumber"/>
        <w:tabs>
          <w:tab w:val="clear" w:pos="1134"/>
        </w:tabs>
        <w:ind w:left="1253"/>
        <w:rPr>
          <w:noProof/>
          <w:bdr w:val="nil"/>
          <w:lang w:val="fr-FR"/>
        </w:rPr>
      </w:pPr>
      <w:r w:rsidRPr="0039567C">
        <w:rPr>
          <w:noProof/>
          <w:bdr w:val="nil"/>
          <w:lang w:val="fr-FR"/>
        </w:rPr>
        <w:t xml:space="preserve">Afin de répondre à la demande croissante pour </w:t>
      </w:r>
      <w:r w:rsidR="0062076C" w:rsidRPr="0039567C">
        <w:rPr>
          <w:noProof/>
          <w:bdr w:val="nil"/>
          <w:lang w:val="fr-FR"/>
        </w:rPr>
        <w:t>l’am</w:t>
      </w:r>
      <w:r w:rsidR="00126131" w:rsidRPr="0039567C">
        <w:rPr>
          <w:noProof/>
          <w:bdr w:val="nil"/>
          <w:lang w:val="fr-FR"/>
        </w:rPr>
        <w:t xml:space="preserve">élioration des </w:t>
      </w:r>
      <w:r w:rsidRPr="0039567C">
        <w:rPr>
          <w:noProof/>
          <w:bdr w:val="nil"/>
          <w:lang w:val="fr-FR"/>
        </w:rPr>
        <w:t xml:space="preserve">données et </w:t>
      </w:r>
      <w:r w:rsidR="00EA36C3" w:rsidRPr="0039567C">
        <w:rPr>
          <w:noProof/>
          <w:bdr w:val="nil"/>
          <w:lang w:val="fr-FR"/>
        </w:rPr>
        <w:t xml:space="preserve">des </w:t>
      </w:r>
      <w:r w:rsidRPr="0039567C">
        <w:rPr>
          <w:noProof/>
          <w:bdr w:val="nil"/>
          <w:lang w:val="fr-FR"/>
        </w:rPr>
        <w:t>capacité</w:t>
      </w:r>
      <w:r w:rsidR="00EA36C3" w:rsidRPr="0039567C">
        <w:rPr>
          <w:noProof/>
          <w:bdr w:val="nil"/>
          <w:lang w:val="fr-FR"/>
        </w:rPr>
        <w:t>s</w:t>
      </w:r>
      <w:r w:rsidR="00126131" w:rsidRPr="0039567C">
        <w:rPr>
          <w:noProof/>
          <w:bdr w:val="nil"/>
          <w:lang w:val="fr-FR"/>
        </w:rPr>
        <w:t xml:space="preserve"> permettant de suivre et d’examin</w:t>
      </w:r>
      <w:r w:rsidR="00344A92" w:rsidRPr="0039567C">
        <w:rPr>
          <w:noProof/>
          <w:bdr w:val="nil"/>
          <w:lang w:val="fr-FR"/>
        </w:rPr>
        <w:t xml:space="preserve">er les </w:t>
      </w:r>
      <w:r w:rsidRPr="0039567C">
        <w:rPr>
          <w:noProof/>
          <w:bdr w:val="nil"/>
          <w:lang w:val="fr-FR"/>
        </w:rPr>
        <w:t xml:space="preserve">progrès </w:t>
      </w:r>
      <w:r w:rsidR="00344A92" w:rsidRPr="0039567C">
        <w:rPr>
          <w:noProof/>
          <w:bdr w:val="nil"/>
          <w:lang w:val="fr-FR"/>
        </w:rPr>
        <w:t xml:space="preserve">réalisés </w:t>
      </w:r>
      <w:r w:rsidRPr="0039567C">
        <w:rPr>
          <w:noProof/>
          <w:bdr w:val="nil"/>
          <w:lang w:val="fr-FR"/>
        </w:rPr>
        <w:t xml:space="preserve">dans la mise en œuvre des objectifs de développement durable et </w:t>
      </w:r>
      <w:r w:rsidR="00E5444E" w:rsidRPr="0039567C">
        <w:rPr>
          <w:noProof/>
          <w:bdr w:val="nil"/>
          <w:lang w:val="fr-FR"/>
        </w:rPr>
        <w:t>des</w:t>
      </w:r>
      <w:r w:rsidRPr="0039567C">
        <w:rPr>
          <w:noProof/>
          <w:bdr w:val="nil"/>
          <w:lang w:val="fr-FR"/>
        </w:rPr>
        <w:t xml:space="preserve"> cibles </w:t>
      </w:r>
      <w:r w:rsidR="00E5444E" w:rsidRPr="0039567C">
        <w:rPr>
          <w:noProof/>
          <w:bdr w:val="nil"/>
          <w:lang w:val="fr-FR"/>
        </w:rPr>
        <w:t>qu’ils contiennent, le PNUE a lancé en 2017 un projet intitulé « </w:t>
      </w:r>
      <w:r w:rsidR="00B605C8" w:rsidRPr="0039567C">
        <w:rPr>
          <w:noProof/>
          <w:bdr w:val="nil"/>
          <w:lang w:val="fr-FR"/>
        </w:rPr>
        <w:t>Produits chimiques et déchets dans le Programme 2030 : renforcer les capacités dans le suivi et l’examen des objectifs de développement durable dans les pays en développement afin de réduire les risques liés aux produits chimiques et aux déchets dans les différents secteurs », financé par le Compte de l’ONU pour le développement. Trois pays ont été sélectionnés pour mener des projets pilotes et bénéficient actuellement d’un appui pour évaluer leurs statistiques</w:t>
      </w:r>
      <w:r w:rsidR="002939CC" w:rsidRPr="0039567C">
        <w:rPr>
          <w:noProof/>
          <w:bdr w:val="nil"/>
          <w:lang w:val="fr-FR"/>
        </w:rPr>
        <w:t>, indicateurs et notifications</w:t>
      </w:r>
      <w:r w:rsidR="00B605C8" w:rsidRPr="0039567C">
        <w:rPr>
          <w:noProof/>
          <w:bdr w:val="nil"/>
          <w:lang w:val="fr-FR"/>
        </w:rPr>
        <w:t xml:space="preserve"> </w:t>
      </w:r>
      <w:r w:rsidR="002939CC" w:rsidRPr="0039567C">
        <w:rPr>
          <w:noProof/>
          <w:bdr w:val="nil"/>
          <w:lang w:val="fr-FR"/>
        </w:rPr>
        <w:t>sur les produits chimiques et les déchets dans le but d’établir un plan d’action national sur les indicateurs, le suivi et la communication de statistiques relatives à la gestion des produits chimiques et des déchets.</w:t>
      </w:r>
    </w:p>
    <w:p w14:paraId="208CCE55" w14:textId="390FFD85" w:rsidR="00BB6F3D" w:rsidRPr="0039567C" w:rsidRDefault="00BB6F3D" w:rsidP="00BB6F3D">
      <w:pPr>
        <w:pStyle w:val="CH1"/>
        <w:rPr>
          <w:rFonts w:eastAsia="SimSun"/>
          <w:noProof/>
          <w:lang w:val="fr-FR"/>
        </w:rPr>
      </w:pPr>
      <w:r w:rsidRPr="0039567C">
        <w:rPr>
          <w:rFonts w:eastAsia="SimSun"/>
          <w:noProof/>
          <w:lang w:val="fr-FR"/>
        </w:rPr>
        <w:tab/>
        <w:t>II.</w:t>
      </w:r>
      <w:r w:rsidRPr="0039567C">
        <w:rPr>
          <w:rFonts w:eastAsia="SimSun"/>
          <w:noProof/>
          <w:lang w:val="fr-FR"/>
        </w:rPr>
        <w:tab/>
        <w:t xml:space="preserve">Enseignements </w:t>
      </w:r>
      <w:r w:rsidR="008B165E" w:rsidRPr="0039567C">
        <w:rPr>
          <w:rFonts w:eastAsia="SimSun"/>
          <w:noProof/>
          <w:lang w:val="fr-FR"/>
        </w:rPr>
        <w:t>tirés</w:t>
      </w:r>
    </w:p>
    <w:bookmarkEnd w:id="1"/>
    <w:p w14:paraId="6203D97F" w14:textId="241E8DA4" w:rsidR="00BB6F3D" w:rsidRPr="0039567C" w:rsidRDefault="002939CC" w:rsidP="00BB6F3D">
      <w:pPr>
        <w:pStyle w:val="Normalnumber"/>
        <w:keepNext/>
        <w:keepLines/>
        <w:tabs>
          <w:tab w:val="clear" w:pos="1134"/>
        </w:tabs>
        <w:rPr>
          <w:noProof/>
          <w:bdr w:val="nil"/>
          <w:lang w:val="fr-FR"/>
        </w:rPr>
      </w:pPr>
      <w:r w:rsidRPr="0039567C">
        <w:rPr>
          <w:noProof/>
          <w:bdr w:val="nil"/>
          <w:lang w:val="fr-FR"/>
        </w:rPr>
        <w:t xml:space="preserve">Conformément au paragraphe 24 de son </w:t>
      </w:r>
      <w:r w:rsidR="00451C45" w:rsidRPr="0039567C">
        <w:rPr>
          <w:noProof/>
          <w:bdr w:val="nil"/>
          <w:lang w:val="fr-FR"/>
        </w:rPr>
        <w:t>C</w:t>
      </w:r>
      <w:r w:rsidRPr="0039567C">
        <w:rPr>
          <w:noProof/>
          <w:bdr w:val="nil"/>
          <w:lang w:val="fr-FR"/>
        </w:rPr>
        <w:t>adre, le Programme sp</w:t>
      </w:r>
      <w:r w:rsidR="00BB6F3D" w:rsidRPr="0039567C">
        <w:rPr>
          <w:noProof/>
          <w:bdr w:val="nil"/>
          <w:lang w:val="fr-FR"/>
        </w:rPr>
        <w:t>é</w:t>
      </w:r>
      <w:r w:rsidRPr="0039567C">
        <w:rPr>
          <w:noProof/>
          <w:bdr w:val="nil"/>
          <w:lang w:val="fr-FR"/>
        </w:rPr>
        <w:t xml:space="preserve">cial d’appui au renforcement des institutions nationales aux fins de la mise en </w:t>
      </w:r>
      <w:r w:rsidR="00BB6F3D" w:rsidRPr="0039567C">
        <w:rPr>
          <w:noProof/>
          <w:bdr w:val="nil"/>
          <w:lang w:val="fr-FR"/>
        </w:rPr>
        <w:t>œuvre</w:t>
      </w:r>
      <w:r w:rsidRPr="0039567C">
        <w:rPr>
          <w:noProof/>
          <w:bdr w:val="nil"/>
          <w:lang w:val="fr-FR"/>
        </w:rPr>
        <w:t xml:space="preserve"> des </w:t>
      </w:r>
      <w:r w:rsidR="00215A89" w:rsidRPr="0039567C">
        <w:rPr>
          <w:noProof/>
          <w:bdr w:val="nil"/>
          <w:lang w:val="fr-FR"/>
        </w:rPr>
        <w:t>c</w:t>
      </w:r>
      <w:r w:rsidRPr="0039567C">
        <w:rPr>
          <w:noProof/>
          <w:bdr w:val="nil"/>
          <w:lang w:val="fr-FR"/>
        </w:rPr>
        <w:t>onventions de Bâle, de Rotterdam et</w:t>
      </w:r>
      <w:r w:rsidR="00BB6F3D" w:rsidRPr="0039567C">
        <w:rPr>
          <w:noProof/>
          <w:bdr w:val="nil"/>
          <w:lang w:val="fr-FR"/>
        </w:rPr>
        <w:t xml:space="preserve"> </w:t>
      </w:r>
      <w:r w:rsidRPr="0039567C">
        <w:rPr>
          <w:noProof/>
          <w:bdr w:val="nil"/>
          <w:lang w:val="fr-FR"/>
        </w:rPr>
        <w:t>de Stockholm, de la Convention de Minamata et de l’Approche stratégique</w:t>
      </w:r>
      <w:r w:rsidR="00BB6F3D" w:rsidRPr="0039567C">
        <w:rPr>
          <w:noProof/>
          <w:bdr w:val="nil"/>
          <w:lang w:val="fr-FR"/>
        </w:rPr>
        <w:t xml:space="preserve"> de la gestion internationale des produits chimiques sera ouvert aux contributions volontaires et aux demandes d’aide pendant une période de sept ans à </w:t>
      </w:r>
      <w:r w:rsidR="007B6497" w:rsidRPr="0039567C">
        <w:rPr>
          <w:noProof/>
          <w:bdr w:val="nil"/>
          <w:lang w:val="fr-FR"/>
        </w:rPr>
        <w:t xml:space="preserve">compter </w:t>
      </w:r>
      <w:r w:rsidR="00BB6F3D" w:rsidRPr="0039567C">
        <w:rPr>
          <w:noProof/>
          <w:bdr w:val="nil"/>
          <w:lang w:val="fr-FR"/>
        </w:rPr>
        <w:t xml:space="preserve">de la date de sa création. </w:t>
      </w:r>
      <w:r w:rsidR="00BB6F3D" w:rsidRPr="0039567C">
        <w:rPr>
          <w:noProof/>
          <w:lang w:val="fr-FR"/>
        </w:rPr>
        <w:t xml:space="preserve">À l’issue d’un examen et d’une évaluation satisfaisants, et sous réserve d’une recommandation du Conseil exécutif à l’Assemblée </w:t>
      </w:r>
      <w:r w:rsidR="00A110CF" w:rsidRPr="0039567C">
        <w:rPr>
          <w:noProof/>
          <w:lang w:val="fr-FR"/>
        </w:rPr>
        <w:t>po</w:t>
      </w:r>
      <w:r w:rsidR="00BB6F3D" w:rsidRPr="0039567C">
        <w:rPr>
          <w:noProof/>
          <w:lang w:val="fr-FR"/>
        </w:rPr>
        <w:t>ur l’environnement, le Programme spécial pourra faire l’objet d’une seule prolongation n’excédant pas cinq ans. Les fonds du Programme</w:t>
      </w:r>
      <w:r w:rsidR="007B6497" w:rsidRPr="0039567C">
        <w:rPr>
          <w:noProof/>
          <w:lang w:val="fr-FR"/>
        </w:rPr>
        <w:t xml:space="preserve"> </w:t>
      </w:r>
      <w:r w:rsidR="000107C8" w:rsidRPr="0039567C">
        <w:rPr>
          <w:noProof/>
          <w:lang w:val="fr-FR"/>
        </w:rPr>
        <w:t xml:space="preserve">spécial </w:t>
      </w:r>
      <w:r w:rsidR="00BB6F3D" w:rsidRPr="0039567C">
        <w:rPr>
          <w:noProof/>
          <w:lang w:val="fr-FR"/>
        </w:rPr>
        <w:t>pourront être versés durant une période n’excédant pas 10</w:t>
      </w:r>
      <w:r w:rsidR="008D0EDE" w:rsidRPr="0039567C">
        <w:rPr>
          <w:noProof/>
          <w:lang w:val="fr-FR"/>
        </w:rPr>
        <w:t> </w:t>
      </w:r>
      <w:r w:rsidR="00BB6F3D" w:rsidRPr="0039567C">
        <w:rPr>
          <w:noProof/>
          <w:lang w:val="fr-FR"/>
        </w:rPr>
        <w:t>ans à compter de la date de sa création, ou une période de huit ans à compter de la date de sa prolongation, le cas échéant, à l’issue de laquelle le Programme cessera de fonctionner et sera clos.</w:t>
      </w:r>
    </w:p>
    <w:p w14:paraId="52F73CEC" w14:textId="5BE6BDE8" w:rsidR="00921700" w:rsidRPr="0039567C" w:rsidRDefault="00BB6F3D" w:rsidP="00A546A9">
      <w:pPr>
        <w:pStyle w:val="Normalnumber"/>
        <w:widowControl w:val="0"/>
        <w:tabs>
          <w:tab w:val="clear" w:pos="1134"/>
        </w:tabs>
        <w:ind w:left="1253"/>
        <w:rPr>
          <w:noProof/>
          <w:bdr w:val="nil"/>
          <w:lang w:val="fr-FR"/>
        </w:rPr>
      </w:pPr>
      <w:r w:rsidRPr="0039567C">
        <w:rPr>
          <w:noProof/>
          <w:bdr w:val="nil"/>
          <w:lang w:val="fr-FR"/>
        </w:rPr>
        <w:t>En octobre 2020, à l’issue de l’évaluation satisfaisante du Programme spécial à mi-parcours, le</w:t>
      </w:r>
      <w:r w:rsidR="00CE6A1B" w:rsidRPr="0039567C">
        <w:rPr>
          <w:noProof/>
          <w:bdr w:val="nil"/>
          <w:lang w:val="fr-FR"/>
        </w:rPr>
        <w:t> </w:t>
      </w:r>
      <w:r w:rsidRPr="0039567C">
        <w:rPr>
          <w:noProof/>
          <w:bdr w:val="nil"/>
          <w:lang w:val="fr-FR"/>
        </w:rPr>
        <w:t xml:space="preserve">Conseil exécutif a entamé les discussions sur </w:t>
      </w:r>
      <w:r w:rsidR="00CA5D40" w:rsidRPr="0039567C">
        <w:rPr>
          <w:noProof/>
          <w:bdr w:val="nil"/>
          <w:lang w:val="fr-FR"/>
        </w:rPr>
        <w:t xml:space="preserve">une éventuelle </w:t>
      </w:r>
      <w:r w:rsidRPr="0039567C">
        <w:rPr>
          <w:noProof/>
          <w:bdr w:val="nil"/>
          <w:lang w:val="fr-FR"/>
        </w:rPr>
        <w:t>prolongation de la durée du programme. Toute recommandation adoptée par le Conseil exécutif à ce sujet sera publiée sur le site Web du Program</w:t>
      </w:r>
      <w:r w:rsidR="006A567A" w:rsidRPr="0039567C">
        <w:rPr>
          <w:noProof/>
          <w:bdr w:val="nil"/>
          <w:lang w:val="fr-FR"/>
        </w:rPr>
        <w:t>me spécial</w:t>
      </w:r>
      <w:r w:rsidR="00921700" w:rsidRPr="0039567C">
        <w:rPr>
          <w:noProof/>
          <w:bdr w:val="nil"/>
          <w:vertAlign w:val="superscript"/>
          <w:lang w:val="fr-FR"/>
        </w:rPr>
        <w:footnoteReference w:id="3"/>
      </w:r>
      <w:r w:rsidRPr="0039567C">
        <w:rPr>
          <w:noProof/>
          <w:bdr w:val="nil"/>
          <w:lang w:val="fr-FR"/>
        </w:rPr>
        <w:t>.</w:t>
      </w:r>
    </w:p>
    <w:p w14:paraId="02B0A779" w14:textId="44EA33B6" w:rsidR="00E503D4" w:rsidRPr="0039567C" w:rsidRDefault="00E503D4" w:rsidP="00364549">
      <w:pPr>
        <w:pStyle w:val="Normalnumber"/>
        <w:tabs>
          <w:tab w:val="clear" w:pos="1134"/>
        </w:tabs>
        <w:rPr>
          <w:noProof/>
          <w:bdr w:val="nil"/>
          <w:lang w:val="fr-FR"/>
        </w:rPr>
      </w:pPr>
      <w:r w:rsidRPr="0039567C">
        <w:rPr>
          <w:noProof/>
          <w:bdr w:val="nil"/>
          <w:lang w:val="fr-FR"/>
        </w:rPr>
        <w:t xml:space="preserve">Le PNUE continuera de travailler avec les organisations membres du Programme interorganisations </w:t>
      </w:r>
      <w:r w:rsidRPr="0039567C">
        <w:rPr>
          <w:noProof/>
          <w:lang w:val="fr-FR"/>
        </w:rPr>
        <w:t xml:space="preserve">pour la gestion rationnelle des produits chimiques et au-delà afin de renforcer la coopération et d’éviter les </w:t>
      </w:r>
      <w:r w:rsidR="00386E46" w:rsidRPr="0039567C">
        <w:rPr>
          <w:noProof/>
          <w:lang w:val="fr-FR"/>
        </w:rPr>
        <w:t xml:space="preserve">chevauchements d’activités. </w:t>
      </w:r>
      <w:r w:rsidRPr="0039567C">
        <w:rPr>
          <w:noProof/>
          <w:lang w:val="fr-FR"/>
        </w:rPr>
        <w:t xml:space="preserve">Il </w:t>
      </w:r>
      <w:r w:rsidR="00A102C2" w:rsidRPr="0039567C">
        <w:rPr>
          <w:noProof/>
          <w:lang w:val="fr-FR"/>
        </w:rPr>
        <w:t>renforcera son appui à</w:t>
      </w:r>
      <w:r w:rsidRPr="0039567C">
        <w:rPr>
          <w:noProof/>
          <w:lang w:val="fr-FR"/>
        </w:rPr>
        <w:t xml:space="preserve"> la mise en œuvre des accords multilatéraux </w:t>
      </w:r>
      <w:r w:rsidR="005005B4" w:rsidRPr="0039567C">
        <w:rPr>
          <w:noProof/>
          <w:lang w:val="fr-FR"/>
        </w:rPr>
        <w:t xml:space="preserve">sur </w:t>
      </w:r>
      <w:r w:rsidRPr="0039567C">
        <w:rPr>
          <w:noProof/>
          <w:lang w:val="fr-FR"/>
        </w:rPr>
        <w:t>l’environnement.</w:t>
      </w:r>
    </w:p>
    <w:p w14:paraId="5F4FA3C8" w14:textId="357DABE9" w:rsidR="00A110CF" w:rsidRPr="0039567C" w:rsidRDefault="00A110CF" w:rsidP="00364549">
      <w:pPr>
        <w:pStyle w:val="Normalnumber"/>
        <w:tabs>
          <w:tab w:val="clear" w:pos="1134"/>
        </w:tabs>
        <w:rPr>
          <w:noProof/>
          <w:bdr w:val="nil"/>
          <w:lang w:val="fr-FR"/>
        </w:rPr>
      </w:pPr>
      <w:r w:rsidRPr="0039567C">
        <w:rPr>
          <w:noProof/>
          <w:bdr w:val="nil"/>
          <w:lang w:val="fr-FR"/>
        </w:rPr>
        <w:t>L’Assemblée pour l’environnement continue de soutenir un cadre ambitieux favorable à la gestion rationnelle des produits chimiques et des déchets au</w:t>
      </w:r>
      <w:r w:rsidRPr="0039567C">
        <w:rPr>
          <w:noProof/>
          <w:bdr w:val="nil"/>
          <w:lang w:val="fr-FR"/>
        </w:rPr>
        <w:noBreakHyphen/>
        <w:t xml:space="preserve">delà de 2020 qu’elle sera par la suite invitée à adopter. Le PNUE va continuer à héberger son secrétariat et à fournir/seconder son responsable. La nouvelle stratégie à moyen terme appuiera la mise en œuvre de ce nouveau cadre favorable. Les nouvelles cibles et les nouveaux indicateurs seront </w:t>
      </w:r>
      <w:r w:rsidR="00956D41" w:rsidRPr="0039567C">
        <w:rPr>
          <w:noProof/>
          <w:bdr w:val="nil"/>
          <w:lang w:val="fr-FR"/>
        </w:rPr>
        <w:t>pris en considération</w:t>
      </w:r>
      <w:r w:rsidRPr="0039567C">
        <w:rPr>
          <w:noProof/>
          <w:bdr w:val="nil"/>
          <w:lang w:val="fr-FR"/>
        </w:rPr>
        <w:t xml:space="preserve"> dans la stratégie à moyen terme pour 2022</w:t>
      </w:r>
      <w:r w:rsidR="00B15002" w:rsidRPr="0039567C">
        <w:rPr>
          <w:noProof/>
          <w:bdr w:val="nil"/>
          <w:lang w:val="fr-FR"/>
        </w:rPr>
        <w:t>–2</w:t>
      </w:r>
      <w:r w:rsidRPr="0039567C">
        <w:rPr>
          <w:noProof/>
          <w:bdr w:val="nil"/>
          <w:lang w:val="fr-FR"/>
        </w:rPr>
        <w:t xml:space="preserve">025, </w:t>
      </w:r>
      <w:r w:rsidR="00956D41" w:rsidRPr="0039567C">
        <w:rPr>
          <w:noProof/>
          <w:bdr w:val="nil"/>
          <w:lang w:val="fr-FR"/>
        </w:rPr>
        <w:t>au travers de l’élaboration des programmes de travail biennaux.</w:t>
      </w:r>
    </w:p>
    <w:p w14:paraId="47AEBA38" w14:textId="0CAF1882" w:rsidR="00956D41" w:rsidRPr="0039567C" w:rsidRDefault="00956D41" w:rsidP="00364549">
      <w:pPr>
        <w:pStyle w:val="Normalnumber"/>
        <w:tabs>
          <w:tab w:val="clear" w:pos="1134"/>
        </w:tabs>
        <w:rPr>
          <w:noProof/>
          <w:bdr w:val="nil"/>
          <w:lang w:val="fr-FR"/>
        </w:rPr>
      </w:pPr>
      <w:r w:rsidRPr="0039567C">
        <w:rPr>
          <w:noProof/>
          <w:bdr w:val="nil"/>
          <w:lang w:val="fr-FR"/>
        </w:rPr>
        <w:lastRenderedPageBreak/>
        <w:t>Bien que plusieurs questions soient en train d’être traitées, il est urgent que toutes les parties prenantes prennent des mesures ambitieuses à l’échelle mondiale, y compris sur les métaux lourds, un</w:t>
      </w:r>
      <w:r w:rsidR="003306B2" w:rsidRPr="0039567C">
        <w:rPr>
          <w:noProof/>
          <w:bdr w:val="nil"/>
          <w:lang w:val="fr-FR"/>
        </w:rPr>
        <w:t> </w:t>
      </w:r>
      <w:r w:rsidRPr="0039567C">
        <w:rPr>
          <w:noProof/>
          <w:bdr w:val="nil"/>
          <w:lang w:val="fr-FR"/>
        </w:rPr>
        <w:t xml:space="preserve">héritage qui demande des efforts supplémentaires au niveau international. </w:t>
      </w:r>
    </w:p>
    <w:p w14:paraId="0D14F464" w14:textId="29DD0EA6" w:rsidR="00DA36E4" w:rsidRPr="0039567C" w:rsidRDefault="009357F1" w:rsidP="00A546A9">
      <w:pPr>
        <w:pStyle w:val="Normalnumber"/>
        <w:tabs>
          <w:tab w:val="clear" w:pos="1134"/>
        </w:tabs>
        <w:spacing w:after="0"/>
        <w:ind w:left="1253"/>
        <w:rPr>
          <w:rFonts w:eastAsia="MS Mincho"/>
          <w:noProof/>
          <w:kern w:val="2"/>
          <w:bdr w:val="nil"/>
          <w:lang w:val="fr-FR"/>
        </w:rPr>
      </w:pPr>
      <w:r w:rsidRPr="0039567C">
        <w:rPr>
          <w:rFonts w:eastAsia="MS Mincho"/>
          <w:noProof/>
          <w:kern w:val="2"/>
          <w:bdr w:val="nil"/>
          <w:lang w:val="fr-FR"/>
        </w:rPr>
        <w:t>Les activités des pays qui reçoivent l’appui du PNUE sur les produits chimiques et les déchets montrent que la gestion rationnelle des produits chimiques et des déchets est intrinsèquement liée à un des trois piliers d</w:t>
      </w:r>
      <w:r w:rsidR="005F0957" w:rsidRPr="0039567C">
        <w:rPr>
          <w:rFonts w:eastAsia="MS Mincho"/>
          <w:noProof/>
          <w:kern w:val="2"/>
          <w:bdr w:val="nil"/>
          <w:lang w:val="fr-FR"/>
        </w:rPr>
        <w:t xml:space="preserve">e la </w:t>
      </w:r>
      <w:r w:rsidRPr="0039567C">
        <w:rPr>
          <w:rFonts w:eastAsia="MS Mincho"/>
          <w:noProof/>
          <w:kern w:val="2"/>
          <w:bdr w:val="nil"/>
          <w:lang w:val="fr-FR"/>
        </w:rPr>
        <w:t>stratégie à moyen terme</w:t>
      </w:r>
      <w:r w:rsidR="005F0957" w:rsidRPr="0039567C">
        <w:rPr>
          <w:rFonts w:eastAsia="MS Mincho"/>
          <w:noProof/>
          <w:kern w:val="2"/>
          <w:bdr w:val="nil"/>
          <w:lang w:val="fr-FR"/>
        </w:rPr>
        <w:t xml:space="preserve"> proposée</w:t>
      </w:r>
      <w:r w:rsidRPr="0039567C">
        <w:rPr>
          <w:rFonts w:eastAsia="MS Mincho"/>
          <w:noProof/>
          <w:kern w:val="2"/>
          <w:bdr w:val="nil"/>
          <w:lang w:val="fr-FR"/>
        </w:rPr>
        <w:t xml:space="preserve">, à savoir les produits chimiques et la pollution, et qu’elle contribue à une consommation et une production durables. </w:t>
      </w:r>
    </w:p>
    <w:p w14:paraId="5F918D39" w14:textId="41BDF674" w:rsidR="00921700" w:rsidRPr="0039567C" w:rsidRDefault="00364549" w:rsidP="00A546A9">
      <w:pPr>
        <w:pStyle w:val="CH1"/>
        <w:spacing w:before="120"/>
        <w:ind w:left="1253" w:right="288" w:hanging="1253"/>
        <w:rPr>
          <w:rFonts w:eastAsia="SimSun"/>
          <w:noProof/>
          <w:lang w:val="fr-FR"/>
        </w:rPr>
      </w:pPr>
      <w:r w:rsidRPr="0039567C">
        <w:rPr>
          <w:rFonts w:eastAsia="SimSun"/>
          <w:noProof/>
          <w:lang w:val="fr-FR"/>
        </w:rPr>
        <w:tab/>
      </w:r>
      <w:r w:rsidR="00333FC6" w:rsidRPr="0039567C">
        <w:rPr>
          <w:rFonts w:eastAsia="SimSun"/>
          <w:noProof/>
          <w:lang w:val="fr-FR"/>
        </w:rPr>
        <w:t>III</w:t>
      </w:r>
      <w:r w:rsidR="00B91190" w:rsidRPr="0039567C">
        <w:rPr>
          <w:rFonts w:eastAsia="SimSun"/>
          <w:noProof/>
          <w:lang w:val="fr-FR"/>
        </w:rPr>
        <w:t>.</w:t>
      </w:r>
      <w:r w:rsidR="001F7820" w:rsidRPr="0039567C">
        <w:rPr>
          <w:rFonts w:eastAsia="SimSun"/>
          <w:noProof/>
          <w:lang w:val="fr-FR"/>
        </w:rPr>
        <w:tab/>
      </w:r>
      <w:r w:rsidR="00921700" w:rsidRPr="0039567C">
        <w:rPr>
          <w:rFonts w:eastAsia="SimSun"/>
          <w:noProof/>
          <w:lang w:val="fr-FR"/>
        </w:rPr>
        <w:t>Recomm</w:t>
      </w:r>
      <w:r w:rsidR="00E503D4" w:rsidRPr="0039567C">
        <w:rPr>
          <w:rFonts w:eastAsia="SimSun"/>
          <w:noProof/>
          <w:lang w:val="fr-FR"/>
        </w:rPr>
        <w:t>a</w:t>
      </w:r>
      <w:r w:rsidR="00921700" w:rsidRPr="0039567C">
        <w:rPr>
          <w:rFonts w:eastAsia="SimSun"/>
          <w:noProof/>
          <w:lang w:val="fr-FR"/>
        </w:rPr>
        <w:t xml:space="preserve">ndations </w:t>
      </w:r>
      <w:r w:rsidR="00E503D4" w:rsidRPr="0039567C">
        <w:rPr>
          <w:rFonts w:eastAsia="SimSun"/>
          <w:noProof/>
          <w:lang w:val="fr-FR"/>
        </w:rPr>
        <w:t>et mesures proposées</w:t>
      </w:r>
    </w:p>
    <w:p w14:paraId="39CEB57E" w14:textId="238FBF87" w:rsidR="0047099C" w:rsidRPr="0039567C" w:rsidRDefault="00E503D4" w:rsidP="00364549">
      <w:pPr>
        <w:pStyle w:val="Normalnumber"/>
        <w:tabs>
          <w:tab w:val="clear" w:pos="1134"/>
        </w:tabs>
        <w:rPr>
          <w:noProof/>
          <w:bdr w:val="nil"/>
          <w:lang w:val="fr-FR"/>
        </w:rPr>
      </w:pPr>
      <w:r w:rsidRPr="0039567C">
        <w:rPr>
          <w:noProof/>
          <w:bdr w:val="nil"/>
          <w:lang w:val="fr-FR"/>
        </w:rPr>
        <w:t>L’</w:t>
      </w:r>
      <w:r w:rsidR="000B1859" w:rsidRPr="0039567C">
        <w:rPr>
          <w:noProof/>
          <w:bdr w:val="nil"/>
          <w:lang w:val="fr-FR"/>
        </w:rPr>
        <w:t>A</w:t>
      </w:r>
      <w:r w:rsidRPr="0039567C">
        <w:rPr>
          <w:noProof/>
          <w:bdr w:val="nil"/>
          <w:lang w:val="fr-FR"/>
        </w:rPr>
        <w:t xml:space="preserve">ssemblée pour l’environnement souhaitera peut-être </w:t>
      </w:r>
      <w:r w:rsidR="004F06AA" w:rsidRPr="0039567C">
        <w:rPr>
          <w:noProof/>
          <w:bdr w:val="nil"/>
          <w:lang w:val="fr-FR"/>
        </w:rPr>
        <w:t>:</w:t>
      </w:r>
    </w:p>
    <w:p w14:paraId="0E6CEAAC" w14:textId="189E3414" w:rsidR="00A63E89" w:rsidRPr="0039567C" w:rsidRDefault="000B1859" w:rsidP="00E503D4">
      <w:pPr>
        <w:pStyle w:val="Normalnumber"/>
        <w:numPr>
          <w:ilvl w:val="1"/>
          <w:numId w:val="4"/>
        </w:numPr>
        <w:ind w:firstLine="624"/>
        <w:rPr>
          <w:noProof/>
          <w:bdr w:val="nil"/>
          <w:lang w:val="fr-FR"/>
        </w:rPr>
      </w:pPr>
      <w:r w:rsidRPr="0039567C">
        <w:rPr>
          <w:noProof/>
          <w:bdr w:val="nil"/>
          <w:lang w:val="fr-FR"/>
        </w:rPr>
        <w:t>Envisager de p</w:t>
      </w:r>
      <w:r w:rsidR="00A63E89" w:rsidRPr="0039567C">
        <w:rPr>
          <w:noProof/>
          <w:bdr w:val="nil"/>
          <w:lang w:val="fr-FR"/>
        </w:rPr>
        <w:t xml:space="preserve">rolonger la durée du Programme spécial, comme </w:t>
      </w:r>
      <w:r w:rsidR="00957EB7" w:rsidRPr="0039567C">
        <w:rPr>
          <w:noProof/>
          <w:bdr w:val="nil"/>
          <w:lang w:val="fr-FR"/>
        </w:rPr>
        <w:t xml:space="preserve">prévu </w:t>
      </w:r>
      <w:r w:rsidR="00A63E89" w:rsidRPr="0039567C">
        <w:rPr>
          <w:noProof/>
          <w:bdr w:val="nil"/>
          <w:lang w:val="fr-FR"/>
        </w:rPr>
        <w:t xml:space="preserve">dans son cadre et sous réserve d’une recommandation du </w:t>
      </w:r>
      <w:r w:rsidR="003E221D" w:rsidRPr="0039567C">
        <w:rPr>
          <w:noProof/>
          <w:bdr w:val="nil"/>
          <w:lang w:val="fr-FR"/>
        </w:rPr>
        <w:t>C</w:t>
      </w:r>
      <w:r w:rsidR="00A63E89" w:rsidRPr="0039567C">
        <w:rPr>
          <w:noProof/>
          <w:bdr w:val="nil"/>
          <w:lang w:val="fr-FR"/>
        </w:rPr>
        <w:t>onseil exécutif du Programme spécial</w:t>
      </w:r>
      <w:r w:rsidR="003E221D" w:rsidRPr="0039567C">
        <w:rPr>
          <w:noProof/>
          <w:bdr w:val="nil"/>
          <w:lang w:val="fr-FR"/>
        </w:rPr>
        <w:t xml:space="preserve">, afin d’accélérer </w:t>
      </w:r>
      <w:r w:rsidR="00A653D0" w:rsidRPr="0039567C">
        <w:rPr>
          <w:noProof/>
          <w:bdr w:val="nil"/>
          <w:lang w:val="fr-FR"/>
        </w:rPr>
        <w:t>les mesures prises</w:t>
      </w:r>
      <w:r w:rsidR="003E221D" w:rsidRPr="0039567C">
        <w:rPr>
          <w:noProof/>
          <w:bdr w:val="nil"/>
          <w:lang w:val="fr-FR"/>
        </w:rPr>
        <w:t xml:space="preserve"> par les pays bénéficiaires pour parvenir à une gestion rationnelle des produits chimiques et des déchets ;</w:t>
      </w:r>
    </w:p>
    <w:p w14:paraId="3D363C9F" w14:textId="5320460A" w:rsidR="003E221D" w:rsidRPr="0039567C" w:rsidRDefault="00217426" w:rsidP="00E503D4">
      <w:pPr>
        <w:pStyle w:val="Normalnumber"/>
        <w:numPr>
          <w:ilvl w:val="1"/>
          <w:numId w:val="4"/>
        </w:numPr>
        <w:ind w:firstLine="624"/>
        <w:rPr>
          <w:noProof/>
          <w:bdr w:val="nil"/>
          <w:lang w:val="fr-FR"/>
        </w:rPr>
      </w:pPr>
      <w:r w:rsidRPr="0039567C">
        <w:rPr>
          <w:noProof/>
          <w:bdr w:val="nil"/>
          <w:lang w:val="fr-FR"/>
        </w:rPr>
        <w:t>T</w:t>
      </w:r>
      <w:r w:rsidR="003E221D" w:rsidRPr="0039567C">
        <w:rPr>
          <w:noProof/>
          <w:bdr w:val="nil"/>
          <w:lang w:val="fr-FR"/>
        </w:rPr>
        <w:t xml:space="preserve">out en reconnaissant les efforts entrepris, </w:t>
      </w:r>
      <w:r w:rsidR="006C3107" w:rsidRPr="0039567C">
        <w:rPr>
          <w:noProof/>
          <w:bdr w:val="nil"/>
          <w:lang w:val="fr-FR"/>
        </w:rPr>
        <w:t xml:space="preserve">envisager de </w:t>
      </w:r>
      <w:r w:rsidR="003E221D" w:rsidRPr="0039567C">
        <w:rPr>
          <w:noProof/>
          <w:bdr w:val="nil"/>
          <w:lang w:val="fr-FR"/>
        </w:rPr>
        <w:t xml:space="preserve">souligner </w:t>
      </w:r>
      <w:r w:rsidR="00D109FA" w:rsidRPr="0039567C">
        <w:rPr>
          <w:noProof/>
          <w:bdr w:val="nil"/>
          <w:lang w:val="fr-FR"/>
        </w:rPr>
        <w:t>la nécessité</w:t>
      </w:r>
      <w:r w:rsidR="003E221D" w:rsidRPr="0039567C">
        <w:rPr>
          <w:noProof/>
          <w:bdr w:val="nil"/>
          <w:lang w:val="fr-FR"/>
        </w:rPr>
        <w:t xml:space="preserve"> de continuer à </w:t>
      </w:r>
      <w:r w:rsidR="00DC6E86" w:rsidRPr="0039567C">
        <w:rPr>
          <w:noProof/>
          <w:bdr w:val="nil"/>
          <w:lang w:val="fr-FR"/>
        </w:rPr>
        <w:t xml:space="preserve">soutenir </w:t>
      </w:r>
      <w:r w:rsidR="003E221D" w:rsidRPr="0039567C">
        <w:rPr>
          <w:noProof/>
          <w:bdr w:val="nil"/>
          <w:lang w:val="fr-FR"/>
        </w:rPr>
        <w:t xml:space="preserve">l’Approche stratégique de la gestion internationale des produits chimiques et le nouveau cadre pour la gestion rationnelle des produits chimiques et des déchets ainsi que sa mise en œuvre, notamment </w:t>
      </w:r>
      <w:r w:rsidR="00214E3C" w:rsidRPr="0039567C">
        <w:rPr>
          <w:noProof/>
          <w:bdr w:val="nil"/>
          <w:lang w:val="fr-FR"/>
        </w:rPr>
        <w:t xml:space="preserve">en mettant à disposition </w:t>
      </w:r>
      <w:r w:rsidR="003E221D" w:rsidRPr="0039567C">
        <w:rPr>
          <w:noProof/>
          <w:bdr w:val="nil"/>
          <w:lang w:val="fr-FR"/>
        </w:rPr>
        <w:t>un personnel et des ressources suffisants pour le secrétariat ;</w:t>
      </w:r>
    </w:p>
    <w:p w14:paraId="3E6EFF9F" w14:textId="5D80FED6" w:rsidR="003E221D" w:rsidRPr="0039567C" w:rsidRDefault="00217426" w:rsidP="00E503D4">
      <w:pPr>
        <w:pStyle w:val="Normalnumber"/>
        <w:numPr>
          <w:ilvl w:val="1"/>
          <w:numId w:val="4"/>
        </w:numPr>
        <w:ind w:firstLine="624"/>
        <w:rPr>
          <w:noProof/>
          <w:bdr w:val="nil"/>
          <w:lang w:val="fr-FR"/>
        </w:rPr>
      </w:pPr>
      <w:r w:rsidRPr="0039567C">
        <w:rPr>
          <w:noProof/>
          <w:bdr w:val="nil"/>
          <w:lang w:val="fr-FR"/>
        </w:rPr>
        <w:t>E</w:t>
      </w:r>
      <w:r w:rsidR="003E221D" w:rsidRPr="0039567C">
        <w:rPr>
          <w:noProof/>
          <w:bdr w:val="nil"/>
          <w:lang w:val="fr-FR"/>
        </w:rPr>
        <w:t>n</w:t>
      </w:r>
      <w:r w:rsidR="003E795B" w:rsidRPr="0039567C">
        <w:rPr>
          <w:noProof/>
          <w:bdr w:val="nil"/>
          <w:lang w:val="fr-FR"/>
        </w:rPr>
        <w:t>visager</w:t>
      </w:r>
      <w:r w:rsidR="0065188F" w:rsidRPr="0039567C">
        <w:rPr>
          <w:noProof/>
          <w:bdr w:val="nil"/>
          <w:lang w:val="fr-FR"/>
        </w:rPr>
        <w:t xml:space="preserve"> d’en</w:t>
      </w:r>
      <w:r w:rsidR="003E221D" w:rsidRPr="0039567C">
        <w:rPr>
          <w:noProof/>
          <w:bdr w:val="nil"/>
          <w:lang w:val="fr-FR"/>
        </w:rPr>
        <w:t xml:space="preserve">courager tous les États membres et les parties prenantes concernées à étudier et appliquer les manuels sur la chimie verte et la chimie durable qui, avec le rapport </w:t>
      </w:r>
      <w:r w:rsidR="003E221D" w:rsidRPr="0039567C">
        <w:rPr>
          <w:i/>
          <w:iCs/>
          <w:noProof/>
          <w:bdr w:val="nil"/>
          <w:lang w:val="fr-FR"/>
        </w:rPr>
        <w:t>Global Chemicals Outlook II</w:t>
      </w:r>
      <w:r w:rsidR="003E221D" w:rsidRPr="0039567C">
        <w:rPr>
          <w:noProof/>
          <w:bdr w:val="nil"/>
          <w:lang w:val="fr-FR"/>
        </w:rPr>
        <w:t xml:space="preserve">, </w:t>
      </w:r>
      <w:r w:rsidR="005E5924" w:rsidRPr="0039567C">
        <w:rPr>
          <w:noProof/>
          <w:bdr w:val="nil"/>
          <w:lang w:val="fr-FR"/>
        </w:rPr>
        <w:t>montrent bien l’importance cruciale</w:t>
      </w:r>
      <w:r w:rsidR="003E221D" w:rsidRPr="0039567C">
        <w:rPr>
          <w:noProof/>
          <w:bdr w:val="nil"/>
          <w:lang w:val="fr-FR"/>
        </w:rPr>
        <w:t xml:space="preserve"> d</w:t>
      </w:r>
      <w:r w:rsidR="005E5924" w:rsidRPr="0039567C">
        <w:rPr>
          <w:noProof/>
          <w:bdr w:val="nil"/>
          <w:lang w:val="fr-FR"/>
        </w:rPr>
        <w:t xml:space="preserve">’une </w:t>
      </w:r>
      <w:r w:rsidR="003E221D" w:rsidRPr="0039567C">
        <w:rPr>
          <w:noProof/>
          <w:bdr w:val="nil"/>
          <w:lang w:val="fr-FR"/>
        </w:rPr>
        <w:t>innovation</w:t>
      </w:r>
      <w:r w:rsidR="005E5924" w:rsidRPr="0039567C">
        <w:rPr>
          <w:noProof/>
          <w:bdr w:val="nil"/>
          <w:lang w:val="fr-FR"/>
        </w:rPr>
        <w:t xml:space="preserve"> respectueuse de l’environnement ;</w:t>
      </w:r>
    </w:p>
    <w:p w14:paraId="146BEB65" w14:textId="38C461DE" w:rsidR="00A653D0" w:rsidRPr="0039567C" w:rsidRDefault="0065188F" w:rsidP="00E503D4">
      <w:pPr>
        <w:pStyle w:val="Normalnumber"/>
        <w:numPr>
          <w:ilvl w:val="1"/>
          <w:numId w:val="4"/>
        </w:numPr>
        <w:ind w:firstLine="624"/>
        <w:rPr>
          <w:noProof/>
          <w:bdr w:val="nil"/>
          <w:lang w:val="fr-FR"/>
        </w:rPr>
      </w:pPr>
      <w:r w:rsidRPr="0039567C">
        <w:rPr>
          <w:noProof/>
          <w:bdr w:val="nil"/>
          <w:lang w:val="fr-FR"/>
        </w:rPr>
        <w:t>Envisager de d</w:t>
      </w:r>
      <w:r w:rsidR="00A653D0" w:rsidRPr="0039567C">
        <w:rPr>
          <w:noProof/>
          <w:bdr w:val="nil"/>
          <w:lang w:val="fr-FR"/>
        </w:rPr>
        <w:t xml:space="preserve">emander à toutes les parties prenantes concernées de tenir compte des conclusions du rapport récemment publié, intitulé </w:t>
      </w:r>
      <w:r w:rsidR="00A653D0" w:rsidRPr="0039567C">
        <w:rPr>
          <w:i/>
          <w:iCs/>
          <w:noProof/>
          <w:lang w:val="fr-FR"/>
        </w:rPr>
        <w:t>An Assessment Report on Issues of Concern: Chemicals and Waste Issues Posing Risks to Human Health and the Environment</w:t>
      </w:r>
      <w:r w:rsidR="00A653D0" w:rsidRPr="0039567C">
        <w:rPr>
          <w:rStyle w:val="FootnoteReference"/>
          <w:noProof/>
          <w:lang w:val="fr-FR"/>
        </w:rPr>
        <w:footnoteReference w:id="4"/>
      </w:r>
      <w:r w:rsidR="00A653D0" w:rsidRPr="0039567C">
        <w:rPr>
          <w:noProof/>
          <w:lang w:val="fr-FR"/>
        </w:rPr>
        <w:t xml:space="preserve"> et de celles indiquées dans le rapport </w:t>
      </w:r>
      <w:r w:rsidR="00A653D0" w:rsidRPr="0039567C">
        <w:rPr>
          <w:i/>
          <w:iCs/>
          <w:noProof/>
          <w:bdr w:val="nil"/>
          <w:lang w:val="fr-FR"/>
        </w:rPr>
        <w:t xml:space="preserve">Global Chemicals Outlook II </w:t>
      </w:r>
      <w:r w:rsidR="00A653D0" w:rsidRPr="0039567C">
        <w:rPr>
          <w:noProof/>
          <w:bdr w:val="nil"/>
          <w:lang w:val="fr-FR"/>
        </w:rPr>
        <w:t>selon lesquelles l’objectif mondial visant à</w:t>
      </w:r>
      <w:r w:rsidR="00534D52" w:rsidRPr="0039567C">
        <w:rPr>
          <w:noProof/>
          <w:bdr w:val="nil"/>
          <w:lang w:val="fr-FR"/>
        </w:rPr>
        <w:t> </w:t>
      </w:r>
      <w:r w:rsidR="00A653D0" w:rsidRPr="0039567C">
        <w:rPr>
          <w:noProof/>
          <w:bdr w:val="nil"/>
          <w:lang w:val="fr-FR"/>
        </w:rPr>
        <w:t xml:space="preserve">réduire </w:t>
      </w:r>
      <w:r w:rsidR="00322C79" w:rsidRPr="0039567C">
        <w:rPr>
          <w:noProof/>
          <w:bdr w:val="nil"/>
          <w:lang w:val="fr-FR"/>
        </w:rPr>
        <w:t xml:space="preserve">au minimum </w:t>
      </w:r>
      <w:r w:rsidR="00A653D0" w:rsidRPr="0039567C">
        <w:rPr>
          <w:noProof/>
          <w:bdr w:val="nil"/>
          <w:lang w:val="fr-FR"/>
        </w:rPr>
        <w:t>les effets néfastes des produits chimiques et des déchets n’a pas été atteint en</w:t>
      </w:r>
      <w:r w:rsidR="00534D52" w:rsidRPr="0039567C">
        <w:rPr>
          <w:noProof/>
          <w:bdr w:val="nil"/>
          <w:lang w:val="fr-FR"/>
        </w:rPr>
        <w:t> </w:t>
      </w:r>
      <w:r w:rsidR="00A653D0" w:rsidRPr="0039567C">
        <w:rPr>
          <w:noProof/>
          <w:bdr w:val="nil"/>
          <w:lang w:val="fr-FR"/>
        </w:rPr>
        <w:t>2020</w:t>
      </w:r>
      <w:r w:rsidR="00217426" w:rsidRPr="0039567C">
        <w:rPr>
          <w:noProof/>
          <w:bdr w:val="nil"/>
          <w:lang w:val="fr-FR"/>
        </w:rPr>
        <w:t> </w:t>
      </w:r>
      <w:r w:rsidR="00A653D0" w:rsidRPr="0039567C">
        <w:rPr>
          <w:noProof/>
          <w:bdr w:val="nil"/>
          <w:lang w:val="fr-FR"/>
        </w:rPr>
        <w:t xml:space="preserve">; </w:t>
      </w:r>
    </w:p>
    <w:p w14:paraId="53A516FF" w14:textId="4D353020" w:rsidR="00A653D0" w:rsidRPr="0039567C" w:rsidRDefault="00217426" w:rsidP="00E503D4">
      <w:pPr>
        <w:pStyle w:val="Normalnumber"/>
        <w:numPr>
          <w:ilvl w:val="1"/>
          <w:numId w:val="4"/>
        </w:numPr>
        <w:ind w:firstLine="624"/>
        <w:rPr>
          <w:noProof/>
          <w:bdr w:val="nil"/>
          <w:lang w:val="fr-FR"/>
        </w:rPr>
      </w:pPr>
      <w:r w:rsidRPr="0039567C">
        <w:rPr>
          <w:noProof/>
          <w:bdr w:val="nil"/>
          <w:lang w:val="fr-FR"/>
        </w:rPr>
        <w:t>R</w:t>
      </w:r>
      <w:r w:rsidR="00A653D0" w:rsidRPr="0039567C">
        <w:rPr>
          <w:noProof/>
          <w:bdr w:val="nil"/>
          <w:lang w:val="fr-FR"/>
        </w:rPr>
        <w:t>econnaître qu</w:t>
      </w:r>
      <w:r w:rsidR="009F5FFD" w:rsidRPr="0039567C">
        <w:rPr>
          <w:noProof/>
          <w:bdr w:val="nil"/>
          <w:lang w:val="fr-FR"/>
        </w:rPr>
        <w:t>’à l’avenir,</w:t>
      </w:r>
      <w:r w:rsidR="00A653D0" w:rsidRPr="0039567C">
        <w:rPr>
          <w:noProof/>
          <w:bdr w:val="nil"/>
          <w:lang w:val="fr-FR"/>
        </w:rPr>
        <w:t xml:space="preserve"> la communauté internationale devrait </w:t>
      </w:r>
      <w:r w:rsidR="003F41F6" w:rsidRPr="0039567C">
        <w:rPr>
          <w:noProof/>
          <w:bdr w:val="nil"/>
          <w:lang w:val="fr-FR"/>
        </w:rPr>
        <w:t>examiner</w:t>
      </w:r>
      <w:r w:rsidR="009F5FFD" w:rsidRPr="0039567C">
        <w:rPr>
          <w:noProof/>
          <w:bdr w:val="nil"/>
          <w:lang w:val="fr-FR"/>
        </w:rPr>
        <w:t xml:space="preserve"> et définir</w:t>
      </w:r>
      <w:r w:rsidR="00A653D0" w:rsidRPr="0039567C">
        <w:rPr>
          <w:noProof/>
          <w:bdr w:val="nil"/>
          <w:lang w:val="fr-FR"/>
        </w:rPr>
        <w:t xml:space="preserve"> un </w:t>
      </w:r>
      <w:r w:rsidR="009F5FFD" w:rsidRPr="0039567C">
        <w:rPr>
          <w:noProof/>
          <w:bdr w:val="nil"/>
          <w:lang w:val="fr-FR"/>
        </w:rPr>
        <w:t xml:space="preserve">éventail </w:t>
      </w:r>
      <w:r w:rsidR="00A653D0" w:rsidRPr="0039567C">
        <w:rPr>
          <w:noProof/>
          <w:bdr w:val="nil"/>
          <w:lang w:val="fr-FR"/>
        </w:rPr>
        <w:t xml:space="preserve">plus large de sujets </w:t>
      </w:r>
      <w:r w:rsidR="009F5FFD" w:rsidRPr="0039567C">
        <w:rPr>
          <w:noProof/>
          <w:bdr w:val="nil"/>
          <w:lang w:val="fr-FR"/>
        </w:rPr>
        <w:t>de préoccupation</w:t>
      </w:r>
      <w:r w:rsidRPr="0039567C">
        <w:rPr>
          <w:noProof/>
          <w:bdr w:val="nil"/>
          <w:lang w:val="fr-FR"/>
        </w:rPr>
        <w:t> </w:t>
      </w:r>
      <w:r w:rsidR="009F5FFD" w:rsidRPr="0039567C">
        <w:rPr>
          <w:noProof/>
          <w:bdr w:val="nil"/>
          <w:lang w:val="fr-FR"/>
        </w:rPr>
        <w:t xml:space="preserve">; </w:t>
      </w:r>
    </w:p>
    <w:p w14:paraId="321CAF3E" w14:textId="537CA5EF" w:rsidR="009F5FFD" w:rsidRPr="0039567C" w:rsidRDefault="00602451" w:rsidP="00E503D4">
      <w:pPr>
        <w:pStyle w:val="Normalnumber"/>
        <w:numPr>
          <w:ilvl w:val="1"/>
          <w:numId w:val="4"/>
        </w:numPr>
        <w:ind w:firstLine="624"/>
        <w:rPr>
          <w:noProof/>
          <w:bdr w:val="nil"/>
          <w:lang w:val="fr-FR"/>
        </w:rPr>
      </w:pPr>
      <w:r w:rsidRPr="0039567C">
        <w:rPr>
          <w:noProof/>
          <w:bdr w:val="nil"/>
          <w:lang w:val="fr-FR"/>
        </w:rPr>
        <w:t>Envisager de l</w:t>
      </w:r>
      <w:r w:rsidR="009F5FFD" w:rsidRPr="0039567C">
        <w:rPr>
          <w:noProof/>
          <w:bdr w:val="nil"/>
          <w:lang w:val="fr-FR"/>
        </w:rPr>
        <w:t>ancer de toute urgence un appel en faveur d’une action mondiale plus ambitieuse, y compris pour les métaux lourds, de la part de</w:t>
      </w:r>
      <w:r w:rsidR="00825EDB" w:rsidRPr="0039567C">
        <w:rPr>
          <w:noProof/>
          <w:bdr w:val="nil"/>
          <w:lang w:val="fr-FR"/>
        </w:rPr>
        <w:t xml:space="preserve"> l’ensemble de</w:t>
      </w:r>
      <w:r w:rsidR="009F5FFD" w:rsidRPr="0039567C">
        <w:rPr>
          <w:noProof/>
          <w:bdr w:val="nil"/>
          <w:lang w:val="fr-FR"/>
        </w:rPr>
        <w:t>s parties prenantes ;</w:t>
      </w:r>
    </w:p>
    <w:p w14:paraId="3D601310" w14:textId="045F720C" w:rsidR="009F5FFD" w:rsidRPr="0039567C" w:rsidRDefault="00217426" w:rsidP="009F5FFD">
      <w:pPr>
        <w:pStyle w:val="Normalnumber"/>
        <w:numPr>
          <w:ilvl w:val="1"/>
          <w:numId w:val="4"/>
        </w:numPr>
        <w:ind w:firstLine="624"/>
        <w:rPr>
          <w:noProof/>
          <w:bdr w:val="nil"/>
          <w:lang w:val="fr-FR"/>
        </w:rPr>
      </w:pPr>
      <w:r w:rsidRPr="0039567C">
        <w:rPr>
          <w:noProof/>
          <w:bdr w:val="nil"/>
          <w:lang w:val="fr-FR"/>
        </w:rPr>
        <w:t>E</w:t>
      </w:r>
      <w:r w:rsidR="009F5FFD" w:rsidRPr="0039567C">
        <w:rPr>
          <w:noProof/>
          <w:bdr w:val="nil"/>
          <w:lang w:val="fr-FR"/>
        </w:rPr>
        <w:t>n</w:t>
      </w:r>
      <w:r w:rsidR="001740D9" w:rsidRPr="0039567C">
        <w:rPr>
          <w:noProof/>
          <w:bdr w:val="nil"/>
          <w:lang w:val="fr-FR"/>
        </w:rPr>
        <w:t xml:space="preserve">visager </w:t>
      </w:r>
      <w:r w:rsidR="00E25928" w:rsidRPr="0039567C">
        <w:rPr>
          <w:noProof/>
          <w:bdr w:val="nil"/>
          <w:lang w:val="fr-FR"/>
        </w:rPr>
        <w:t>d’en</w:t>
      </w:r>
      <w:r w:rsidR="009F5FFD" w:rsidRPr="0039567C">
        <w:rPr>
          <w:noProof/>
          <w:bdr w:val="nil"/>
          <w:lang w:val="fr-FR"/>
        </w:rPr>
        <w:t>courager l’approfondissement et l’analyse plus poussée de l’add</w:t>
      </w:r>
      <w:r w:rsidR="00E25928" w:rsidRPr="0039567C">
        <w:rPr>
          <w:noProof/>
          <w:bdr w:val="nil"/>
          <w:lang w:val="fr-FR"/>
        </w:rPr>
        <w:t xml:space="preserve">itif </w:t>
      </w:r>
      <w:r w:rsidR="009F5FFD" w:rsidRPr="0039567C">
        <w:rPr>
          <w:noProof/>
          <w:bdr w:val="nil"/>
          <w:lang w:val="fr-FR"/>
        </w:rPr>
        <w:t>au rapport</w:t>
      </w:r>
      <w:r w:rsidR="001E3F37" w:rsidRPr="0039567C">
        <w:rPr>
          <w:noProof/>
          <w:bdr w:val="nil"/>
          <w:lang w:val="fr-FR"/>
        </w:rPr>
        <w:t xml:space="preserve"> intitulé </w:t>
      </w:r>
      <w:r w:rsidR="005F65BE" w:rsidRPr="0039567C">
        <w:rPr>
          <w:i/>
          <w:iCs/>
          <w:noProof/>
          <w:lang w:val="fr-FR"/>
        </w:rPr>
        <w:t>An Assessment Report on Issues of Concern: Chemicals and Waste Issues Posing Risks to Human Health and the Environment</w:t>
      </w:r>
      <w:r w:rsidR="001E3F37" w:rsidRPr="0039567C">
        <w:rPr>
          <w:i/>
          <w:iCs/>
          <w:noProof/>
          <w:lang w:val="fr-FR"/>
        </w:rPr>
        <w:t>,</w:t>
      </w:r>
      <w:r w:rsidR="009F5FFD" w:rsidRPr="0039567C">
        <w:rPr>
          <w:noProof/>
          <w:bdr w:val="nil"/>
          <w:lang w:val="fr-FR"/>
        </w:rPr>
        <w:t xml:space="preserve"> afin de dresser l’inventaire des initiatives existantes </w:t>
      </w:r>
      <w:r w:rsidR="007467FC" w:rsidRPr="0039567C">
        <w:rPr>
          <w:noProof/>
          <w:bdr w:val="nil"/>
          <w:lang w:val="fr-FR"/>
        </w:rPr>
        <w:t>dans les</w:t>
      </w:r>
      <w:r w:rsidR="009F5FFD" w:rsidRPr="0039567C">
        <w:rPr>
          <w:noProof/>
          <w:bdr w:val="nil"/>
          <w:lang w:val="fr-FR"/>
        </w:rPr>
        <w:t xml:space="preserve"> pays et </w:t>
      </w:r>
      <w:r w:rsidR="007467FC" w:rsidRPr="0039567C">
        <w:rPr>
          <w:noProof/>
          <w:bdr w:val="nil"/>
          <w:lang w:val="fr-FR"/>
        </w:rPr>
        <w:t>l</w:t>
      </w:r>
      <w:r w:rsidR="009F5FFD" w:rsidRPr="0039567C">
        <w:rPr>
          <w:noProof/>
          <w:bdr w:val="nil"/>
          <w:lang w:val="fr-FR"/>
        </w:rPr>
        <w:t xml:space="preserve">es organisations </w:t>
      </w:r>
      <w:r w:rsidR="007467FC" w:rsidRPr="0039567C">
        <w:rPr>
          <w:noProof/>
          <w:bdr w:val="nil"/>
          <w:lang w:val="fr-FR"/>
        </w:rPr>
        <w:t>pour chaque sujet de préoccupation</w:t>
      </w:r>
      <w:r w:rsidR="003F41F6" w:rsidRPr="0039567C">
        <w:rPr>
          <w:noProof/>
          <w:bdr w:val="nil"/>
          <w:lang w:val="fr-FR"/>
        </w:rPr>
        <w:t>,</w:t>
      </w:r>
      <w:r w:rsidR="007467FC" w:rsidRPr="0039567C">
        <w:rPr>
          <w:noProof/>
          <w:bdr w:val="nil"/>
          <w:lang w:val="fr-FR"/>
        </w:rPr>
        <w:t xml:space="preserve"> et de recenser les lacunes et les mesures à prendre en la matière ; </w:t>
      </w:r>
    </w:p>
    <w:p w14:paraId="73E88F84" w14:textId="2C8ECB5C" w:rsidR="007467FC" w:rsidRPr="0039567C" w:rsidRDefault="00217426" w:rsidP="00E503D4">
      <w:pPr>
        <w:pStyle w:val="Normalnumber"/>
        <w:numPr>
          <w:ilvl w:val="1"/>
          <w:numId w:val="4"/>
        </w:numPr>
        <w:ind w:firstLine="624"/>
        <w:rPr>
          <w:noProof/>
          <w:bdr w:val="nil"/>
          <w:lang w:val="fr-FR"/>
        </w:rPr>
      </w:pPr>
      <w:r w:rsidRPr="0039567C">
        <w:rPr>
          <w:noProof/>
          <w:bdr w:val="nil"/>
          <w:lang w:val="fr-FR"/>
        </w:rPr>
        <w:t>É</w:t>
      </w:r>
      <w:r w:rsidR="007467FC" w:rsidRPr="0039567C">
        <w:rPr>
          <w:noProof/>
          <w:bdr w:val="nil"/>
          <w:lang w:val="fr-FR"/>
        </w:rPr>
        <w:t>tudier les solution</w:t>
      </w:r>
      <w:r w:rsidR="003F41F6" w:rsidRPr="0039567C">
        <w:rPr>
          <w:noProof/>
          <w:bdr w:val="nil"/>
          <w:lang w:val="fr-FR"/>
        </w:rPr>
        <w:t>s</w:t>
      </w:r>
      <w:r w:rsidR="007467FC" w:rsidRPr="0039567C">
        <w:rPr>
          <w:noProof/>
          <w:bdr w:val="nil"/>
          <w:lang w:val="fr-FR"/>
        </w:rPr>
        <w:t xml:space="preserve"> proposées dans le rapport fournissant une évaluation des solutions </w:t>
      </w:r>
      <w:r w:rsidR="007F2228" w:rsidRPr="0039567C">
        <w:rPr>
          <w:noProof/>
          <w:bdr w:val="nil"/>
          <w:lang w:val="fr-FR"/>
        </w:rPr>
        <w:t xml:space="preserve">visant à </w:t>
      </w:r>
      <w:r w:rsidR="007467FC" w:rsidRPr="0039567C">
        <w:rPr>
          <w:noProof/>
          <w:bdr w:val="nil"/>
          <w:lang w:val="fr-FR"/>
        </w:rPr>
        <w:t xml:space="preserve">renforcer l’interface science-politique au niveau international pour la gestion rationnelle des produits chimiques et des déchets, et suggérer la marche à suivre afin de renforcer l’interface science-politique de façon exhaustive et, par conséquent, de </w:t>
      </w:r>
      <w:r w:rsidR="003F41F6" w:rsidRPr="0039567C">
        <w:rPr>
          <w:noProof/>
          <w:bdr w:val="nil"/>
          <w:lang w:val="fr-FR"/>
        </w:rPr>
        <w:t>tenir compte des</w:t>
      </w:r>
      <w:r w:rsidR="007467FC" w:rsidRPr="0039567C">
        <w:rPr>
          <w:noProof/>
          <w:bdr w:val="nil"/>
          <w:lang w:val="fr-FR"/>
        </w:rPr>
        <w:t xml:space="preserve"> multiples facettes de la gestion rationnelle des produits chimiques et des déchets ; </w:t>
      </w:r>
    </w:p>
    <w:p w14:paraId="42DA0FFE" w14:textId="001CA075" w:rsidR="007467FC" w:rsidRPr="0039567C" w:rsidRDefault="00C97018" w:rsidP="004F2C5A">
      <w:pPr>
        <w:pStyle w:val="Normalnumber"/>
        <w:keepNext/>
        <w:keepLines/>
        <w:numPr>
          <w:ilvl w:val="1"/>
          <w:numId w:val="4"/>
        </w:numPr>
        <w:ind w:left="1253" w:firstLine="619"/>
        <w:rPr>
          <w:noProof/>
          <w:lang w:val="fr-FR"/>
        </w:rPr>
      </w:pPr>
      <w:r w:rsidRPr="0039567C">
        <w:rPr>
          <w:noProof/>
          <w:lang w:val="fr-FR"/>
        </w:rPr>
        <w:t>Envisager d’a</w:t>
      </w:r>
      <w:r w:rsidR="007467FC" w:rsidRPr="0039567C">
        <w:rPr>
          <w:noProof/>
          <w:lang w:val="fr-FR"/>
        </w:rPr>
        <w:t>ppeler l’attention sur le rôle que la gestion rationnelle des produits chimiques et des déchets peut jouer dans la lutte contre la pollution héritée du passé et</w:t>
      </w:r>
      <w:r w:rsidR="003F41F6" w:rsidRPr="0039567C">
        <w:rPr>
          <w:noProof/>
          <w:lang w:val="fr-FR"/>
        </w:rPr>
        <w:t xml:space="preserve"> le façonnement de l’avenir, qui va de la conception de produits, de procédés et de chaînes de valeur novateurs qui </w:t>
      </w:r>
      <w:r w:rsidR="003F41F6" w:rsidRPr="0039567C">
        <w:rPr>
          <w:noProof/>
          <w:lang w:val="fr-FR"/>
        </w:rPr>
        <w:lastRenderedPageBreak/>
        <w:t xml:space="preserve">respectent l’environnement aux systèmes de production et de consommation durables, comme exposé dans la stratégie à moyen terme. </w:t>
      </w:r>
    </w:p>
    <w:tbl>
      <w:tblPr>
        <w:tblStyle w:val="Tabledocrig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1F7820" w:rsidRPr="0039567C" w14:paraId="7867DED4" w14:textId="77777777" w:rsidTr="001F7820">
        <w:tc>
          <w:tcPr>
            <w:tcW w:w="1897" w:type="dxa"/>
          </w:tcPr>
          <w:p w14:paraId="286F879C" w14:textId="77777777" w:rsidR="001F7820" w:rsidRPr="0039567C" w:rsidRDefault="001F7820" w:rsidP="004F2C5A">
            <w:pPr>
              <w:pStyle w:val="Normal-pool"/>
              <w:spacing w:before="240" w:after="0"/>
              <w:rPr>
                <w:noProof/>
                <w:lang w:val="fr-FR"/>
              </w:rPr>
            </w:pPr>
          </w:p>
        </w:tc>
        <w:tc>
          <w:tcPr>
            <w:tcW w:w="1897" w:type="dxa"/>
          </w:tcPr>
          <w:p w14:paraId="59B22D62" w14:textId="77777777" w:rsidR="001F7820" w:rsidRPr="0039567C" w:rsidRDefault="001F7820" w:rsidP="004F2C5A">
            <w:pPr>
              <w:pStyle w:val="Normal-pool"/>
              <w:spacing w:before="240" w:after="0"/>
              <w:rPr>
                <w:noProof/>
                <w:lang w:val="fr-FR"/>
              </w:rPr>
            </w:pPr>
          </w:p>
        </w:tc>
        <w:tc>
          <w:tcPr>
            <w:tcW w:w="1897" w:type="dxa"/>
            <w:tcBorders>
              <w:bottom w:val="single" w:sz="4" w:space="0" w:color="auto"/>
            </w:tcBorders>
          </w:tcPr>
          <w:p w14:paraId="2383EDE8" w14:textId="77777777" w:rsidR="001F7820" w:rsidRPr="0039567C" w:rsidRDefault="001F7820" w:rsidP="004F2C5A">
            <w:pPr>
              <w:pStyle w:val="Normal-pool"/>
              <w:spacing w:before="240" w:after="0"/>
              <w:rPr>
                <w:noProof/>
                <w:lang w:val="fr-FR"/>
              </w:rPr>
            </w:pPr>
          </w:p>
        </w:tc>
        <w:tc>
          <w:tcPr>
            <w:tcW w:w="1897" w:type="dxa"/>
          </w:tcPr>
          <w:p w14:paraId="174AA6F0" w14:textId="77777777" w:rsidR="001F7820" w:rsidRPr="0039567C" w:rsidRDefault="001F7820" w:rsidP="004F2C5A">
            <w:pPr>
              <w:pStyle w:val="Normal-pool"/>
              <w:spacing w:before="240" w:after="0"/>
              <w:jc w:val="center"/>
              <w:rPr>
                <w:noProof/>
                <w:lang w:val="fr-FR"/>
              </w:rPr>
            </w:pPr>
          </w:p>
        </w:tc>
        <w:tc>
          <w:tcPr>
            <w:tcW w:w="1898" w:type="dxa"/>
          </w:tcPr>
          <w:p w14:paraId="25F30DDF" w14:textId="77777777" w:rsidR="001F7820" w:rsidRPr="0039567C" w:rsidRDefault="001F7820" w:rsidP="004F2C5A">
            <w:pPr>
              <w:pStyle w:val="Normal-pool"/>
              <w:spacing w:before="240" w:after="0"/>
              <w:jc w:val="center"/>
              <w:rPr>
                <w:noProof/>
                <w:lang w:val="fr-FR"/>
              </w:rPr>
            </w:pPr>
          </w:p>
        </w:tc>
      </w:tr>
    </w:tbl>
    <w:p w14:paraId="77B7056F" w14:textId="77777777" w:rsidR="00921700" w:rsidRPr="0039567C" w:rsidRDefault="00921700" w:rsidP="00CA5254">
      <w:pPr>
        <w:pStyle w:val="Normal-pool"/>
        <w:rPr>
          <w:noProof/>
          <w:lang w:val="fr-FR"/>
        </w:rPr>
      </w:pPr>
    </w:p>
    <w:sectPr w:rsidR="00921700" w:rsidRPr="0039567C" w:rsidSect="00217426">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907" w:right="992" w:bottom="2552"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A9D4DB" w14:textId="77777777" w:rsidR="003F3649" w:rsidRDefault="003F3649">
      <w:r>
        <w:separator/>
      </w:r>
    </w:p>
  </w:endnote>
  <w:endnote w:type="continuationSeparator" w:id="0">
    <w:p w14:paraId="7553175E" w14:textId="77777777" w:rsidR="003F3649" w:rsidRDefault="003F3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altName w:val="Calibr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82C41" w14:textId="77777777" w:rsidR="00520C61" w:rsidRPr="00105D3D" w:rsidRDefault="00520C61" w:rsidP="00105D3D">
    <w:pPr>
      <w:pStyle w:val="Footer-pool"/>
      <w:tabs>
        <w:tab w:val="clear" w:pos="4321"/>
        <w:tab w:val="clear" w:pos="8641"/>
      </w:tabs>
      <w:rPr>
        <w:b w:val="0"/>
        <w:bCs/>
      </w:rPr>
    </w:pPr>
    <w:r w:rsidRPr="00105D3D">
      <w:rPr>
        <w:rStyle w:val="PageNumber"/>
        <w:b/>
        <w:bCs/>
      </w:rPr>
      <w:fldChar w:fldCharType="begin"/>
    </w:r>
    <w:r w:rsidRPr="00105D3D">
      <w:rPr>
        <w:rStyle w:val="PageNumber"/>
        <w:b/>
        <w:bCs/>
      </w:rPr>
      <w:instrText xml:space="preserve"> PAGE </w:instrText>
    </w:r>
    <w:r w:rsidRPr="00105D3D">
      <w:rPr>
        <w:rStyle w:val="PageNumber"/>
        <w:b/>
        <w:bCs/>
      </w:rPr>
      <w:fldChar w:fldCharType="separate"/>
    </w:r>
    <w:r w:rsidRPr="00105D3D">
      <w:rPr>
        <w:rStyle w:val="PageNumber"/>
        <w:b/>
        <w:bCs/>
        <w:noProof/>
      </w:rPr>
      <w:t>2</w:t>
    </w:r>
    <w:r w:rsidRPr="00105D3D">
      <w:rPr>
        <w:rStyle w:val="PageNumbe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029194" w14:textId="77777777" w:rsidR="00520C61" w:rsidRPr="00105D3D" w:rsidRDefault="00520C61" w:rsidP="00105D3D">
    <w:pPr>
      <w:pStyle w:val="Footer-pool"/>
      <w:tabs>
        <w:tab w:val="clear" w:pos="4321"/>
        <w:tab w:val="clear" w:pos="8641"/>
      </w:tabs>
      <w:jc w:val="right"/>
      <w:rPr>
        <w:b w:val="0"/>
        <w:bCs/>
      </w:rPr>
    </w:pPr>
    <w:r w:rsidRPr="00105D3D">
      <w:rPr>
        <w:rStyle w:val="PageNumber"/>
        <w:b/>
        <w:bCs/>
      </w:rPr>
      <w:fldChar w:fldCharType="begin"/>
    </w:r>
    <w:r w:rsidRPr="00105D3D">
      <w:rPr>
        <w:rStyle w:val="PageNumber"/>
        <w:b/>
        <w:bCs/>
      </w:rPr>
      <w:instrText xml:space="preserve"> PAGE </w:instrText>
    </w:r>
    <w:r w:rsidRPr="00105D3D">
      <w:rPr>
        <w:rStyle w:val="PageNumber"/>
        <w:b/>
        <w:bCs/>
      </w:rPr>
      <w:fldChar w:fldCharType="separate"/>
    </w:r>
    <w:r w:rsidRPr="00105D3D">
      <w:rPr>
        <w:rStyle w:val="PageNumber"/>
        <w:b/>
        <w:bCs/>
        <w:noProof/>
      </w:rPr>
      <w:t>1</w:t>
    </w:r>
    <w:r w:rsidRPr="00105D3D">
      <w:rPr>
        <w:rStyle w:val="PageNumbe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F811FF" w14:textId="4FFA7EF2" w:rsidR="00520C61" w:rsidRPr="00D04BEC" w:rsidRDefault="00520C61" w:rsidP="00D04BEC">
    <w:pPr>
      <w:pStyle w:val="Footer-pool"/>
      <w:tabs>
        <w:tab w:val="clear" w:pos="4321"/>
        <w:tab w:val="clear" w:pos="8641"/>
      </w:tabs>
      <w:rPr>
        <w:b w:val="0"/>
        <w:bCs/>
        <w:sz w:val="20"/>
      </w:rPr>
    </w:pPr>
    <w:r w:rsidRPr="00D04BEC">
      <w:rPr>
        <w:b w:val="0"/>
        <w:bCs/>
        <w:sz w:val="20"/>
      </w:rPr>
      <w:t>K200257</w:t>
    </w:r>
    <w:r w:rsidR="008F0B73">
      <w:rPr>
        <w:b w:val="0"/>
        <w:bCs/>
        <w:sz w:val="20"/>
      </w:rPr>
      <w:t>6</w:t>
    </w:r>
    <w:r w:rsidRPr="00D04BEC">
      <w:rPr>
        <w:b w:val="0"/>
        <w:bCs/>
        <w:sz w:val="20"/>
      </w:rPr>
      <w:tab/>
    </w:r>
    <w:r w:rsidR="00910478">
      <w:rPr>
        <w:b w:val="0"/>
        <w:bCs/>
        <w:sz w:val="20"/>
      </w:rPr>
      <w:t>30</w:t>
    </w:r>
    <w:r>
      <w:rPr>
        <w:b w:val="0"/>
        <w:bCs/>
        <w:sz w:val="20"/>
      </w:rPr>
      <w:t>12</w:t>
    </w:r>
    <w:r w:rsidRPr="00D04BEC">
      <w:rPr>
        <w:b w:val="0"/>
        <w:bCs/>
        <w:sz w:val="20"/>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B5715A" w14:textId="77777777" w:rsidR="003F3649" w:rsidRPr="0068396B" w:rsidRDefault="003F3649" w:rsidP="0068396B">
      <w:pPr>
        <w:spacing w:before="60"/>
        <w:ind w:left="624"/>
        <w:rPr>
          <w:sz w:val="18"/>
          <w:szCs w:val="18"/>
        </w:rPr>
      </w:pPr>
      <w:r w:rsidRPr="0068396B">
        <w:rPr>
          <w:sz w:val="18"/>
          <w:szCs w:val="18"/>
        </w:rPr>
        <w:separator/>
      </w:r>
    </w:p>
  </w:footnote>
  <w:footnote w:type="continuationSeparator" w:id="0">
    <w:p w14:paraId="00707AEC" w14:textId="77777777" w:rsidR="003F3649" w:rsidRDefault="003F3649">
      <w:r>
        <w:continuationSeparator/>
      </w:r>
    </w:p>
  </w:footnote>
  <w:footnote w:id="1">
    <w:p w14:paraId="68F5A819" w14:textId="1E5707E7" w:rsidR="00910478" w:rsidRPr="00910478" w:rsidRDefault="00910478">
      <w:pPr>
        <w:pStyle w:val="FootnoteText"/>
        <w:rPr>
          <w:noProof/>
        </w:rPr>
      </w:pPr>
      <w:r w:rsidRPr="00910478">
        <w:rPr>
          <w:rStyle w:val="FootnoteReference"/>
          <w:noProof/>
          <w:vertAlign w:val="baseline"/>
        </w:rPr>
        <w:t>*</w:t>
      </w:r>
      <w:r w:rsidRPr="00910478">
        <w:rPr>
          <w:noProof/>
        </w:rPr>
        <w:t xml:space="preserve"> </w:t>
      </w:r>
      <w:r>
        <w:rPr>
          <w:noProof/>
          <w:szCs w:val="18"/>
          <w:lang w:eastAsia="en-KE"/>
        </w:rPr>
        <w:t>Conformément aux décisions prises lors de la réunion du Bureau de l’Assemblée des Nations Unies pour l’environnement tenue le 8 octobre 2020 et lors de la réunion conjointe des Bureaux de l’Assemblée des Nations Unies pour l’environnement et du Comité des représentants permanents tenue le 1</w:t>
      </w:r>
      <w:r>
        <w:rPr>
          <w:noProof/>
          <w:szCs w:val="18"/>
          <w:vertAlign w:val="superscript"/>
          <w:lang w:eastAsia="en-KE"/>
        </w:rPr>
        <w:t>er</w:t>
      </w:r>
      <w:r>
        <w:rPr>
          <w:noProof/>
          <w:szCs w:val="18"/>
          <w:lang w:eastAsia="en-KE"/>
        </w:rPr>
        <w:t xml:space="preserve"> décembre 2020, la cinquième session de l’Assemblée devrait être ajournée le 23 février 2021 et reprendre en présentiel en</w:t>
      </w:r>
      <w:r w:rsidR="008E3B05">
        <w:rPr>
          <w:noProof/>
          <w:szCs w:val="18"/>
          <w:lang w:eastAsia="en-KE"/>
        </w:rPr>
        <w:t> </w:t>
      </w:r>
      <w:r>
        <w:rPr>
          <w:noProof/>
          <w:szCs w:val="18"/>
          <w:lang w:eastAsia="en-KE"/>
        </w:rPr>
        <w:t>février 2022.</w:t>
      </w:r>
    </w:p>
  </w:footnote>
  <w:footnote w:id="2">
    <w:p w14:paraId="1C259BDA" w14:textId="794D3DDC" w:rsidR="006A7710" w:rsidRPr="006A7710" w:rsidRDefault="006A7710">
      <w:pPr>
        <w:pStyle w:val="FootnoteText"/>
        <w:rPr>
          <w:noProof/>
        </w:rPr>
      </w:pPr>
      <w:r w:rsidRPr="006A7710">
        <w:rPr>
          <w:rStyle w:val="FootnoteReference"/>
          <w:noProof/>
          <w:vertAlign w:val="baseline"/>
        </w:rPr>
        <w:t>**</w:t>
      </w:r>
      <w:r>
        <w:rPr>
          <w:noProof/>
        </w:rPr>
        <w:t xml:space="preserve"> </w:t>
      </w:r>
      <w:r w:rsidRPr="00667484">
        <w:rPr>
          <w:rStyle w:val="FootnoteReference"/>
          <w:noProof/>
          <w:sz w:val="18"/>
          <w:vertAlign w:val="baseline"/>
        </w:rPr>
        <w:t>UNEP/EA.</w:t>
      </w:r>
      <w:r w:rsidRPr="00667484">
        <w:rPr>
          <w:noProof/>
          <w:szCs w:val="18"/>
        </w:rPr>
        <w:t>5</w:t>
      </w:r>
      <w:r w:rsidRPr="00667484">
        <w:rPr>
          <w:rStyle w:val="FootnoteReference"/>
          <w:noProof/>
          <w:sz w:val="18"/>
          <w:vertAlign w:val="baseline"/>
        </w:rPr>
        <w:t>/</w:t>
      </w:r>
      <w:r w:rsidRPr="00667484">
        <w:rPr>
          <w:noProof/>
          <w:szCs w:val="18"/>
        </w:rPr>
        <w:t>1</w:t>
      </w:r>
      <w:r>
        <w:rPr>
          <w:noProof/>
          <w:szCs w:val="18"/>
        </w:rPr>
        <w:t>/Rev.1</w:t>
      </w:r>
      <w:r w:rsidRPr="00667484">
        <w:rPr>
          <w:noProof/>
          <w:szCs w:val="18"/>
        </w:rPr>
        <w:t>.</w:t>
      </w:r>
    </w:p>
  </w:footnote>
  <w:footnote w:id="3">
    <w:p w14:paraId="1A25FC9B" w14:textId="4B1F6E4D" w:rsidR="00520C61" w:rsidRPr="00667484" w:rsidRDefault="00520C61" w:rsidP="009A7841">
      <w:pPr>
        <w:pStyle w:val="FootnoteText"/>
        <w:tabs>
          <w:tab w:val="clear" w:pos="1247"/>
          <w:tab w:val="clear" w:pos="1814"/>
          <w:tab w:val="clear" w:pos="2381"/>
          <w:tab w:val="clear" w:pos="2948"/>
          <w:tab w:val="clear" w:pos="3515"/>
          <w:tab w:val="clear" w:pos="4082"/>
          <w:tab w:val="left" w:pos="624"/>
        </w:tabs>
        <w:rPr>
          <w:noProof/>
          <w:szCs w:val="18"/>
        </w:rPr>
      </w:pPr>
      <w:r w:rsidRPr="0068396B">
        <w:rPr>
          <w:rStyle w:val="FootnoteReference"/>
          <w:noProof/>
          <w:sz w:val="18"/>
        </w:rPr>
        <w:footnoteRef/>
      </w:r>
      <w:r w:rsidRPr="00667484">
        <w:rPr>
          <w:noProof/>
          <w:szCs w:val="18"/>
        </w:rPr>
        <w:t xml:space="preserve"> </w:t>
      </w:r>
      <w:r w:rsidR="00BB6F3D" w:rsidRPr="00667484">
        <w:rPr>
          <w:noProof/>
          <w:color w:val="000000"/>
          <w:szCs w:val="18"/>
        </w:rPr>
        <w:t>Voir</w:t>
      </w:r>
      <w:r w:rsidRPr="00667484">
        <w:rPr>
          <w:noProof/>
          <w:color w:val="000000"/>
          <w:szCs w:val="18"/>
        </w:rPr>
        <w:t xml:space="preserve"> </w:t>
      </w:r>
      <w:hyperlink r:id="rId1" w:history="1">
        <w:r w:rsidR="00BB6F3D" w:rsidRPr="00667484">
          <w:rPr>
            <w:rStyle w:val="Hyperlink"/>
            <w:noProof/>
            <w:sz w:val="18"/>
            <w:szCs w:val="18"/>
          </w:rPr>
          <w:t>www.unenvironment.org/events/working-group-meeting/fourth-teleconference-executive-board-special-programme-support</w:t>
        </w:r>
      </w:hyperlink>
      <w:r w:rsidR="00BB6F3D" w:rsidRPr="00667484">
        <w:rPr>
          <w:noProof/>
          <w:color w:val="000000"/>
          <w:szCs w:val="18"/>
        </w:rPr>
        <w:t xml:space="preserve"> </w:t>
      </w:r>
      <w:r w:rsidR="00A653D0" w:rsidRPr="00667484">
        <w:rPr>
          <w:noProof/>
          <w:color w:val="000000"/>
          <w:szCs w:val="18"/>
        </w:rPr>
        <w:t>(</w:t>
      </w:r>
      <w:r w:rsidR="00BB6F3D" w:rsidRPr="00667484">
        <w:rPr>
          <w:noProof/>
          <w:color w:val="000000"/>
          <w:szCs w:val="18"/>
        </w:rPr>
        <w:t>en anglais uniquement</w:t>
      </w:r>
      <w:r w:rsidR="00A653D0" w:rsidRPr="00667484">
        <w:rPr>
          <w:noProof/>
          <w:color w:val="000000"/>
          <w:szCs w:val="18"/>
        </w:rPr>
        <w:t>)</w:t>
      </w:r>
      <w:r w:rsidR="00BB6F3D" w:rsidRPr="00667484">
        <w:rPr>
          <w:noProof/>
          <w:color w:val="000000"/>
          <w:szCs w:val="18"/>
        </w:rPr>
        <w:t>.</w:t>
      </w:r>
    </w:p>
  </w:footnote>
  <w:footnote w:id="4">
    <w:p w14:paraId="51B96E2C" w14:textId="109505C8" w:rsidR="00A653D0" w:rsidRPr="00667484" w:rsidRDefault="00A653D0" w:rsidP="00A653D0">
      <w:pPr>
        <w:pStyle w:val="FootnoteText"/>
        <w:rPr>
          <w:noProof/>
          <w:szCs w:val="18"/>
        </w:rPr>
      </w:pPr>
      <w:r w:rsidRPr="00364549">
        <w:rPr>
          <w:rStyle w:val="FootnoteReference"/>
          <w:noProof/>
          <w:sz w:val="18"/>
        </w:rPr>
        <w:footnoteRef/>
      </w:r>
      <w:r w:rsidRPr="00667484">
        <w:rPr>
          <w:noProof/>
          <w:szCs w:val="18"/>
        </w:rPr>
        <w:t xml:space="preserve"> Disponible sur Internet à l’adresse suivante : </w:t>
      </w:r>
      <w:hyperlink r:id="rId2" w:history="1">
        <w:r w:rsidRPr="00667484">
          <w:rPr>
            <w:rStyle w:val="Hyperlink"/>
            <w:noProof/>
            <w:sz w:val="18"/>
            <w:szCs w:val="18"/>
          </w:rPr>
          <w:t>https://wedocs.unep.org/bitstream/handle/20.500.11822/33807/ARIC.pdf?sequence=1&amp;isAllowed=y</w:t>
        </w:r>
      </w:hyperlink>
      <w:r w:rsidRPr="00667484">
        <w:rPr>
          <w:noProof/>
          <w:szCs w:val="18"/>
        </w:rPr>
        <w:t xml:space="preserve"> (en anglais uniquement)</w:t>
      </w:r>
      <w:r w:rsidR="00297F39">
        <w:rPr>
          <w:noProof/>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43806F" w14:textId="0F81DAE5" w:rsidR="00520C61" w:rsidRPr="000F7979" w:rsidRDefault="00520C61" w:rsidP="000F7979">
    <w:pPr>
      <w:pStyle w:val="Header"/>
    </w:pPr>
    <w:r>
      <w:t>UNEP/EA.5/9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0430B1" w14:textId="03B73FF6" w:rsidR="00520C61" w:rsidRPr="000F7979" w:rsidRDefault="00520C61" w:rsidP="000F7979">
    <w:pPr>
      <w:pStyle w:val="Header"/>
      <w:jc w:val="right"/>
    </w:pPr>
    <w:r>
      <w:t>UNEP/EA.5/9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B69D94" w14:textId="77519303" w:rsidR="00520C61" w:rsidRDefault="00520C61" w:rsidP="00364549">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 w15:restartNumberingAfterBreak="0">
    <w:nsid w:val="4E8757B7"/>
    <w:multiLevelType w:val="hybridMultilevel"/>
    <w:tmpl w:val="915C0A24"/>
    <w:lvl w:ilvl="0" w:tplc="4AD65678">
      <w:start w:val="1"/>
      <w:numFmt w:val="lowerLetter"/>
      <w:lvlText w:val="%1)"/>
      <w:lvlJc w:val="left"/>
      <w:pPr>
        <w:ind w:left="2174" w:hanging="360"/>
      </w:pPr>
      <w:rPr>
        <w:rFonts w:hint="default"/>
      </w:rPr>
    </w:lvl>
    <w:lvl w:ilvl="1" w:tplc="04090019" w:tentative="1">
      <w:start w:val="1"/>
      <w:numFmt w:val="lowerLetter"/>
      <w:lvlText w:val="%2."/>
      <w:lvlJc w:val="left"/>
      <w:pPr>
        <w:ind w:left="2894" w:hanging="360"/>
      </w:pPr>
    </w:lvl>
    <w:lvl w:ilvl="2" w:tplc="0409001B" w:tentative="1">
      <w:start w:val="1"/>
      <w:numFmt w:val="lowerRoman"/>
      <w:lvlText w:val="%3."/>
      <w:lvlJc w:val="right"/>
      <w:pPr>
        <w:ind w:left="3614" w:hanging="180"/>
      </w:pPr>
    </w:lvl>
    <w:lvl w:ilvl="3" w:tplc="0409000F" w:tentative="1">
      <w:start w:val="1"/>
      <w:numFmt w:val="decimal"/>
      <w:lvlText w:val="%4."/>
      <w:lvlJc w:val="left"/>
      <w:pPr>
        <w:ind w:left="4334" w:hanging="360"/>
      </w:pPr>
    </w:lvl>
    <w:lvl w:ilvl="4" w:tplc="04090019" w:tentative="1">
      <w:start w:val="1"/>
      <w:numFmt w:val="lowerLetter"/>
      <w:lvlText w:val="%5."/>
      <w:lvlJc w:val="left"/>
      <w:pPr>
        <w:ind w:left="5054" w:hanging="360"/>
      </w:pPr>
    </w:lvl>
    <w:lvl w:ilvl="5" w:tplc="0409001B" w:tentative="1">
      <w:start w:val="1"/>
      <w:numFmt w:val="lowerRoman"/>
      <w:lvlText w:val="%6."/>
      <w:lvlJc w:val="right"/>
      <w:pPr>
        <w:ind w:left="5774" w:hanging="180"/>
      </w:pPr>
    </w:lvl>
    <w:lvl w:ilvl="6" w:tplc="0409000F" w:tentative="1">
      <w:start w:val="1"/>
      <w:numFmt w:val="decimal"/>
      <w:lvlText w:val="%7."/>
      <w:lvlJc w:val="left"/>
      <w:pPr>
        <w:ind w:left="6494" w:hanging="360"/>
      </w:pPr>
    </w:lvl>
    <w:lvl w:ilvl="7" w:tplc="04090019" w:tentative="1">
      <w:start w:val="1"/>
      <w:numFmt w:val="lowerLetter"/>
      <w:lvlText w:val="%8."/>
      <w:lvlJc w:val="left"/>
      <w:pPr>
        <w:ind w:left="7214" w:hanging="360"/>
      </w:pPr>
    </w:lvl>
    <w:lvl w:ilvl="8" w:tplc="0409001B" w:tentative="1">
      <w:start w:val="1"/>
      <w:numFmt w:val="lowerRoman"/>
      <w:lvlText w:val="%9."/>
      <w:lvlJc w:val="right"/>
      <w:pPr>
        <w:ind w:left="7934" w:hanging="180"/>
      </w:pPr>
    </w:lvl>
  </w:abstractNum>
  <w:abstractNum w:abstractNumId="3" w15:restartNumberingAfterBreak="0">
    <w:nsid w:val="52A66A9D"/>
    <w:multiLevelType w:val="multilevel"/>
    <w:tmpl w:val="C6CE57F6"/>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 w15:restartNumberingAfterBreak="0">
    <w:nsid w:val="62291BF8"/>
    <w:multiLevelType w:val="multilevel"/>
    <w:tmpl w:val="F4ACF36E"/>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5" w15:restartNumberingAfterBreak="0">
    <w:nsid w:val="75394B42"/>
    <w:multiLevelType w:val="hybridMultilevel"/>
    <w:tmpl w:val="49D60220"/>
    <w:lvl w:ilvl="0" w:tplc="9D0C40A4">
      <w:start w:val="1"/>
      <w:numFmt w:val="decimal"/>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num w:numId="1">
    <w:abstractNumId w:val="0"/>
  </w:num>
  <w:num w:numId="2">
    <w:abstractNumId w:val="1"/>
  </w:num>
  <w:num w:numId="3">
    <w:abstractNumId w:val="3"/>
  </w:num>
  <w:num w:numId="4">
    <w:abstractNumId w:val="3"/>
  </w:num>
  <w:num w:numId="5">
    <w:abstractNumId w:val="5"/>
  </w:num>
  <w:num w:numId="6">
    <w:abstractNumId w:val="3"/>
  </w:num>
  <w:num w:numId="7">
    <w:abstractNumId w:val="3"/>
  </w:num>
  <w:num w:numId="8">
    <w:abstractNumId w:val="3"/>
    <w:lvlOverride w:ilvl="0">
      <w:startOverride w:val="1"/>
    </w:lvlOverride>
    <w:lvlOverride w:ilvl="1">
      <w:startOverride w:val="2"/>
    </w:lvlOverride>
  </w:num>
  <w:num w:numId="9">
    <w:abstractNumId w:val="2"/>
  </w:num>
  <w:num w:numId="10">
    <w:abstractNumId w:val="3"/>
    <w:lvlOverride w:ilvl="0">
      <w:startOverride w:val="1"/>
    </w:lvlOverride>
    <w:lvlOverride w:ilvl="1">
      <w:startOverride w:val="5"/>
    </w:lvlOverride>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4"/>
  </w:num>
  <w:num w:numId="32">
    <w:abstractNumId w:val="3"/>
    <w:lvlOverride w:ilvl="0">
      <w:startOverride w:val="2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fr-CH"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comments="0" w:insDel="0" w:formatting="0"/>
  <w:defaultTabStop w:val="624"/>
  <w:hyphenationZone w:val="425"/>
  <w:evenAndOddHeaders/>
  <w:noPunctuationKerning/>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QyMDaztDQyMDAyNDdU0lEKTi0uzszPAykwqgUAID6p7ywAAAA="/>
  </w:docVars>
  <w:rsids>
    <w:rsidRoot w:val="00921700"/>
    <w:rsid w:val="00000F82"/>
    <w:rsid w:val="0000101A"/>
    <w:rsid w:val="000014B2"/>
    <w:rsid w:val="000107C8"/>
    <w:rsid w:val="00014799"/>
    <w:rsid w:val="000149E6"/>
    <w:rsid w:val="00015049"/>
    <w:rsid w:val="0001593E"/>
    <w:rsid w:val="00015D36"/>
    <w:rsid w:val="000179D8"/>
    <w:rsid w:val="000247B0"/>
    <w:rsid w:val="00026480"/>
    <w:rsid w:val="00026997"/>
    <w:rsid w:val="00030551"/>
    <w:rsid w:val="00033E0B"/>
    <w:rsid w:val="00035EDE"/>
    <w:rsid w:val="000425FA"/>
    <w:rsid w:val="0004517C"/>
    <w:rsid w:val="0004684E"/>
    <w:rsid w:val="00047124"/>
    <w:rsid w:val="000509B4"/>
    <w:rsid w:val="00057774"/>
    <w:rsid w:val="0006035B"/>
    <w:rsid w:val="00060E49"/>
    <w:rsid w:val="00061099"/>
    <w:rsid w:val="00066658"/>
    <w:rsid w:val="000672B4"/>
    <w:rsid w:val="00071739"/>
    <w:rsid w:val="00071886"/>
    <w:rsid w:val="00071C1D"/>
    <w:rsid w:val="000733A7"/>
    <w:rsid w:val="00073B95"/>
    <w:rsid w:val="000742BC"/>
    <w:rsid w:val="00074445"/>
    <w:rsid w:val="00082A0C"/>
    <w:rsid w:val="00082D3D"/>
    <w:rsid w:val="00082FE7"/>
    <w:rsid w:val="00083504"/>
    <w:rsid w:val="00085F23"/>
    <w:rsid w:val="000900A1"/>
    <w:rsid w:val="0009194E"/>
    <w:rsid w:val="00093A02"/>
    <w:rsid w:val="00095DAC"/>
    <w:rsid w:val="0009640C"/>
    <w:rsid w:val="000B1859"/>
    <w:rsid w:val="000B22A2"/>
    <w:rsid w:val="000B40F8"/>
    <w:rsid w:val="000B7C28"/>
    <w:rsid w:val="000B7F35"/>
    <w:rsid w:val="000C0BEE"/>
    <w:rsid w:val="000C2A52"/>
    <w:rsid w:val="000C3ACB"/>
    <w:rsid w:val="000C41A7"/>
    <w:rsid w:val="000C7235"/>
    <w:rsid w:val="000C74EB"/>
    <w:rsid w:val="000D0D8F"/>
    <w:rsid w:val="000D254E"/>
    <w:rsid w:val="000D33C0"/>
    <w:rsid w:val="000D5547"/>
    <w:rsid w:val="000D6941"/>
    <w:rsid w:val="000D7949"/>
    <w:rsid w:val="000E407B"/>
    <w:rsid w:val="000F0869"/>
    <w:rsid w:val="000F0A05"/>
    <w:rsid w:val="000F2590"/>
    <w:rsid w:val="000F3719"/>
    <w:rsid w:val="000F6244"/>
    <w:rsid w:val="000F6D0D"/>
    <w:rsid w:val="000F7979"/>
    <w:rsid w:val="001022CD"/>
    <w:rsid w:val="00103B77"/>
    <w:rsid w:val="00103ECF"/>
    <w:rsid w:val="001051BB"/>
    <w:rsid w:val="001054C5"/>
    <w:rsid w:val="00105D3D"/>
    <w:rsid w:val="00111FDD"/>
    <w:rsid w:val="00112D12"/>
    <w:rsid w:val="00116F56"/>
    <w:rsid w:val="00117CA3"/>
    <w:rsid w:val="001202E3"/>
    <w:rsid w:val="00122CEF"/>
    <w:rsid w:val="00123699"/>
    <w:rsid w:val="00123A49"/>
    <w:rsid w:val="001243CA"/>
    <w:rsid w:val="001251F8"/>
    <w:rsid w:val="0012593B"/>
    <w:rsid w:val="00126131"/>
    <w:rsid w:val="00126866"/>
    <w:rsid w:val="0013059D"/>
    <w:rsid w:val="00134D12"/>
    <w:rsid w:val="00137156"/>
    <w:rsid w:val="0014080C"/>
    <w:rsid w:val="00141A55"/>
    <w:rsid w:val="00143401"/>
    <w:rsid w:val="001446A3"/>
    <w:rsid w:val="0014716C"/>
    <w:rsid w:val="00150C32"/>
    <w:rsid w:val="00155395"/>
    <w:rsid w:val="00160D74"/>
    <w:rsid w:val="00164141"/>
    <w:rsid w:val="00167D02"/>
    <w:rsid w:val="0017005A"/>
    <w:rsid w:val="001740D9"/>
    <w:rsid w:val="001740E2"/>
    <w:rsid w:val="00175CE7"/>
    <w:rsid w:val="00177A63"/>
    <w:rsid w:val="00177E9B"/>
    <w:rsid w:val="00181517"/>
    <w:rsid w:val="001818A8"/>
    <w:rsid w:val="00181EC8"/>
    <w:rsid w:val="001821CB"/>
    <w:rsid w:val="001833AC"/>
    <w:rsid w:val="00184349"/>
    <w:rsid w:val="00187259"/>
    <w:rsid w:val="00190605"/>
    <w:rsid w:val="00191B4E"/>
    <w:rsid w:val="00193D48"/>
    <w:rsid w:val="001952EC"/>
    <w:rsid w:val="00195F33"/>
    <w:rsid w:val="001A506D"/>
    <w:rsid w:val="001A5D51"/>
    <w:rsid w:val="001B15F7"/>
    <w:rsid w:val="001B1617"/>
    <w:rsid w:val="001B1764"/>
    <w:rsid w:val="001B2F06"/>
    <w:rsid w:val="001B330E"/>
    <w:rsid w:val="001B461E"/>
    <w:rsid w:val="001B504B"/>
    <w:rsid w:val="001B66F1"/>
    <w:rsid w:val="001B69A9"/>
    <w:rsid w:val="001C07AC"/>
    <w:rsid w:val="001C4D20"/>
    <w:rsid w:val="001C70B3"/>
    <w:rsid w:val="001D187E"/>
    <w:rsid w:val="001D3874"/>
    <w:rsid w:val="001D7E75"/>
    <w:rsid w:val="001E0A41"/>
    <w:rsid w:val="001E1B39"/>
    <w:rsid w:val="001E2F7D"/>
    <w:rsid w:val="001E3F37"/>
    <w:rsid w:val="001E4BB7"/>
    <w:rsid w:val="001E56D2"/>
    <w:rsid w:val="001E6DDF"/>
    <w:rsid w:val="001E7D56"/>
    <w:rsid w:val="001F3E70"/>
    <w:rsid w:val="001F402D"/>
    <w:rsid w:val="001F4795"/>
    <w:rsid w:val="001F580A"/>
    <w:rsid w:val="001F75DE"/>
    <w:rsid w:val="001F7740"/>
    <w:rsid w:val="001F7820"/>
    <w:rsid w:val="00200D58"/>
    <w:rsid w:val="002013BE"/>
    <w:rsid w:val="002063A4"/>
    <w:rsid w:val="00207409"/>
    <w:rsid w:val="00210FD3"/>
    <w:rsid w:val="0021145B"/>
    <w:rsid w:val="00214E3C"/>
    <w:rsid w:val="002157CE"/>
    <w:rsid w:val="00215A89"/>
    <w:rsid w:val="0021615B"/>
    <w:rsid w:val="00217426"/>
    <w:rsid w:val="0022073E"/>
    <w:rsid w:val="00224ACF"/>
    <w:rsid w:val="00227746"/>
    <w:rsid w:val="00234691"/>
    <w:rsid w:val="00236B93"/>
    <w:rsid w:val="00243D36"/>
    <w:rsid w:val="00247707"/>
    <w:rsid w:val="00254579"/>
    <w:rsid w:val="002553D5"/>
    <w:rsid w:val="00255C62"/>
    <w:rsid w:val="0025788B"/>
    <w:rsid w:val="0026018E"/>
    <w:rsid w:val="00272EB8"/>
    <w:rsid w:val="00273199"/>
    <w:rsid w:val="002736D0"/>
    <w:rsid w:val="002743CF"/>
    <w:rsid w:val="00276A5D"/>
    <w:rsid w:val="00282CC4"/>
    <w:rsid w:val="00286740"/>
    <w:rsid w:val="00290118"/>
    <w:rsid w:val="002929D8"/>
    <w:rsid w:val="002939CC"/>
    <w:rsid w:val="00297F39"/>
    <w:rsid w:val="002A114A"/>
    <w:rsid w:val="002A237D"/>
    <w:rsid w:val="002A2795"/>
    <w:rsid w:val="002A2DC8"/>
    <w:rsid w:val="002A3328"/>
    <w:rsid w:val="002A3D56"/>
    <w:rsid w:val="002A4C53"/>
    <w:rsid w:val="002A5662"/>
    <w:rsid w:val="002A62CC"/>
    <w:rsid w:val="002A709F"/>
    <w:rsid w:val="002B0672"/>
    <w:rsid w:val="002B0F61"/>
    <w:rsid w:val="002B1C3C"/>
    <w:rsid w:val="002B247F"/>
    <w:rsid w:val="002B7000"/>
    <w:rsid w:val="002B74A9"/>
    <w:rsid w:val="002C145D"/>
    <w:rsid w:val="002C1A2D"/>
    <w:rsid w:val="002C1BF0"/>
    <w:rsid w:val="002C23CA"/>
    <w:rsid w:val="002C2C3E"/>
    <w:rsid w:val="002C317C"/>
    <w:rsid w:val="002C43C9"/>
    <w:rsid w:val="002C5144"/>
    <w:rsid w:val="002C533E"/>
    <w:rsid w:val="002C7B54"/>
    <w:rsid w:val="002D027F"/>
    <w:rsid w:val="002D28EE"/>
    <w:rsid w:val="002D3C4B"/>
    <w:rsid w:val="002D7A85"/>
    <w:rsid w:val="002D7B60"/>
    <w:rsid w:val="002E015E"/>
    <w:rsid w:val="002E32F7"/>
    <w:rsid w:val="002E6068"/>
    <w:rsid w:val="002E65D9"/>
    <w:rsid w:val="002F0FA7"/>
    <w:rsid w:val="002F4761"/>
    <w:rsid w:val="002F5C79"/>
    <w:rsid w:val="002F688F"/>
    <w:rsid w:val="00300002"/>
    <w:rsid w:val="00300EA1"/>
    <w:rsid w:val="003019E2"/>
    <w:rsid w:val="003036AD"/>
    <w:rsid w:val="00303706"/>
    <w:rsid w:val="003079C9"/>
    <w:rsid w:val="00312E68"/>
    <w:rsid w:val="0031400F"/>
    <w:rsid w:val="0031413F"/>
    <w:rsid w:val="003148BB"/>
    <w:rsid w:val="00315D35"/>
    <w:rsid w:val="00315ECC"/>
    <w:rsid w:val="00317976"/>
    <w:rsid w:val="00322C79"/>
    <w:rsid w:val="00325E8F"/>
    <w:rsid w:val="00330068"/>
    <w:rsid w:val="003306B2"/>
    <w:rsid w:val="00332A3E"/>
    <w:rsid w:val="00332B70"/>
    <w:rsid w:val="00333FC6"/>
    <w:rsid w:val="00335B76"/>
    <w:rsid w:val="003415DD"/>
    <w:rsid w:val="00342E7D"/>
    <w:rsid w:val="00343786"/>
    <w:rsid w:val="0034408D"/>
    <w:rsid w:val="00344A92"/>
    <w:rsid w:val="00345344"/>
    <w:rsid w:val="0035197A"/>
    <w:rsid w:val="003523B8"/>
    <w:rsid w:val="0035270D"/>
    <w:rsid w:val="00355EA9"/>
    <w:rsid w:val="00356244"/>
    <w:rsid w:val="00356628"/>
    <w:rsid w:val="00357243"/>
    <w:rsid w:val="003578DE"/>
    <w:rsid w:val="00361B18"/>
    <w:rsid w:val="00364549"/>
    <w:rsid w:val="003658FC"/>
    <w:rsid w:val="00373BB1"/>
    <w:rsid w:val="00386E46"/>
    <w:rsid w:val="00393E6B"/>
    <w:rsid w:val="00394A8D"/>
    <w:rsid w:val="00394E71"/>
    <w:rsid w:val="0039567C"/>
    <w:rsid w:val="00396257"/>
    <w:rsid w:val="0039673C"/>
    <w:rsid w:val="00397B01"/>
    <w:rsid w:val="00397E1C"/>
    <w:rsid w:val="00397EB8"/>
    <w:rsid w:val="003A2005"/>
    <w:rsid w:val="003A2EEA"/>
    <w:rsid w:val="003A35D7"/>
    <w:rsid w:val="003A426A"/>
    <w:rsid w:val="003A4C1E"/>
    <w:rsid w:val="003A4FD0"/>
    <w:rsid w:val="003A69D1"/>
    <w:rsid w:val="003A7705"/>
    <w:rsid w:val="003A77F1"/>
    <w:rsid w:val="003B1545"/>
    <w:rsid w:val="003B25B4"/>
    <w:rsid w:val="003B7655"/>
    <w:rsid w:val="003C409D"/>
    <w:rsid w:val="003C4E29"/>
    <w:rsid w:val="003C5471"/>
    <w:rsid w:val="003C56BE"/>
    <w:rsid w:val="003C5BA6"/>
    <w:rsid w:val="003D2B9F"/>
    <w:rsid w:val="003D4069"/>
    <w:rsid w:val="003D579E"/>
    <w:rsid w:val="003E221D"/>
    <w:rsid w:val="003E3E75"/>
    <w:rsid w:val="003E4620"/>
    <w:rsid w:val="003E795B"/>
    <w:rsid w:val="003F0E85"/>
    <w:rsid w:val="003F3649"/>
    <w:rsid w:val="003F41F6"/>
    <w:rsid w:val="003F7B9A"/>
    <w:rsid w:val="00400AB8"/>
    <w:rsid w:val="00400D79"/>
    <w:rsid w:val="00407936"/>
    <w:rsid w:val="00410C55"/>
    <w:rsid w:val="0041284F"/>
    <w:rsid w:val="00412E3E"/>
    <w:rsid w:val="00414F2C"/>
    <w:rsid w:val="00416854"/>
    <w:rsid w:val="00416C4B"/>
    <w:rsid w:val="0041763A"/>
    <w:rsid w:val="00417725"/>
    <w:rsid w:val="00417BA3"/>
    <w:rsid w:val="00421D12"/>
    <w:rsid w:val="00426334"/>
    <w:rsid w:val="00426829"/>
    <w:rsid w:val="00430C75"/>
    <w:rsid w:val="00432F73"/>
    <w:rsid w:val="00434517"/>
    <w:rsid w:val="00435981"/>
    <w:rsid w:val="00435B18"/>
    <w:rsid w:val="00436FFC"/>
    <w:rsid w:val="00437F26"/>
    <w:rsid w:val="004422C8"/>
    <w:rsid w:val="00444097"/>
    <w:rsid w:val="00445487"/>
    <w:rsid w:val="00451C45"/>
    <w:rsid w:val="0045348B"/>
    <w:rsid w:val="00454769"/>
    <w:rsid w:val="004549A9"/>
    <w:rsid w:val="00455461"/>
    <w:rsid w:val="004577A3"/>
    <w:rsid w:val="00457D1D"/>
    <w:rsid w:val="00460096"/>
    <w:rsid w:val="004613F3"/>
    <w:rsid w:val="0046460D"/>
    <w:rsid w:val="00466991"/>
    <w:rsid w:val="00466FCC"/>
    <w:rsid w:val="0047064C"/>
    <w:rsid w:val="0047099C"/>
    <w:rsid w:val="004727A4"/>
    <w:rsid w:val="00486BEF"/>
    <w:rsid w:val="00490DEA"/>
    <w:rsid w:val="00492BA4"/>
    <w:rsid w:val="00493C15"/>
    <w:rsid w:val="004952D2"/>
    <w:rsid w:val="004A17B4"/>
    <w:rsid w:val="004A3E66"/>
    <w:rsid w:val="004A42E1"/>
    <w:rsid w:val="004A635A"/>
    <w:rsid w:val="004B133B"/>
    <w:rsid w:val="004B162C"/>
    <w:rsid w:val="004B2505"/>
    <w:rsid w:val="004B376D"/>
    <w:rsid w:val="004B6B63"/>
    <w:rsid w:val="004B6BC8"/>
    <w:rsid w:val="004B7C75"/>
    <w:rsid w:val="004C16F8"/>
    <w:rsid w:val="004C2E43"/>
    <w:rsid w:val="004C3C4B"/>
    <w:rsid w:val="004C3DBE"/>
    <w:rsid w:val="004C5C96"/>
    <w:rsid w:val="004C6281"/>
    <w:rsid w:val="004C7BE2"/>
    <w:rsid w:val="004C7DBA"/>
    <w:rsid w:val="004D06A4"/>
    <w:rsid w:val="004D231C"/>
    <w:rsid w:val="004D375A"/>
    <w:rsid w:val="004D5680"/>
    <w:rsid w:val="004E12B5"/>
    <w:rsid w:val="004E4854"/>
    <w:rsid w:val="004E7D3B"/>
    <w:rsid w:val="004F06AA"/>
    <w:rsid w:val="004F1A81"/>
    <w:rsid w:val="004F2C5A"/>
    <w:rsid w:val="004F4927"/>
    <w:rsid w:val="004F537D"/>
    <w:rsid w:val="004F7DA2"/>
    <w:rsid w:val="005005B4"/>
    <w:rsid w:val="005013C5"/>
    <w:rsid w:val="00502BCF"/>
    <w:rsid w:val="00512EC6"/>
    <w:rsid w:val="0051588E"/>
    <w:rsid w:val="00520C61"/>
    <w:rsid w:val="005218D9"/>
    <w:rsid w:val="005222A8"/>
    <w:rsid w:val="00523699"/>
    <w:rsid w:val="005243DB"/>
    <w:rsid w:val="00525802"/>
    <w:rsid w:val="00525A1C"/>
    <w:rsid w:val="0052613D"/>
    <w:rsid w:val="005313F1"/>
    <w:rsid w:val="00531E5C"/>
    <w:rsid w:val="00533846"/>
    <w:rsid w:val="00534D52"/>
    <w:rsid w:val="00536186"/>
    <w:rsid w:val="00543702"/>
    <w:rsid w:val="00544CBB"/>
    <w:rsid w:val="0054579A"/>
    <w:rsid w:val="00546309"/>
    <w:rsid w:val="00546571"/>
    <w:rsid w:val="00546C08"/>
    <w:rsid w:val="005476CA"/>
    <w:rsid w:val="005619B3"/>
    <w:rsid w:val="00562453"/>
    <w:rsid w:val="0057315F"/>
    <w:rsid w:val="00576104"/>
    <w:rsid w:val="0057695C"/>
    <w:rsid w:val="0058489D"/>
    <w:rsid w:val="00584DF1"/>
    <w:rsid w:val="00590E09"/>
    <w:rsid w:val="005924C5"/>
    <w:rsid w:val="005957E8"/>
    <w:rsid w:val="005A2ADE"/>
    <w:rsid w:val="005A46A1"/>
    <w:rsid w:val="005A4E21"/>
    <w:rsid w:val="005B16D5"/>
    <w:rsid w:val="005B2417"/>
    <w:rsid w:val="005B2A5B"/>
    <w:rsid w:val="005B6EFF"/>
    <w:rsid w:val="005C0238"/>
    <w:rsid w:val="005C17EF"/>
    <w:rsid w:val="005C2790"/>
    <w:rsid w:val="005C67C8"/>
    <w:rsid w:val="005C7761"/>
    <w:rsid w:val="005D0249"/>
    <w:rsid w:val="005D08AC"/>
    <w:rsid w:val="005D2139"/>
    <w:rsid w:val="005D45FF"/>
    <w:rsid w:val="005D6778"/>
    <w:rsid w:val="005D6BDC"/>
    <w:rsid w:val="005D6E8C"/>
    <w:rsid w:val="005D7785"/>
    <w:rsid w:val="005E0BF1"/>
    <w:rsid w:val="005E5924"/>
    <w:rsid w:val="005E6FE8"/>
    <w:rsid w:val="005E783F"/>
    <w:rsid w:val="005E7C62"/>
    <w:rsid w:val="005F0957"/>
    <w:rsid w:val="005F100C"/>
    <w:rsid w:val="005F5854"/>
    <w:rsid w:val="005F65BE"/>
    <w:rsid w:val="005F68DA"/>
    <w:rsid w:val="005F73AE"/>
    <w:rsid w:val="006000BD"/>
    <w:rsid w:val="00600EFF"/>
    <w:rsid w:val="00602451"/>
    <w:rsid w:val="00604C94"/>
    <w:rsid w:val="006052D2"/>
    <w:rsid w:val="0060773B"/>
    <w:rsid w:val="0061021C"/>
    <w:rsid w:val="00611BAD"/>
    <w:rsid w:val="00612C6D"/>
    <w:rsid w:val="006157B5"/>
    <w:rsid w:val="00617CE6"/>
    <w:rsid w:val="0062076C"/>
    <w:rsid w:val="00620BE5"/>
    <w:rsid w:val="0062423A"/>
    <w:rsid w:val="00626FC6"/>
    <w:rsid w:val="006303B4"/>
    <w:rsid w:val="00633D3D"/>
    <w:rsid w:val="00634106"/>
    <w:rsid w:val="00635A3A"/>
    <w:rsid w:val="00637235"/>
    <w:rsid w:val="006402E9"/>
    <w:rsid w:val="00640B8A"/>
    <w:rsid w:val="00640BDD"/>
    <w:rsid w:val="00641703"/>
    <w:rsid w:val="0064189B"/>
    <w:rsid w:val="00643074"/>
    <w:rsid w:val="006431A6"/>
    <w:rsid w:val="006459F6"/>
    <w:rsid w:val="006501AD"/>
    <w:rsid w:val="0065020F"/>
    <w:rsid w:val="0065188F"/>
    <w:rsid w:val="00651BFA"/>
    <w:rsid w:val="00652EB1"/>
    <w:rsid w:val="00654475"/>
    <w:rsid w:val="00654BE1"/>
    <w:rsid w:val="00662180"/>
    <w:rsid w:val="00665A4B"/>
    <w:rsid w:val="00667484"/>
    <w:rsid w:val="00671564"/>
    <w:rsid w:val="00671725"/>
    <w:rsid w:val="00671DCC"/>
    <w:rsid w:val="00673CD6"/>
    <w:rsid w:val="00674905"/>
    <w:rsid w:val="00680158"/>
    <w:rsid w:val="00680699"/>
    <w:rsid w:val="0068211E"/>
    <w:rsid w:val="006828CA"/>
    <w:rsid w:val="006834A2"/>
    <w:rsid w:val="0068396B"/>
    <w:rsid w:val="0069257D"/>
    <w:rsid w:val="00692E2A"/>
    <w:rsid w:val="00693A10"/>
    <w:rsid w:val="006A0A74"/>
    <w:rsid w:val="006A14E5"/>
    <w:rsid w:val="006A1FE1"/>
    <w:rsid w:val="006A567A"/>
    <w:rsid w:val="006A7502"/>
    <w:rsid w:val="006A76F2"/>
    <w:rsid w:val="006A7710"/>
    <w:rsid w:val="006B00F5"/>
    <w:rsid w:val="006B06F6"/>
    <w:rsid w:val="006B3651"/>
    <w:rsid w:val="006C27EB"/>
    <w:rsid w:val="006C3107"/>
    <w:rsid w:val="006C3640"/>
    <w:rsid w:val="006C4C68"/>
    <w:rsid w:val="006C58E5"/>
    <w:rsid w:val="006C7AAC"/>
    <w:rsid w:val="006C7D72"/>
    <w:rsid w:val="006D06D5"/>
    <w:rsid w:val="006D21F7"/>
    <w:rsid w:val="006D53E5"/>
    <w:rsid w:val="006D663B"/>
    <w:rsid w:val="006D6AAF"/>
    <w:rsid w:val="006D7EFB"/>
    <w:rsid w:val="006E162D"/>
    <w:rsid w:val="006E19A3"/>
    <w:rsid w:val="006E5CB6"/>
    <w:rsid w:val="006E6672"/>
    <w:rsid w:val="006E6722"/>
    <w:rsid w:val="006E6862"/>
    <w:rsid w:val="006E7748"/>
    <w:rsid w:val="006F27BC"/>
    <w:rsid w:val="006F78AA"/>
    <w:rsid w:val="00700A79"/>
    <w:rsid w:val="007027B9"/>
    <w:rsid w:val="00706269"/>
    <w:rsid w:val="007069B9"/>
    <w:rsid w:val="00713D9C"/>
    <w:rsid w:val="00715A5E"/>
    <w:rsid w:val="00715E88"/>
    <w:rsid w:val="00720B15"/>
    <w:rsid w:val="00725CCE"/>
    <w:rsid w:val="00727EC2"/>
    <w:rsid w:val="00730251"/>
    <w:rsid w:val="00734054"/>
    <w:rsid w:val="00734CAA"/>
    <w:rsid w:val="007402A3"/>
    <w:rsid w:val="00742141"/>
    <w:rsid w:val="007467FC"/>
    <w:rsid w:val="0075533C"/>
    <w:rsid w:val="00757581"/>
    <w:rsid w:val="0075791F"/>
    <w:rsid w:val="007611A0"/>
    <w:rsid w:val="0076163D"/>
    <w:rsid w:val="007620C6"/>
    <w:rsid w:val="00764CD8"/>
    <w:rsid w:val="00764DAC"/>
    <w:rsid w:val="00765D63"/>
    <w:rsid w:val="00766503"/>
    <w:rsid w:val="007727C1"/>
    <w:rsid w:val="00777149"/>
    <w:rsid w:val="00777969"/>
    <w:rsid w:val="00783F06"/>
    <w:rsid w:val="0079147C"/>
    <w:rsid w:val="00795856"/>
    <w:rsid w:val="00796D3F"/>
    <w:rsid w:val="00796E7F"/>
    <w:rsid w:val="00797CB7"/>
    <w:rsid w:val="007A1683"/>
    <w:rsid w:val="007A230E"/>
    <w:rsid w:val="007A3055"/>
    <w:rsid w:val="007A5C12"/>
    <w:rsid w:val="007A77A3"/>
    <w:rsid w:val="007A7CB0"/>
    <w:rsid w:val="007B02E1"/>
    <w:rsid w:val="007B079D"/>
    <w:rsid w:val="007B205F"/>
    <w:rsid w:val="007B38D4"/>
    <w:rsid w:val="007B5677"/>
    <w:rsid w:val="007B6497"/>
    <w:rsid w:val="007B68A3"/>
    <w:rsid w:val="007C0C27"/>
    <w:rsid w:val="007C1C3C"/>
    <w:rsid w:val="007C2541"/>
    <w:rsid w:val="007C39D3"/>
    <w:rsid w:val="007C3ACC"/>
    <w:rsid w:val="007C40A9"/>
    <w:rsid w:val="007C64A4"/>
    <w:rsid w:val="007D2A76"/>
    <w:rsid w:val="007D45B7"/>
    <w:rsid w:val="007D63EC"/>
    <w:rsid w:val="007D66A8"/>
    <w:rsid w:val="007D6AF7"/>
    <w:rsid w:val="007E003F"/>
    <w:rsid w:val="007E31C2"/>
    <w:rsid w:val="007E3A26"/>
    <w:rsid w:val="007E77D1"/>
    <w:rsid w:val="007F2228"/>
    <w:rsid w:val="007F46A5"/>
    <w:rsid w:val="007F4A4F"/>
    <w:rsid w:val="007F5CA9"/>
    <w:rsid w:val="00802348"/>
    <w:rsid w:val="00806D3A"/>
    <w:rsid w:val="00807EFB"/>
    <w:rsid w:val="008107E8"/>
    <w:rsid w:val="00815D3E"/>
    <w:rsid w:val="008164F2"/>
    <w:rsid w:val="00816730"/>
    <w:rsid w:val="00817065"/>
    <w:rsid w:val="00821395"/>
    <w:rsid w:val="00822763"/>
    <w:rsid w:val="00824C78"/>
    <w:rsid w:val="00825EDB"/>
    <w:rsid w:val="00825F82"/>
    <w:rsid w:val="008267D4"/>
    <w:rsid w:val="00827528"/>
    <w:rsid w:val="00827C29"/>
    <w:rsid w:val="00830BB0"/>
    <w:rsid w:val="00830E26"/>
    <w:rsid w:val="00834C00"/>
    <w:rsid w:val="00835916"/>
    <w:rsid w:val="0083595D"/>
    <w:rsid w:val="00843576"/>
    <w:rsid w:val="00843B64"/>
    <w:rsid w:val="0084509A"/>
    <w:rsid w:val="0084726E"/>
    <w:rsid w:val="008478FC"/>
    <w:rsid w:val="00851B46"/>
    <w:rsid w:val="0085698B"/>
    <w:rsid w:val="008569E9"/>
    <w:rsid w:val="00861DA6"/>
    <w:rsid w:val="00863054"/>
    <w:rsid w:val="00867BFF"/>
    <w:rsid w:val="00871557"/>
    <w:rsid w:val="00871C53"/>
    <w:rsid w:val="008720FD"/>
    <w:rsid w:val="00876B1B"/>
    <w:rsid w:val="008808D8"/>
    <w:rsid w:val="00882987"/>
    <w:rsid w:val="00882A44"/>
    <w:rsid w:val="008838D3"/>
    <w:rsid w:val="0088480A"/>
    <w:rsid w:val="00886872"/>
    <w:rsid w:val="0088757A"/>
    <w:rsid w:val="008925CE"/>
    <w:rsid w:val="00894389"/>
    <w:rsid w:val="008957DD"/>
    <w:rsid w:val="008967F2"/>
    <w:rsid w:val="008971FB"/>
    <w:rsid w:val="00897D98"/>
    <w:rsid w:val="008A22A6"/>
    <w:rsid w:val="008A25A3"/>
    <w:rsid w:val="008A4B89"/>
    <w:rsid w:val="008A6DF2"/>
    <w:rsid w:val="008A7807"/>
    <w:rsid w:val="008B0FBD"/>
    <w:rsid w:val="008B165E"/>
    <w:rsid w:val="008B4CC9"/>
    <w:rsid w:val="008B4E76"/>
    <w:rsid w:val="008C1728"/>
    <w:rsid w:val="008C1D63"/>
    <w:rsid w:val="008C2907"/>
    <w:rsid w:val="008D0EDE"/>
    <w:rsid w:val="008D4D6C"/>
    <w:rsid w:val="008D75ED"/>
    <w:rsid w:val="008D77CF"/>
    <w:rsid w:val="008D7C99"/>
    <w:rsid w:val="008E0315"/>
    <w:rsid w:val="008E0FCB"/>
    <w:rsid w:val="008E23AB"/>
    <w:rsid w:val="008E3B05"/>
    <w:rsid w:val="008E3CFE"/>
    <w:rsid w:val="008E50AB"/>
    <w:rsid w:val="008F0B73"/>
    <w:rsid w:val="008F1CA5"/>
    <w:rsid w:val="009004D6"/>
    <w:rsid w:val="00905CD0"/>
    <w:rsid w:val="009062C4"/>
    <w:rsid w:val="0090764C"/>
    <w:rsid w:val="00907B30"/>
    <w:rsid w:val="0091019F"/>
    <w:rsid w:val="00910478"/>
    <w:rsid w:val="00915074"/>
    <w:rsid w:val="00915271"/>
    <w:rsid w:val="00921700"/>
    <w:rsid w:val="0092178C"/>
    <w:rsid w:val="00924969"/>
    <w:rsid w:val="00930B88"/>
    <w:rsid w:val="00933FA5"/>
    <w:rsid w:val="00934D41"/>
    <w:rsid w:val="0093576F"/>
    <w:rsid w:val="009357F1"/>
    <w:rsid w:val="00940DCC"/>
    <w:rsid w:val="0094179A"/>
    <w:rsid w:val="0094459E"/>
    <w:rsid w:val="00944DBC"/>
    <w:rsid w:val="00950977"/>
    <w:rsid w:val="00951A7B"/>
    <w:rsid w:val="00952D5A"/>
    <w:rsid w:val="00953C9E"/>
    <w:rsid w:val="009563FC"/>
    <w:rsid w:val="009564A6"/>
    <w:rsid w:val="00956D41"/>
    <w:rsid w:val="00957EB7"/>
    <w:rsid w:val="00957F6D"/>
    <w:rsid w:val="0096428C"/>
    <w:rsid w:val="00967621"/>
    <w:rsid w:val="00967AE4"/>
    <w:rsid w:val="00967E6A"/>
    <w:rsid w:val="00971F7A"/>
    <w:rsid w:val="00977BC8"/>
    <w:rsid w:val="00984663"/>
    <w:rsid w:val="00984EB0"/>
    <w:rsid w:val="00990B57"/>
    <w:rsid w:val="00990C85"/>
    <w:rsid w:val="009938FE"/>
    <w:rsid w:val="009A5E54"/>
    <w:rsid w:val="009A63C7"/>
    <w:rsid w:val="009A65B4"/>
    <w:rsid w:val="009A7841"/>
    <w:rsid w:val="009B4A0F"/>
    <w:rsid w:val="009B52E0"/>
    <w:rsid w:val="009B5A55"/>
    <w:rsid w:val="009C026A"/>
    <w:rsid w:val="009C11D2"/>
    <w:rsid w:val="009C4D4B"/>
    <w:rsid w:val="009C6C70"/>
    <w:rsid w:val="009D08D9"/>
    <w:rsid w:val="009D0B63"/>
    <w:rsid w:val="009D270B"/>
    <w:rsid w:val="009D2F0F"/>
    <w:rsid w:val="009D3D40"/>
    <w:rsid w:val="009D3DBC"/>
    <w:rsid w:val="009D4745"/>
    <w:rsid w:val="009E307E"/>
    <w:rsid w:val="009E37B4"/>
    <w:rsid w:val="009E56A6"/>
    <w:rsid w:val="009E70C2"/>
    <w:rsid w:val="009E7C10"/>
    <w:rsid w:val="009F1A54"/>
    <w:rsid w:val="009F29B8"/>
    <w:rsid w:val="009F5FFD"/>
    <w:rsid w:val="00A01C80"/>
    <w:rsid w:val="00A045E0"/>
    <w:rsid w:val="00A04AC9"/>
    <w:rsid w:val="00A074FC"/>
    <w:rsid w:val="00A07870"/>
    <w:rsid w:val="00A07F19"/>
    <w:rsid w:val="00A102C2"/>
    <w:rsid w:val="00A1107A"/>
    <w:rsid w:val="00A110CF"/>
    <w:rsid w:val="00A11595"/>
    <w:rsid w:val="00A119EB"/>
    <w:rsid w:val="00A12529"/>
    <w:rsid w:val="00A1348D"/>
    <w:rsid w:val="00A14F55"/>
    <w:rsid w:val="00A22B14"/>
    <w:rsid w:val="00A232EE"/>
    <w:rsid w:val="00A30906"/>
    <w:rsid w:val="00A31A5F"/>
    <w:rsid w:val="00A329C6"/>
    <w:rsid w:val="00A3326D"/>
    <w:rsid w:val="00A349C2"/>
    <w:rsid w:val="00A36F94"/>
    <w:rsid w:val="00A4175F"/>
    <w:rsid w:val="00A44411"/>
    <w:rsid w:val="00A44EB8"/>
    <w:rsid w:val="00A469FA"/>
    <w:rsid w:val="00A46F6B"/>
    <w:rsid w:val="00A50F32"/>
    <w:rsid w:val="00A53BC3"/>
    <w:rsid w:val="00A546A9"/>
    <w:rsid w:val="00A55B01"/>
    <w:rsid w:val="00A56B5B"/>
    <w:rsid w:val="00A603FF"/>
    <w:rsid w:val="00A63040"/>
    <w:rsid w:val="00A637C0"/>
    <w:rsid w:val="00A63E89"/>
    <w:rsid w:val="00A649FB"/>
    <w:rsid w:val="00A653D0"/>
    <w:rsid w:val="00A657DD"/>
    <w:rsid w:val="00A666A6"/>
    <w:rsid w:val="00A66BF6"/>
    <w:rsid w:val="00A675FD"/>
    <w:rsid w:val="00A70A7A"/>
    <w:rsid w:val="00A72437"/>
    <w:rsid w:val="00A734BA"/>
    <w:rsid w:val="00A74F3C"/>
    <w:rsid w:val="00A80611"/>
    <w:rsid w:val="00A84D34"/>
    <w:rsid w:val="00A86426"/>
    <w:rsid w:val="00A871B0"/>
    <w:rsid w:val="00A87E8F"/>
    <w:rsid w:val="00A93992"/>
    <w:rsid w:val="00A93ECB"/>
    <w:rsid w:val="00A9546C"/>
    <w:rsid w:val="00A9593D"/>
    <w:rsid w:val="00A979DC"/>
    <w:rsid w:val="00AA433B"/>
    <w:rsid w:val="00AA6F7F"/>
    <w:rsid w:val="00AA7288"/>
    <w:rsid w:val="00AB266C"/>
    <w:rsid w:val="00AB2D1B"/>
    <w:rsid w:val="00AB483D"/>
    <w:rsid w:val="00AB5340"/>
    <w:rsid w:val="00AC0A89"/>
    <w:rsid w:val="00AC1547"/>
    <w:rsid w:val="00AC6287"/>
    <w:rsid w:val="00AC7C96"/>
    <w:rsid w:val="00AE1383"/>
    <w:rsid w:val="00AE237D"/>
    <w:rsid w:val="00AE502A"/>
    <w:rsid w:val="00AE675A"/>
    <w:rsid w:val="00AF13F6"/>
    <w:rsid w:val="00AF26A5"/>
    <w:rsid w:val="00AF3CD2"/>
    <w:rsid w:val="00AF52F2"/>
    <w:rsid w:val="00AF5521"/>
    <w:rsid w:val="00AF58D9"/>
    <w:rsid w:val="00AF70BE"/>
    <w:rsid w:val="00AF7C07"/>
    <w:rsid w:val="00AF7C8D"/>
    <w:rsid w:val="00B010EA"/>
    <w:rsid w:val="00B01333"/>
    <w:rsid w:val="00B02213"/>
    <w:rsid w:val="00B030DC"/>
    <w:rsid w:val="00B07B63"/>
    <w:rsid w:val="00B142E5"/>
    <w:rsid w:val="00B14442"/>
    <w:rsid w:val="00B15002"/>
    <w:rsid w:val="00B22BBB"/>
    <w:rsid w:val="00B22C93"/>
    <w:rsid w:val="00B27589"/>
    <w:rsid w:val="00B3171D"/>
    <w:rsid w:val="00B324F3"/>
    <w:rsid w:val="00B34517"/>
    <w:rsid w:val="00B405B7"/>
    <w:rsid w:val="00B50B4F"/>
    <w:rsid w:val="00B51BD5"/>
    <w:rsid w:val="00B52222"/>
    <w:rsid w:val="00B52A56"/>
    <w:rsid w:val="00B54FE7"/>
    <w:rsid w:val="00B55454"/>
    <w:rsid w:val="00B56BAF"/>
    <w:rsid w:val="00B605C8"/>
    <w:rsid w:val="00B63223"/>
    <w:rsid w:val="00B66901"/>
    <w:rsid w:val="00B704C4"/>
    <w:rsid w:val="00B71E6D"/>
    <w:rsid w:val="00B72070"/>
    <w:rsid w:val="00B72B58"/>
    <w:rsid w:val="00B73D43"/>
    <w:rsid w:val="00B779E1"/>
    <w:rsid w:val="00B82F9A"/>
    <w:rsid w:val="00B91190"/>
    <w:rsid w:val="00B91655"/>
    <w:rsid w:val="00B91EE1"/>
    <w:rsid w:val="00B94FA5"/>
    <w:rsid w:val="00BA0090"/>
    <w:rsid w:val="00BA1A67"/>
    <w:rsid w:val="00BA26EF"/>
    <w:rsid w:val="00BA4117"/>
    <w:rsid w:val="00BB177E"/>
    <w:rsid w:val="00BB3D02"/>
    <w:rsid w:val="00BB6F3D"/>
    <w:rsid w:val="00BB7E39"/>
    <w:rsid w:val="00BC24C1"/>
    <w:rsid w:val="00BC3712"/>
    <w:rsid w:val="00BC41D7"/>
    <w:rsid w:val="00BC7E4E"/>
    <w:rsid w:val="00BD1692"/>
    <w:rsid w:val="00BD6258"/>
    <w:rsid w:val="00BD7DFA"/>
    <w:rsid w:val="00BE5B5F"/>
    <w:rsid w:val="00BE6144"/>
    <w:rsid w:val="00BF3345"/>
    <w:rsid w:val="00C244ED"/>
    <w:rsid w:val="00C2581C"/>
    <w:rsid w:val="00C26F55"/>
    <w:rsid w:val="00C30A04"/>
    <w:rsid w:val="00C30C63"/>
    <w:rsid w:val="00C357C4"/>
    <w:rsid w:val="00C36B8B"/>
    <w:rsid w:val="00C36B94"/>
    <w:rsid w:val="00C415C1"/>
    <w:rsid w:val="00C41601"/>
    <w:rsid w:val="00C41DB0"/>
    <w:rsid w:val="00C42F5A"/>
    <w:rsid w:val="00C43BFE"/>
    <w:rsid w:val="00C449FA"/>
    <w:rsid w:val="00C47DBF"/>
    <w:rsid w:val="00C5371D"/>
    <w:rsid w:val="00C552FF"/>
    <w:rsid w:val="00C558DA"/>
    <w:rsid w:val="00C55AF3"/>
    <w:rsid w:val="00C57BDA"/>
    <w:rsid w:val="00C63E00"/>
    <w:rsid w:val="00C662E1"/>
    <w:rsid w:val="00C66F25"/>
    <w:rsid w:val="00C71E67"/>
    <w:rsid w:val="00C7588E"/>
    <w:rsid w:val="00C7593E"/>
    <w:rsid w:val="00C760CE"/>
    <w:rsid w:val="00C77CA9"/>
    <w:rsid w:val="00C8378B"/>
    <w:rsid w:val="00C84759"/>
    <w:rsid w:val="00C9068C"/>
    <w:rsid w:val="00C93C2F"/>
    <w:rsid w:val="00C93DC1"/>
    <w:rsid w:val="00C950D8"/>
    <w:rsid w:val="00C97018"/>
    <w:rsid w:val="00C97E0D"/>
    <w:rsid w:val="00CA0402"/>
    <w:rsid w:val="00CA49C6"/>
    <w:rsid w:val="00CA515A"/>
    <w:rsid w:val="00CA5254"/>
    <w:rsid w:val="00CA5D40"/>
    <w:rsid w:val="00CA6C7F"/>
    <w:rsid w:val="00CB05C1"/>
    <w:rsid w:val="00CB1A26"/>
    <w:rsid w:val="00CB4E70"/>
    <w:rsid w:val="00CC0C8D"/>
    <w:rsid w:val="00CC10A6"/>
    <w:rsid w:val="00CC2077"/>
    <w:rsid w:val="00CC2209"/>
    <w:rsid w:val="00CC3891"/>
    <w:rsid w:val="00CC3B70"/>
    <w:rsid w:val="00CC46A8"/>
    <w:rsid w:val="00CD0248"/>
    <w:rsid w:val="00CD1D94"/>
    <w:rsid w:val="00CD278B"/>
    <w:rsid w:val="00CD465D"/>
    <w:rsid w:val="00CD50F4"/>
    <w:rsid w:val="00CD5EB8"/>
    <w:rsid w:val="00CD605D"/>
    <w:rsid w:val="00CD7044"/>
    <w:rsid w:val="00CE0182"/>
    <w:rsid w:val="00CE08B9"/>
    <w:rsid w:val="00CE21A6"/>
    <w:rsid w:val="00CE524C"/>
    <w:rsid w:val="00CE6A1B"/>
    <w:rsid w:val="00CE7FF0"/>
    <w:rsid w:val="00CF06FA"/>
    <w:rsid w:val="00CF141F"/>
    <w:rsid w:val="00CF4777"/>
    <w:rsid w:val="00CF4FF5"/>
    <w:rsid w:val="00CF7D34"/>
    <w:rsid w:val="00D00109"/>
    <w:rsid w:val="00D00515"/>
    <w:rsid w:val="00D04BEC"/>
    <w:rsid w:val="00D067BB"/>
    <w:rsid w:val="00D06CD1"/>
    <w:rsid w:val="00D07071"/>
    <w:rsid w:val="00D109FA"/>
    <w:rsid w:val="00D121D0"/>
    <w:rsid w:val="00D12932"/>
    <w:rsid w:val="00D1352A"/>
    <w:rsid w:val="00D13889"/>
    <w:rsid w:val="00D169AF"/>
    <w:rsid w:val="00D17097"/>
    <w:rsid w:val="00D22179"/>
    <w:rsid w:val="00D25249"/>
    <w:rsid w:val="00D257AC"/>
    <w:rsid w:val="00D25D58"/>
    <w:rsid w:val="00D32976"/>
    <w:rsid w:val="00D34AF7"/>
    <w:rsid w:val="00D44172"/>
    <w:rsid w:val="00D44846"/>
    <w:rsid w:val="00D47AA6"/>
    <w:rsid w:val="00D5064B"/>
    <w:rsid w:val="00D50C52"/>
    <w:rsid w:val="00D56456"/>
    <w:rsid w:val="00D60E32"/>
    <w:rsid w:val="00D619DC"/>
    <w:rsid w:val="00D61AFF"/>
    <w:rsid w:val="00D63B8C"/>
    <w:rsid w:val="00D64A5E"/>
    <w:rsid w:val="00D652D3"/>
    <w:rsid w:val="00D676E5"/>
    <w:rsid w:val="00D739CC"/>
    <w:rsid w:val="00D73B7B"/>
    <w:rsid w:val="00D74911"/>
    <w:rsid w:val="00D76169"/>
    <w:rsid w:val="00D7793A"/>
    <w:rsid w:val="00D80933"/>
    <w:rsid w:val="00D8093D"/>
    <w:rsid w:val="00D8108C"/>
    <w:rsid w:val="00D842AE"/>
    <w:rsid w:val="00D85563"/>
    <w:rsid w:val="00D86F80"/>
    <w:rsid w:val="00D91836"/>
    <w:rsid w:val="00D9211C"/>
    <w:rsid w:val="00D92895"/>
    <w:rsid w:val="00D92DE0"/>
    <w:rsid w:val="00D92FEF"/>
    <w:rsid w:val="00D93A0F"/>
    <w:rsid w:val="00D945EF"/>
    <w:rsid w:val="00D94E7C"/>
    <w:rsid w:val="00D9722B"/>
    <w:rsid w:val="00DA1BCA"/>
    <w:rsid w:val="00DA36E4"/>
    <w:rsid w:val="00DA4861"/>
    <w:rsid w:val="00DA6461"/>
    <w:rsid w:val="00DB0C76"/>
    <w:rsid w:val="00DB0CA5"/>
    <w:rsid w:val="00DC05F2"/>
    <w:rsid w:val="00DC0836"/>
    <w:rsid w:val="00DC0AA0"/>
    <w:rsid w:val="00DC236D"/>
    <w:rsid w:val="00DC3A52"/>
    <w:rsid w:val="00DC46FF"/>
    <w:rsid w:val="00DC5254"/>
    <w:rsid w:val="00DC6E86"/>
    <w:rsid w:val="00DC72EB"/>
    <w:rsid w:val="00DD0AE0"/>
    <w:rsid w:val="00DD1A4F"/>
    <w:rsid w:val="00DD3107"/>
    <w:rsid w:val="00DD4265"/>
    <w:rsid w:val="00DD7C2C"/>
    <w:rsid w:val="00DE573B"/>
    <w:rsid w:val="00DE6EC9"/>
    <w:rsid w:val="00DE7070"/>
    <w:rsid w:val="00DF32C1"/>
    <w:rsid w:val="00E0448D"/>
    <w:rsid w:val="00E06797"/>
    <w:rsid w:val="00E108D2"/>
    <w:rsid w:val="00E1265B"/>
    <w:rsid w:val="00E12846"/>
    <w:rsid w:val="00E1355C"/>
    <w:rsid w:val="00E13B48"/>
    <w:rsid w:val="00E1404F"/>
    <w:rsid w:val="00E21C83"/>
    <w:rsid w:val="00E23394"/>
    <w:rsid w:val="00E23451"/>
    <w:rsid w:val="00E24ADA"/>
    <w:rsid w:val="00E25523"/>
    <w:rsid w:val="00E25928"/>
    <w:rsid w:val="00E272C1"/>
    <w:rsid w:val="00E322DD"/>
    <w:rsid w:val="00E32F59"/>
    <w:rsid w:val="00E36BC9"/>
    <w:rsid w:val="00E3735C"/>
    <w:rsid w:val="00E37432"/>
    <w:rsid w:val="00E4570E"/>
    <w:rsid w:val="00E46D9A"/>
    <w:rsid w:val="00E5036C"/>
    <w:rsid w:val="00E503D4"/>
    <w:rsid w:val="00E51857"/>
    <w:rsid w:val="00E53C10"/>
    <w:rsid w:val="00E5444E"/>
    <w:rsid w:val="00E565FF"/>
    <w:rsid w:val="00E60A83"/>
    <w:rsid w:val="00E624BB"/>
    <w:rsid w:val="00E65388"/>
    <w:rsid w:val="00E65E0E"/>
    <w:rsid w:val="00E66436"/>
    <w:rsid w:val="00E74C65"/>
    <w:rsid w:val="00E76132"/>
    <w:rsid w:val="00E81E26"/>
    <w:rsid w:val="00E85B7D"/>
    <w:rsid w:val="00E9121B"/>
    <w:rsid w:val="00E92040"/>
    <w:rsid w:val="00E93CCF"/>
    <w:rsid w:val="00E94444"/>
    <w:rsid w:val="00E95D84"/>
    <w:rsid w:val="00EA0AE2"/>
    <w:rsid w:val="00EA0EEB"/>
    <w:rsid w:val="00EA29EC"/>
    <w:rsid w:val="00EA2D85"/>
    <w:rsid w:val="00EA36C3"/>
    <w:rsid w:val="00EA39E5"/>
    <w:rsid w:val="00EA3D9F"/>
    <w:rsid w:val="00EA64A5"/>
    <w:rsid w:val="00EB2682"/>
    <w:rsid w:val="00EB3DAA"/>
    <w:rsid w:val="00EB4109"/>
    <w:rsid w:val="00EB66E3"/>
    <w:rsid w:val="00EC0760"/>
    <w:rsid w:val="00EC5A46"/>
    <w:rsid w:val="00EC63E2"/>
    <w:rsid w:val="00ED0A8E"/>
    <w:rsid w:val="00EE0376"/>
    <w:rsid w:val="00EE1391"/>
    <w:rsid w:val="00EE6223"/>
    <w:rsid w:val="00EF18D2"/>
    <w:rsid w:val="00EF19C5"/>
    <w:rsid w:val="00EF22B3"/>
    <w:rsid w:val="00EF25D1"/>
    <w:rsid w:val="00EF27D7"/>
    <w:rsid w:val="00EF3F54"/>
    <w:rsid w:val="00F01E2D"/>
    <w:rsid w:val="00F02C91"/>
    <w:rsid w:val="00F03B69"/>
    <w:rsid w:val="00F05B69"/>
    <w:rsid w:val="00F06AE3"/>
    <w:rsid w:val="00F07A50"/>
    <w:rsid w:val="00F113DA"/>
    <w:rsid w:val="00F20D56"/>
    <w:rsid w:val="00F22CE8"/>
    <w:rsid w:val="00F3232C"/>
    <w:rsid w:val="00F33327"/>
    <w:rsid w:val="00F35169"/>
    <w:rsid w:val="00F35A54"/>
    <w:rsid w:val="00F37DC8"/>
    <w:rsid w:val="00F413A5"/>
    <w:rsid w:val="00F439B3"/>
    <w:rsid w:val="00F445CE"/>
    <w:rsid w:val="00F472A8"/>
    <w:rsid w:val="00F53D06"/>
    <w:rsid w:val="00F57208"/>
    <w:rsid w:val="00F60CA5"/>
    <w:rsid w:val="00F621CA"/>
    <w:rsid w:val="00F63D98"/>
    <w:rsid w:val="00F63E6F"/>
    <w:rsid w:val="00F650C3"/>
    <w:rsid w:val="00F65C72"/>
    <w:rsid w:val="00F65D85"/>
    <w:rsid w:val="00F7655A"/>
    <w:rsid w:val="00F8091E"/>
    <w:rsid w:val="00F8436B"/>
    <w:rsid w:val="00F855F3"/>
    <w:rsid w:val="00F8615C"/>
    <w:rsid w:val="00F909A0"/>
    <w:rsid w:val="00F92969"/>
    <w:rsid w:val="00F92C2C"/>
    <w:rsid w:val="00F969E5"/>
    <w:rsid w:val="00F96E05"/>
    <w:rsid w:val="00FA2AAD"/>
    <w:rsid w:val="00FA33A3"/>
    <w:rsid w:val="00FA3483"/>
    <w:rsid w:val="00FA6BB0"/>
    <w:rsid w:val="00FA7BC3"/>
    <w:rsid w:val="00FB206C"/>
    <w:rsid w:val="00FB4B9F"/>
    <w:rsid w:val="00FC0011"/>
    <w:rsid w:val="00FC100D"/>
    <w:rsid w:val="00FC39AB"/>
    <w:rsid w:val="00FC5DA5"/>
    <w:rsid w:val="00FD334E"/>
    <w:rsid w:val="00FD5860"/>
    <w:rsid w:val="00FD6DA6"/>
    <w:rsid w:val="00FE0667"/>
    <w:rsid w:val="00FE352D"/>
    <w:rsid w:val="00FE39CA"/>
    <w:rsid w:val="00FE40EB"/>
    <w:rsid w:val="00FE451B"/>
    <w:rsid w:val="00FE4D02"/>
    <w:rsid w:val="00FE7D62"/>
    <w:rsid w:val="00FF2A40"/>
    <w:rsid w:val="00FF3819"/>
    <w:rsid w:val="00FF756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E2D1F51"/>
  <w15:chartTrackingRefBased/>
  <w15:docId w15:val="{24CAA289-ADF2-41D6-B00B-9A7807E37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D6941"/>
    <w:pPr>
      <w:tabs>
        <w:tab w:val="left" w:pos="1247"/>
        <w:tab w:val="left" w:pos="1814"/>
        <w:tab w:val="left" w:pos="2381"/>
        <w:tab w:val="left" w:pos="2948"/>
        <w:tab w:val="left" w:pos="3515"/>
      </w:tabs>
    </w:pPr>
    <w:rPr>
      <w:lang w:val="fr-CH"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921700"/>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rsid w:val="00921700"/>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921700"/>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921700"/>
    <w:pPr>
      <w:keepNext/>
      <w:keepLines/>
      <w:tabs>
        <w:tab w:val="right" w:pos="851"/>
      </w:tabs>
      <w:suppressAutoHyphens/>
      <w:spacing w:before="240"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link w:val="NormalpoolChar"/>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enter" w:pos="4536"/>
        <w:tab w:val="right" w:pos="9072"/>
      </w:tabs>
      <w:spacing w:after="120"/>
    </w:pPr>
    <w:rPr>
      <w:b/>
      <w:sz w:val="18"/>
    </w:rPr>
  </w:style>
  <w:style w:type="paragraph" w:customStyle="1" w:styleId="Normal-pool">
    <w:name w:val="Normal-pool"/>
    <w:rsid w:val="00921700"/>
    <w:pPr>
      <w:tabs>
        <w:tab w:val="left" w:pos="624"/>
      </w:tabs>
    </w:pPr>
    <w:rPr>
      <w:lang w:eastAsia="en-US"/>
    </w:rPr>
  </w:style>
  <w:style w:type="character" w:styleId="FootnoteReference">
    <w:name w:val="footnote reference"/>
    <w:aliases w:val="16 Point,Superscript 6 Point,Footnote text,Footnote Text1,Footnote Text2,number,Footnote reference number,Footnote symbol,note TESI,-E Fußnotenzeichen,SUPERS,stylish,ftref,Footnote Reference Superscript,-E Fuﬂnotenzeichen"/>
    <w:basedOn w:val="DefaultParagraphFont"/>
    <w:rsid w:val="000D6941"/>
    <w:rPr>
      <w:rFonts w:ascii="Times New Roman" w:hAnsi="Times New Roman"/>
      <w:color w:val="auto"/>
      <w:sz w:val="20"/>
      <w:szCs w:val="18"/>
      <w:vertAlign w:val="superscript"/>
    </w:rPr>
  </w:style>
  <w:style w:type="paragraph" w:styleId="FootnoteText">
    <w:name w:val="footnote text"/>
    <w:basedOn w:val="Normalpool"/>
    <w:semiHidden/>
    <w:rsid w:val="000D6941"/>
    <w:pPr>
      <w:spacing w:before="20" w:after="40"/>
      <w:ind w:left="1247"/>
    </w:pPr>
    <w:rPr>
      <w:sz w:val="18"/>
    </w:rPr>
  </w:style>
  <w:style w:type="table" w:styleId="TableGrid">
    <w:name w:val="Table Grid"/>
    <w:basedOn w:val="TableNormal"/>
    <w:uiPriority w:val="39"/>
    <w:rsid w:val="00921700"/>
    <w:rPr>
      <w:rFonts w:ascii="Century" w:eastAsia="MS Mincho" w:hAnsi="Century"/>
      <w:kern w:val="2"/>
      <w:sz w:val="21"/>
      <w:szCs w:val="22"/>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A3055"/>
    <w:rPr>
      <w:rFonts w:ascii="Segoe UI" w:hAnsi="Segoe UI" w:cs="Segoe UI"/>
      <w:sz w:val="18"/>
      <w:szCs w:val="18"/>
    </w:rPr>
  </w:style>
  <w:style w:type="character" w:customStyle="1" w:styleId="BalloonTextChar">
    <w:name w:val="Balloon Text Char"/>
    <w:basedOn w:val="DefaultParagraphFont"/>
    <w:link w:val="BalloonText"/>
    <w:rsid w:val="007A3055"/>
    <w:rPr>
      <w:rFonts w:ascii="Segoe UI" w:hAnsi="Segoe UI" w:cs="Segoe UI"/>
      <w:sz w:val="18"/>
      <w:szCs w:val="18"/>
      <w:lang w:val="fr-FR" w:eastAsia="en-US"/>
    </w:rPr>
  </w:style>
  <w:style w:type="paragraph" w:styleId="Revision">
    <w:name w:val="Revision"/>
    <w:hidden/>
    <w:uiPriority w:val="99"/>
    <w:semiHidden/>
    <w:rsid w:val="00CA515A"/>
    <w:rPr>
      <w:lang w:val="fr-FR" w:eastAsia="en-US"/>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semiHidden/>
    <w:rsid w:val="000D6941"/>
    <w:rPr>
      <w:rFonts w:ascii="Times New Roman" w:hAnsi="Times New Roman"/>
      <w:color w:val="auto"/>
      <w:sz w:val="20"/>
      <w:szCs w:val="20"/>
      <w:u w:val="none"/>
      <w:lang w:val="fr-FR"/>
    </w:rPr>
  </w:style>
  <w:style w:type="numbering" w:customStyle="1" w:styleId="Normallist">
    <w:name w:val="Normal_list"/>
    <w:basedOn w:val="NoList"/>
    <w:semiHidden/>
    <w:rsid w:val="003A77F1"/>
    <w:pPr>
      <w:numPr>
        <w:numId w:val="3"/>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921700"/>
    <w:pPr>
      <w:numPr>
        <w:numId w:val="4"/>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character" w:customStyle="1" w:styleId="NormalpoolChar">
    <w:name w:val="Normal_pool Char"/>
    <w:link w:val="Normalpool"/>
    <w:locked/>
    <w:rsid w:val="00634106"/>
    <w:rPr>
      <w:lang w:val="fr-FR" w:eastAsia="en-US"/>
    </w:rPr>
  </w:style>
  <w:style w:type="character" w:styleId="CommentReference">
    <w:name w:val="annotation reference"/>
    <w:basedOn w:val="DefaultParagraphFont"/>
    <w:rsid w:val="00F472A8"/>
    <w:rPr>
      <w:sz w:val="16"/>
      <w:szCs w:val="16"/>
    </w:rPr>
  </w:style>
  <w:style w:type="paragraph" w:styleId="CommentText">
    <w:name w:val="annotation text"/>
    <w:basedOn w:val="Normal"/>
    <w:link w:val="CommentTextChar"/>
    <w:rsid w:val="00F472A8"/>
  </w:style>
  <w:style w:type="character" w:customStyle="1" w:styleId="CommentTextChar">
    <w:name w:val="Comment Text Char"/>
    <w:basedOn w:val="DefaultParagraphFont"/>
    <w:link w:val="CommentText"/>
    <w:rsid w:val="00F472A8"/>
    <w:rPr>
      <w:lang w:val="fr-FR" w:eastAsia="en-US"/>
    </w:rPr>
  </w:style>
  <w:style w:type="paragraph" w:styleId="CommentSubject">
    <w:name w:val="annotation subject"/>
    <w:basedOn w:val="CommentText"/>
    <w:next w:val="CommentText"/>
    <w:link w:val="CommentSubjectChar"/>
    <w:rsid w:val="00F472A8"/>
    <w:rPr>
      <w:b/>
      <w:bCs/>
    </w:rPr>
  </w:style>
  <w:style w:type="character" w:customStyle="1" w:styleId="CommentSubjectChar">
    <w:name w:val="Comment Subject Char"/>
    <w:basedOn w:val="CommentTextChar"/>
    <w:link w:val="CommentSubject"/>
    <w:rsid w:val="00F472A8"/>
    <w:rPr>
      <w:b/>
      <w:bCs/>
      <w:lang w:val="fr-FR" w:eastAsia="en-US"/>
    </w:rPr>
  </w:style>
  <w:style w:type="character" w:styleId="UnresolvedMention">
    <w:name w:val="Unresolved Mention"/>
    <w:basedOn w:val="DefaultParagraphFont"/>
    <w:uiPriority w:val="99"/>
    <w:semiHidden/>
    <w:unhideWhenUsed/>
    <w:rsid w:val="00834C00"/>
    <w:rPr>
      <w:color w:val="605E5C"/>
      <w:shd w:val="clear" w:color="auto" w:fill="E1DFDD"/>
    </w:rPr>
  </w:style>
  <w:style w:type="paragraph" w:customStyle="1" w:styleId="xmsonormal">
    <w:name w:val="x_msonormal"/>
    <w:basedOn w:val="Normal"/>
    <w:rsid w:val="007E77D1"/>
    <w:pPr>
      <w:tabs>
        <w:tab w:val="clear" w:pos="1247"/>
        <w:tab w:val="clear" w:pos="1814"/>
        <w:tab w:val="clear" w:pos="2381"/>
        <w:tab w:val="clear" w:pos="2948"/>
        <w:tab w:val="clear" w:pos="3515"/>
      </w:tabs>
      <w:spacing w:before="100" w:beforeAutospacing="1" w:after="100" w:afterAutospacing="1"/>
    </w:pPr>
    <w:rPr>
      <w:sz w:val="24"/>
      <w:szCs w:val="24"/>
      <w:lang w:val="en-US"/>
    </w:rPr>
  </w:style>
  <w:style w:type="character" w:customStyle="1" w:styleId="NormalnumberChar">
    <w:name w:val="Normal_number Char"/>
    <w:link w:val="Normalnumber"/>
    <w:rsid w:val="002B0F61"/>
    <w:rPr>
      <w:lang w:eastAsia="en-US"/>
    </w:rPr>
  </w:style>
  <w:style w:type="character" w:customStyle="1" w:styleId="preferred">
    <w:name w:val="preferred"/>
    <w:basedOn w:val="DefaultParagraphFont"/>
    <w:rsid w:val="00764D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52178">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948506571">
      <w:bodyDiv w:val="1"/>
      <w:marLeft w:val="0"/>
      <w:marRight w:val="0"/>
      <w:marTop w:val="0"/>
      <w:marBottom w:val="0"/>
      <w:divBdr>
        <w:top w:val="none" w:sz="0" w:space="0" w:color="auto"/>
        <w:left w:val="none" w:sz="0" w:space="0" w:color="auto"/>
        <w:bottom w:val="none" w:sz="0" w:space="0" w:color="auto"/>
        <w:right w:val="none" w:sz="0" w:space="0" w:color="auto"/>
      </w:divBdr>
    </w:div>
    <w:div w:id="987855770">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623148842">
      <w:bodyDiv w:val="1"/>
      <w:marLeft w:val="0"/>
      <w:marRight w:val="0"/>
      <w:marTop w:val="0"/>
      <w:marBottom w:val="0"/>
      <w:divBdr>
        <w:top w:val="none" w:sz="0" w:space="0" w:color="auto"/>
        <w:left w:val="none" w:sz="0" w:space="0" w:color="auto"/>
        <w:bottom w:val="none" w:sz="0" w:space="0" w:color="auto"/>
        <w:right w:val="none" w:sz="0" w:space="0" w:color="auto"/>
      </w:divBdr>
    </w:div>
    <w:div w:id="2020964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wedocs.unep.org/bitstream/handle/20.500.11822/33807/ARIC.pdf?sequence=1&amp;isAllowed=y" TargetMode="External"/><Relationship Id="rId1" Type="http://schemas.openxmlformats.org/officeDocument/2006/relationships/hyperlink" Target="http://www.unenvironment.org/events/working-group-meeting/fourth-teleconference-executive-board-special-programme-suppo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49DCCFF06D044688251B3E010FA2BB" ma:contentTypeVersion="11" ma:contentTypeDescription="Create a new document." ma:contentTypeScope="" ma:versionID="b6f641573d54f8d8378caecf1fa365de">
  <xsd:schema xmlns:xsd="http://www.w3.org/2001/XMLSchema" xmlns:xs="http://www.w3.org/2001/XMLSchema" xmlns:p="http://schemas.microsoft.com/office/2006/metadata/properties" xmlns:ns2="786100a8-bbaa-48b6-aa10-6d2082f346b4" xmlns:ns3="25a4600d-fc45-4aed-ad1e-9b44b590e5cc" targetNamespace="http://schemas.microsoft.com/office/2006/metadata/properties" ma:root="true" ma:fieldsID="889ed279879ba929ffe081c12af4a8a5" ns2:_="" ns3:_="">
    <xsd:import namespace="786100a8-bbaa-48b6-aa10-6d2082f346b4"/>
    <xsd:import namespace="25a4600d-fc45-4aed-ad1e-9b44b590e5c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6100a8-bbaa-48b6-aa10-6d2082f346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a4600d-fc45-4aed-ad1e-9b44b590e5cc"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2711CB-AEFF-4F13-B2A9-C32C56F794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6100a8-bbaa-48b6-aa10-6d2082f346b4"/>
    <ds:schemaRef ds:uri="25a4600d-fc45-4aed-ad1e-9b44b590e5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7B73E3-9745-4BF4-A9CA-110EBC8026D6}">
  <ds:schemaRefs>
    <ds:schemaRef ds:uri="http://purl.org/dc/elements/1.1/"/>
    <ds:schemaRef ds:uri="http://schemas.microsoft.com/office/infopath/2007/PartnerControls"/>
    <ds:schemaRef ds:uri="http://schemas.microsoft.com/office/2006/documentManagement/types"/>
    <ds:schemaRef ds:uri="http://schemas.openxmlformats.org/package/2006/metadata/core-properties"/>
    <ds:schemaRef ds:uri="http://purl.org/dc/dcmitype/"/>
    <ds:schemaRef ds:uri="25a4600d-fc45-4aed-ad1e-9b44b590e5cc"/>
    <ds:schemaRef ds:uri="786100a8-bbaa-48b6-aa10-6d2082f346b4"/>
    <ds:schemaRef ds:uri="http://schemas.microsoft.com/office/2006/metadata/properties"/>
    <ds:schemaRef ds:uri="http://www.w3.org/XML/1998/namespace"/>
    <ds:schemaRef ds:uri="http://purl.org/dc/terms/"/>
  </ds:schemaRefs>
</ds:datastoreItem>
</file>

<file path=customXml/itemProps3.xml><?xml version="1.0" encoding="utf-8"?>
<ds:datastoreItem xmlns:ds="http://schemas.openxmlformats.org/officeDocument/2006/customXml" ds:itemID="{70E279A9-C0ED-40C7-A5D8-CD137A74099A}">
  <ds:schemaRefs>
    <ds:schemaRef ds:uri="http://schemas.microsoft.com/sharepoint/v3/contenttype/forms"/>
  </ds:schemaRefs>
</ds:datastoreItem>
</file>

<file path=customXml/itemProps4.xml><?xml version="1.0" encoding="utf-8"?>
<ds:datastoreItem xmlns:ds="http://schemas.openxmlformats.org/officeDocument/2006/customXml" ds:itemID="{AE26291F-196F-4BBF-8310-BA7971A3C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4926</Words>
  <Characters>28082</Characters>
  <Application>Microsoft Office Word</Application>
  <DocSecurity>0</DocSecurity>
  <Lines>234</Lines>
  <Paragraphs>65</Paragraphs>
  <ScaleCrop>false</ScaleCrop>
  <HeadingPairs>
    <vt:vector size="6" baseType="variant">
      <vt:variant>
        <vt:lpstr>Titre</vt:lpstr>
      </vt:variant>
      <vt:variant>
        <vt:i4>1</vt:i4>
      </vt:variant>
      <vt:variant>
        <vt:lpstr>Title</vt:lpstr>
      </vt:variant>
      <vt:variant>
        <vt:i4>1</vt:i4>
      </vt:variant>
      <vt:variant>
        <vt:lpstr>Título</vt:lpstr>
      </vt:variant>
      <vt:variant>
        <vt:i4>1</vt:i4>
      </vt:variant>
    </vt:vector>
  </HeadingPairs>
  <TitlesOfParts>
    <vt:vector size="3" baseType="lpstr">
      <vt:lpstr>NATIONS UNIES</vt:lpstr>
      <vt:lpstr>NATIONS UNIES</vt:lpstr>
      <vt:lpstr>NATIONS UNIES</vt:lpstr>
    </vt:vector>
  </TitlesOfParts>
  <Company>unon</Company>
  <LinksUpToDate>false</LinksUpToDate>
  <CharactersWithSpaces>32943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Herimalala Raveloarinjato</cp:lastModifiedBy>
  <cp:revision>2</cp:revision>
  <cp:lastPrinted>2020-12-23T09:08:00Z</cp:lastPrinted>
  <dcterms:created xsi:type="dcterms:W3CDTF">2020-12-30T07:14:00Z</dcterms:created>
  <dcterms:modified xsi:type="dcterms:W3CDTF">2020-12-30T07:14:00Z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0x0101001C49DCCFF06D044688251B3E010FA2BB</vt:lpwstr>
  </property>
</Properties>
</file>