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jc w:val="center"/>
        <w:tblLayout w:type="fixed"/>
        <w:tblLook w:val="04A0" w:firstRow="1" w:lastRow="0" w:firstColumn="1" w:lastColumn="0" w:noHBand="0" w:noVBand="1"/>
      </w:tblPr>
      <w:tblGrid>
        <w:gridCol w:w="1242"/>
        <w:gridCol w:w="5295"/>
        <w:gridCol w:w="3108"/>
      </w:tblGrid>
      <w:tr w:rsidR="00455F0E" w14:paraId="0E9F84D5" w14:textId="77777777" w:rsidTr="00B251E1">
        <w:trPr>
          <w:cantSplit/>
          <w:jc w:val="center"/>
        </w:trPr>
        <w:tc>
          <w:tcPr>
            <w:tcW w:w="6533" w:type="dxa"/>
            <w:gridSpan w:val="2"/>
            <w:tcBorders>
              <w:top w:val="nil"/>
              <w:left w:val="nil"/>
              <w:bottom w:val="single" w:sz="2" w:space="0" w:color="auto"/>
              <w:right w:val="nil"/>
            </w:tcBorders>
            <w:hideMark/>
          </w:tcPr>
          <w:p w14:paraId="720A43F2" w14:textId="77777777" w:rsidR="00455F0E" w:rsidRDefault="00455F0E">
            <w:pPr>
              <w:rPr>
                <w:rFonts w:ascii="Arial" w:eastAsia="Times New Roman" w:hAnsi="Arial" w:cs="Arial"/>
                <w:b/>
                <w:sz w:val="27"/>
                <w:szCs w:val="27"/>
                <w:lang w:val="ru-RU"/>
              </w:rPr>
            </w:pPr>
            <w:r>
              <w:rPr>
                <w:rFonts w:ascii="Arial" w:hAnsi="Arial" w:cs="Arial"/>
                <w:b/>
                <w:sz w:val="27"/>
                <w:szCs w:val="27"/>
              </w:rPr>
              <w:t>ОРГАНИЗАЦИЯ</w:t>
            </w:r>
          </w:p>
          <w:p w14:paraId="0EDD937A" w14:textId="77777777" w:rsidR="00455F0E" w:rsidRDefault="00455F0E">
            <w:pPr>
              <w:rPr>
                <w:rFonts w:ascii="Arial" w:hAnsi="Arial" w:cs="Arial"/>
                <w:b/>
                <w:sz w:val="27"/>
                <w:szCs w:val="27"/>
              </w:rPr>
            </w:pPr>
            <w:r>
              <w:rPr>
                <w:rFonts w:ascii="Arial" w:hAnsi="Arial" w:cs="Arial"/>
                <w:b/>
                <w:sz w:val="27"/>
                <w:szCs w:val="27"/>
              </w:rPr>
              <w:t>ОБЪЕДИНЕННЫХ</w:t>
            </w:r>
          </w:p>
          <w:p w14:paraId="656F6CD6" w14:textId="77777777" w:rsidR="00455F0E" w:rsidRDefault="00455F0E">
            <w:pPr>
              <w:rPr>
                <w:b/>
                <w:sz w:val="32"/>
                <w:szCs w:val="32"/>
              </w:rPr>
            </w:pPr>
            <w:r>
              <w:rPr>
                <w:rFonts w:ascii="Arial" w:hAnsi="Arial" w:cs="Arial"/>
                <w:b/>
                <w:sz w:val="27"/>
                <w:szCs w:val="27"/>
              </w:rPr>
              <w:t>НАЦИЙ</w:t>
            </w:r>
          </w:p>
        </w:tc>
        <w:tc>
          <w:tcPr>
            <w:tcW w:w="3106" w:type="dxa"/>
            <w:tcBorders>
              <w:top w:val="nil"/>
              <w:left w:val="nil"/>
              <w:bottom w:val="single" w:sz="2" w:space="0" w:color="auto"/>
              <w:right w:val="nil"/>
            </w:tcBorders>
            <w:hideMark/>
          </w:tcPr>
          <w:p w14:paraId="7EAF2C73" w14:textId="77777777" w:rsidR="00455F0E" w:rsidRDefault="00455F0E">
            <w:pPr>
              <w:spacing w:after="120"/>
              <w:jc w:val="right"/>
              <w:rPr>
                <w:rFonts w:ascii="Arial" w:hAnsi="Arial" w:cs="Arial"/>
                <w:b/>
                <w:sz w:val="64"/>
                <w:szCs w:val="64"/>
                <w:lang w:val="en-US"/>
              </w:rPr>
            </w:pPr>
            <w:r>
              <w:rPr>
                <w:rFonts w:ascii="Arial" w:hAnsi="Arial" w:cs="Arial"/>
                <w:b/>
                <w:sz w:val="64"/>
                <w:szCs w:val="64"/>
                <w:lang w:val="en-US"/>
              </w:rPr>
              <w:t>EP</w:t>
            </w:r>
          </w:p>
          <w:p w14:paraId="21492866" w14:textId="52FE3ADF" w:rsidR="00455F0E" w:rsidRPr="00EB6C7F" w:rsidRDefault="00455F0E">
            <w:pPr>
              <w:rPr>
                <w:b/>
                <w:sz w:val="22"/>
                <w:szCs w:val="20"/>
              </w:rPr>
            </w:pPr>
            <w:r>
              <w:rPr>
                <w:b/>
                <w:sz w:val="28"/>
                <w:szCs w:val="28"/>
                <w:lang w:val="en-US"/>
              </w:rPr>
              <w:t>UNEP</w:t>
            </w:r>
            <w:r>
              <w:rPr>
                <w:lang w:val="en-US"/>
              </w:rPr>
              <w:t>/EA.</w:t>
            </w:r>
            <w:r w:rsidR="003908C6">
              <w:rPr>
                <w:lang w:val="en-US"/>
              </w:rPr>
              <w:t>5</w:t>
            </w:r>
            <w:r>
              <w:rPr>
                <w:lang w:val="en-US"/>
              </w:rPr>
              <w:t>/</w:t>
            </w:r>
            <w:r w:rsidR="00A54230">
              <w:t>9</w:t>
            </w:r>
          </w:p>
        </w:tc>
      </w:tr>
      <w:tr w:rsidR="00455F0E" w14:paraId="7E929D76" w14:textId="77777777" w:rsidTr="00B251E1">
        <w:trPr>
          <w:cantSplit/>
          <w:trHeight w:val="20"/>
          <w:jc w:val="center"/>
        </w:trPr>
        <w:tc>
          <w:tcPr>
            <w:tcW w:w="1241" w:type="dxa"/>
            <w:tcBorders>
              <w:top w:val="single" w:sz="2" w:space="0" w:color="auto"/>
            </w:tcBorders>
          </w:tcPr>
          <w:p w14:paraId="18B7A690" w14:textId="77777777" w:rsidR="00455F0E" w:rsidRDefault="00455F0E">
            <w:pPr>
              <w:rPr>
                <w:sz w:val="16"/>
                <w:lang w:val="en-US"/>
              </w:rPr>
            </w:pPr>
          </w:p>
        </w:tc>
        <w:tc>
          <w:tcPr>
            <w:tcW w:w="5292" w:type="dxa"/>
            <w:tcBorders>
              <w:top w:val="single" w:sz="2" w:space="0" w:color="auto"/>
            </w:tcBorders>
          </w:tcPr>
          <w:p w14:paraId="587DAB37" w14:textId="77777777" w:rsidR="00455F0E" w:rsidRDefault="00455F0E">
            <w:pPr>
              <w:rPr>
                <w:sz w:val="16"/>
                <w:lang w:val="en-US"/>
              </w:rPr>
            </w:pPr>
          </w:p>
        </w:tc>
        <w:tc>
          <w:tcPr>
            <w:tcW w:w="3106" w:type="dxa"/>
            <w:vMerge w:val="restart"/>
            <w:tcBorders>
              <w:top w:val="single" w:sz="2" w:space="0" w:color="auto"/>
              <w:left w:val="nil"/>
              <w:bottom w:val="single" w:sz="24" w:space="0" w:color="auto"/>
              <w:right w:val="nil"/>
            </w:tcBorders>
          </w:tcPr>
          <w:p w14:paraId="681E5311" w14:textId="77777777" w:rsidR="00455F0E" w:rsidRDefault="00455F0E">
            <w:pPr>
              <w:rPr>
                <w:lang w:val="en-US"/>
              </w:rPr>
            </w:pPr>
          </w:p>
          <w:p w14:paraId="6E659734" w14:textId="64530732" w:rsidR="00455F0E" w:rsidRDefault="00455F0E">
            <w:pPr>
              <w:rPr>
                <w:lang w:val="en-US"/>
              </w:rPr>
            </w:pPr>
            <w:r>
              <w:rPr>
                <w:lang w:val="en-US"/>
              </w:rPr>
              <w:t xml:space="preserve">Distr.: </w:t>
            </w:r>
            <w:r w:rsidR="00222F56">
              <w:rPr>
                <w:lang w:val="en-US"/>
              </w:rPr>
              <w:t>General</w:t>
            </w:r>
          </w:p>
          <w:p w14:paraId="4A669289" w14:textId="6839B066" w:rsidR="00455F0E" w:rsidRDefault="003908C6">
            <w:pPr>
              <w:rPr>
                <w:lang w:val="en-US"/>
              </w:rPr>
            </w:pPr>
            <w:r>
              <w:t>1</w:t>
            </w:r>
            <w:r w:rsidR="00A54230">
              <w:t>2</w:t>
            </w:r>
            <w:r w:rsidR="00455F0E">
              <w:rPr>
                <w:lang w:val="en-US"/>
              </w:rPr>
              <w:t xml:space="preserve"> </w:t>
            </w:r>
            <w:r>
              <w:rPr>
                <w:lang w:val="en-US"/>
              </w:rPr>
              <w:t>November</w:t>
            </w:r>
            <w:r w:rsidR="00455F0E">
              <w:rPr>
                <w:lang w:val="en-US"/>
              </w:rPr>
              <w:t xml:space="preserve"> 20</w:t>
            </w:r>
            <w:r>
              <w:rPr>
                <w:lang w:val="en-US"/>
              </w:rPr>
              <w:t>20</w:t>
            </w:r>
          </w:p>
          <w:p w14:paraId="5C107A4B" w14:textId="77777777" w:rsidR="00455F0E" w:rsidRDefault="00455F0E">
            <w:pPr>
              <w:rPr>
                <w:lang w:val="en-US"/>
              </w:rPr>
            </w:pPr>
          </w:p>
          <w:p w14:paraId="7F3077FE" w14:textId="77777777" w:rsidR="00455F0E" w:rsidRDefault="00455F0E">
            <w:pPr>
              <w:rPr>
                <w:lang w:val="en-US"/>
              </w:rPr>
            </w:pPr>
            <w:r>
              <w:rPr>
                <w:lang w:val="en-US"/>
              </w:rPr>
              <w:t>Russian</w:t>
            </w:r>
          </w:p>
          <w:p w14:paraId="017848EF" w14:textId="77777777" w:rsidR="00455F0E" w:rsidRDefault="00455F0E">
            <w:pPr>
              <w:rPr>
                <w:sz w:val="22"/>
                <w:lang w:val="en-US"/>
              </w:rPr>
            </w:pPr>
            <w:r>
              <w:rPr>
                <w:lang w:val="en-US"/>
              </w:rPr>
              <w:t>Original: English</w:t>
            </w:r>
          </w:p>
        </w:tc>
      </w:tr>
      <w:tr w:rsidR="00455F0E" w:rsidRPr="007D0B2A" w14:paraId="395D44DF" w14:textId="77777777" w:rsidTr="00455F0E">
        <w:trPr>
          <w:cantSplit/>
          <w:jc w:val="center"/>
        </w:trPr>
        <w:tc>
          <w:tcPr>
            <w:tcW w:w="1241" w:type="dxa"/>
            <w:hideMark/>
          </w:tcPr>
          <w:p w14:paraId="59AFB140" w14:textId="77777777" w:rsidR="00455F0E" w:rsidRDefault="00455F0E">
            <w:pPr>
              <w:rPr>
                <w:sz w:val="16"/>
                <w:lang w:val="en-US"/>
              </w:rPr>
            </w:pPr>
            <w:r>
              <w:rPr>
                <w:noProof/>
                <w:lang w:val="en-US"/>
              </w:rPr>
              <w:drawing>
                <wp:inline distT="0" distB="0" distL="0" distR="0" wp14:anchorId="2CC349E1" wp14:editId="5AF5FB27">
                  <wp:extent cx="650240" cy="554990"/>
                  <wp:effectExtent l="0" t="0" r="0" b="0"/>
                  <wp:docPr id="1" name="Picture 1" descr="Description: 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240" cy="554990"/>
                          </a:xfrm>
                          <a:prstGeom prst="rect">
                            <a:avLst/>
                          </a:prstGeom>
                          <a:noFill/>
                          <a:ln>
                            <a:noFill/>
                          </a:ln>
                        </pic:spPr>
                      </pic:pic>
                    </a:graphicData>
                  </a:graphic>
                </wp:inline>
              </w:drawing>
            </w:r>
          </w:p>
        </w:tc>
        <w:tc>
          <w:tcPr>
            <w:tcW w:w="5292" w:type="dxa"/>
            <w:vMerge w:val="restart"/>
            <w:tcBorders>
              <w:top w:val="nil"/>
              <w:left w:val="nil"/>
              <w:bottom w:val="single" w:sz="24" w:space="0" w:color="auto"/>
              <w:right w:val="nil"/>
            </w:tcBorders>
          </w:tcPr>
          <w:p w14:paraId="442FD385" w14:textId="77777777" w:rsidR="00455F0E" w:rsidRDefault="00455F0E">
            <w:pPr>
              <w:rPr>
                <w:rFonts w:ascii="Arial" w:hAnsi="Arial" w:cs="Arial"/>
                <w:b/>
                <w:sz w:val="22"/>
                <w:lang w:val="en-US"/>
              </w:rPr>
            </w:pPr>
          </w:p>
          <w:p w14:paraId="79D26509" w14:textId="77777777" w:rsidR="00455F0E" w:rsidRDefault="00455F0E">
            <w:pPr>
              <w:rPr>
                <w:rFonts w:ascii="Arial" w:hAnsi="Arial" w:cs="Arial"/>
                <w:b/>
                <w:lang w:val="en-US"/>
              </w:rPr>
            </w:pPr>
          </w:p>
          <w:p w14:paraId="177B14AA" w14:textId="77777777" w:rsidR="00455F0E" w:rsidRDefault="00455F0E">
            <w:pPr>
              <w:rPr>
                <w:rFonts w:ascii="Arial" w:hAnsi="Arial" w:cs="Arial"/>
                <w:b/>
                <w:lang w:val="en-US"/>
              </w:rPr>
            </w:pPr>
          </w:p>
          <w:p w14:paraId="67D4841D" w14:textId="77777777" w:rsidR="00455F0E" w:rsidRDefault="00455F0E">
            <w:pPr>
              <w:rPr>
                <w:rFonts w:ascii="Arial" w:hAnsi="Arial" w:cs="Arial"/>
                <w:b/>
                <w:lang w:val="en-US"/>
              </w:rPr>
            </w:pPr>
          </w:p>
          <w:p w14:paraId="5EDD3BE1" w14:textId="77777777" w:rsidR="00455F0E" w:rsidRDefault="00455F0E" w:rsidP="00B251E1">
            <w:pPr>
              <w:spacing w:after="120"/>
              <w:rPr>
                <w:rFonts w:ascii="Arial" w:hAnsi="Arial" w:cs="Arial"/>
                <w:b/>
                <w:sz w:val="27"/>
                <w:szCs w:val="27"/>
                <w:lang w:val="ru-RU"/>
              </w:rPr>
            </w:pPr>
            <w:r w:rsidRPr="00455F0E">
              <w:rPr>
                <w:rFonts w:ascii="Arial" w:hAnsi="Arial" w:cs="Arial"/>
                <w:b/>
                <w:sz w:val="28"/>
                <w:szCs w:val="28"/>
                <w:lang w:val="ru-RU"/>
              </w:rPr>
              <w:t xml:space="preserve">Ассамблея Организации Объединенных Наций по окружающей среде Программы Организации Объединенных </w:t>
            </w:r>
            <w:r w:rsidRPr="00455F0E">
              <w:rPr>
                <w:rFonts w:ascii="Arial" w:hAnsi="Arial" w:cs="Arial"/>
                <w:b/>
                <w:sz w:val="28"/>
                <w:szCs w:val="28"/>
                <w:lang w:val="ru-RU"/>
              </w:rPr>
              <w:br/>
              <w:t>Наций по окружающей среде</w:t>
            </w:r>
          </w:p>
        </w:tc>
        <w:tc>
          <w:tcPr>
            <w:tcW w:w="3106" w:type="dxa"/>
            <w:vMerge/>
            <w:tcBorders>
              <w:top w:val="nil"/>
              <w:left w:val="nil"/>
              <w:bottom w:val="single" w:sz="24" w:space="0" w:color="auto"/>
              <w:right w:val="nil"/>
            </w:tcBorders>
            <w:vAlign w:val="center"/>
            <w:hideMark/>
          </w:tcPr>
          <w:p w14:paraId="684EFD6E" w14:textId="77777777" w:rsidR="00455F0E" w:rsidRPr="00455F0E" w:rsidRDefault="00455F0E">
            <w:pPr>
              <w:rPr>
                <w:sz w:val="22"/>
                <w:lang w:val="ru-RU"/>
              </w:rPr>
            </w:pPr>
          </w:p>
        </w:tc>
      </w:tr>
      <w:tr w:rsidR="00455F0E" w:rsidRPr="007D0B2A" w14:paraId="0ABD3407" w14:textId="77777777" w:rsidTr="00455F0E">
        <w:trPr>
          <w:cantSplit/>
          <w:trHeight w:val="20"/>
          <w:jc w:val="center"/>
        </w:trPr>
        <w:tc>
          <w:tcPr>
            <w:tcW w:w="1241" w:type="dxa"/>
          </w:tcPr>
          <w:p w14:paraId="4A27E5AB" w14:textId="77777777" w:rsidR="00455F0E" w:rsidRPr="00455F0E" w:rsidRDefault="00455F0E">
            <w:pPr>
              <w:rPr>
                <w:sz w:val="16"/>
                <w:szCs w:val="20"/>
                <w:lang w:val="ru-RU"/>
              </w:rPr>
            </w:pPr>
          </w:p>
        </w:tc>
        <w:tc>
          <w:tcPr>
            <w:tcW w:w="5292" w:type="dxa"/>
            <w:vMerge/>
            <w:tcBorders>
              <w:top w:val="nil"/>
              <w:left w:val="nil"/>
              <w:bottom w:val="single" w:sz="24" w:space="0" w:color="auto"/>
              <w:right w:val="nil"/>
            </w:tcBorders>
            <w:vAlign w:val="center"/>
            <w:hideMark/>
          </w:tcPr>
          <w:p w14:paraId="77A2B5F9"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382BFE07" w14:textId="77777777" w:rsidR="00455F0E" w:rsidRPr="00455F0E" w:rsidRDefault="00455F0E">
            <w:pPr>
              <w:rPr>
                <w:sz w:val="22"/>
                <w:lang w:val="ru-RU"/>
              </w:rPr>
            </w:pPr>
          </w:p>
        </w:tc>
      </w:tr>
      <w:bookmarkStart w:id="0" w:name="_MON_992911701"/>
      <w:bookmarkEnd w:id="0"/>
      <w:tr w:rsidR="00455F0E" w14:paraId="12F6C859" w14:textId="77777777" w:rsidTr="00455F0E">
        <w:trPr>
          <w:cantSplit/>
          <w:trHeight w:val="962"/>
          <w:jc w:val="center"/>
        </w:trPr>
        <w:tc>
          <w:tcPr>
            <w:tcW w:w="1241" w:type="dxa"/>
            <w:tcBorders>
              <w:top w:val="nil"/>
              <w:left w:val="nil"/>
              <w:bottom w:val="single" w:sz="24" w:space="0" w:color="auto"/>
              <w:right w:val="nil"/>
            </w:tcBorders>
            <w:hideMark/>
          </w:tcPr>
          <w:p w14:paraId="1781B016" w14:textId="77777777" w:rsidR="00455F0E" w:rsidRDefault="00455F0E">
            <w:pPr>
              <w:rPr>
                <w:sz w:val="22"/>
                <w:lang w:val="en-US"/>
              </w:rPr>
            </w:pPr>
            <w:r>
              <w:rPr>
                <w:rFonts w:eastAsia="Times New Roman"/>
                <w:sz w:val="22"/>
                <w:szCs w:val="20"/>
                <w:lang w:val="ru-RU"/>
              </w:rPr>
              <w:object w:dxaOrig="1020" w:dyaOrig="900" w14:anchorId="29B0E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45.45pt" o:ole="" fillcolor="window">
                  <v:imagedata r:id="rId12" o:title="" cropbottom="13140f"/>
                </v:shape>
                <o:OLEObject Type="Embed" ProgID="Word.Picture.8" ShapeID="_x0000_i1025" DrawAspect="Content" ObjectID="_1670831441" r:id="rId13"/>
              </w:object>
            </w:r>
          </w:p>
        </w:tc>
        <w:tc>
          <w:tcPr>
            <w:tcW w:w="5292" w:type="dxa"/>
            <w:vMerge/>
            <w:tcBorders>
              <w:top w:val="nil"/>
              <w:left w:val="nil"/>
              <w:bottom w:val="single" w:sz="24" w:space="0" w:color="auto"/>
              <w:right w:val="nil"/>
            </w:tcBorders>
            <w:vAlign w:val="center"/>
            <w:hideMark/>
          </w:tcPr>
          <w:p w14:paraId="654CF0AA"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53B99E32" w14:textId="77777777" w:rsidR="00455F0E" w:rsidRDefault="00455F0E">
            <w:pPr>
              <w:rPr>
                <w:sz w:val="22"/>
                <w:lang w:val="en-US"/>
              </w:rPr>
            </w:pPr>
          </w:p>
        </w:tc>
      </w:tr>
    </w:tbl>
    <w:p w14:paraId="2070AC31" w14:textId="77777777" w:rsidR="00455F0E" w:rsidRDefault="00455F0E" w:rsidP="00455F0E">
      <w:pPr>
        <w:rPr>
          <w:b/>
          <w:szCs w:val="20"/>
          <w:lang w:val="ru-RU"/>
        </w:rPr>
      </w:pPr>
      <w:r w:rsidRPr="00455F0E">
        <w:rPr>
          <w:b/>
          <w:lang w:val="ru-RU"/>
        </w:rPr>
        <w:t>Ассамблея</w:t>
      </w:r>
      <w:r>
        <w:rPr>
          <w:b/>
          <w:lang w:val="ru-RU"/>
        </w:rPr>
        <w:t xml:space="preserve"> Организации Объединенных Наций</w:t>
      </w:r>
      <w:r w:rsidRPr="00455F0E">
        <w:rPr>
          <w:b/>
          <w:lang w:val="ru-RU"/>
        </w:rPr>
        <w:br/>
        <w:t>по окружаю</w:t>
      </w:r>
      <w:r>
        <w:rPr>
          <w:b/>
          <w:lang w:val="ru-RU"/>
        </w:rPr>
        <w:t>щей среде Программы Организации</w:t>
      </w:r>
      <w:r w:rsidRPr="00455F0E">
        <w:rPr>
          <w:b/>
          <w:lang w:val="ru-RU"/>
        </w:rPr>
        <w:br/>
        <w:t>Объединенных Наций по окружающей среде</w:t>
      </w:r>
    </w:p>
    <w:p w14:paraId="1D8A8D93" w14:textId="14E398BF" w:rsidR="00455F0E" w:rsidRPr="00455F0E" w:rsidRDefault="003908C6" w:rsidP="00455F0E">
      <w:pPr>
        <w:rPr>
          <w:b/>
          <w:lang w:val="ru-RU"/>
        </w:rPr>
      </w:pPr>
      <w:r>
        <w:rPr>
          <w:b/>
          <w:lang w:val="ru-RU"/>
        </w:rPr>
        <w:t>Пятая</w:t>
      </w:r>
      <w:r w:rsidR="00455F0E" w:rsidRPr="00455F0E">
        <w:rPr>
          <w:b/>
          <w:lang w:val="ru-RU"/>
        </w:rPr>
        <w:t xml:space="preserve"> сессия</w:t>
      </w:r>
    </w:p>
    <w:p w14:paraId="6E48E0CB" w14:textId="77777777" w:rsidR="00F36898" w:rsidRDefault="00F36898" w:rsidP="00F36898">
      <w:pPr>
        <w:rPr>
          <w:lang w:val="ru-RU"/>
        </w:rPr>
      </w:pPr>
      <w:r>
        <w:rPr>
          <w:lang w:val="ru-RU"/>
        </w:rPr>
        <w:t>Найроби</w:t>
      </w:r>
      <w:r w:rsidRPr="005F468C">
        <w:rPr>
          <w:lang w:val="ru-RU"/>
        </w:rPr>
        <w:t xml:space="preserve"> </w:t>
      </w:r>
      <w:r>
        <w:rPr>
          <w:lang w:val="ru-RU"/>
        </w:rPr>
        <w:t>(в онлайн-режиме)</w:t>
      </w:r>
      <w:r w:rsidRPr="00455F0E">
        <w:rPr>
          <w:lang w:val="ru-RU"/>
        </w:rPr>
        <w:t xml:space="preserve">, </w:t>
      </w:r>
      <w:r>
        <w:rPr>
          <w:lang w:val="ru-RU"/>
        </w:rPr>
        <w:t>22</w:t>
      </w:r>
      <w:r w:rsidRPr="00455F0E">
        <w:rPr>
          <w:lang w:val="ru-RU"/>
        </w:rPr>
        <w:t>-</w:t>
      </w:r>
      <w:r>
        <w:rPr>
          <w:lang w:val="ru-RU"/>
        </w:rPr>
        <w:t>26</w:t>
      </w:r>
      <w:r w:rsidRPr="00455F0E">
        <w:rPr>
          <w:lang w:val="ru-RU"/>
        </w:rPr>
        <w:t xml:space="preserve"> </w:t>
      </w:r>
      <w:r>
        <w:rPr>
          <w:lang w:val="ru-RU"/>
        </w:rPr>
        <w:t>февраля</w:t>
      </w:r>
      <w:r w:rsidRPr="00455F0E">
        <w:rPr>
          <w:lang w:val="ru-RU"/>
        </w:rPr>
        <w:t xml:space="preserve"> 20</w:t>
      </w:r>
      <w:r>
        <w:rPr>
          <w:lang w:val="ru-RU"/>
        </w:rPr>
        <w:t>21</w:t>
      </w:r>
      <w:r w:rsidRPr="00455F0E">
        <w:rPr>
          <w:lang w:val="ru-RU"/>
        </w:rPr>
        <w:t xml:space="preserve"> года</w:t>
      </w:r>
      <w:r w:rsidRPr="007123EC">
        <w:rPr>
          <w:rStyle w:val="FootnoteReference"/>
          <w:vertAlign w:val="baseline"/>
          <w:lang w:val="ru-RU"/>
        </w:rPr>
        <w:footnoteReference w:customMarkFollows="1" w:id="1"/>
        <w:t>*</w:t>
      </w:r>
    </w:p>
    <w:p w14:paraId="7CE4CEB8" w14:textId="493B3A6D" w:rsidR="00F36898" w:rsidRDefault="00F36898" w:rsidP="00F36898">
      <w:pPr>
        <w:spacing w:after="60"/>
        <w:rPr>
          <w:lang w:val="ru-RU"/>
        </w:rPr>
      </w:pPr>
      <w:r>
        <w:rPr>
          <w:lang w:val="ru-RU"/>
        </w:rPr>
        <w:t xml:space="preserve">Пункт </w:t>
      </w:r>
      <w:r>
        <w:rPr>
          <w:lang w:val="ru-RU"/>
        </w:rPr>
        <w:t>5</w:t>
      </w:r>
      <w:r>
        <w:rPr>
          <w:lang w:val="ru-RU"/>
        </w:rPr>
        <w:t xml:space="preserve"> предварительной повестки дня</w:t>
      </w:r>
      <w:r w:rsidRPr="007123EC">
        <w:rPr>
          <w:rStyle w:val="FootnoteReference"/>
          <w:vertAlign w:val="baseline"/>
          <w:lang w:val="ru-RU"/>
        </w:rPr>
        <w:footnoteReference w:customMarkFollows="1" w:id="2"/>
        <w:t>**</w:t>
      </w:r>
    </w:p>
    <w:p w14:paraId="5B839CF2" w14:textId="364F7BF3" w:rsidR="006B63E0" w:rsidRPr="0007689A" w:rsidRDefault="0007689A" w:rsidP="0007689A">
      <w:pPr>
        <w:spacing w:after="120"/>
        <w:ind w:right="1701"/>
        <w:rPr>
          <w:b/>
          <w:lang w:val="ru-RU"/>
        </w:rPr>
      </w:pPr>
      <w:r w:rsidRPr="0007689A">
        <w:rPr>
          <w:b/>
          <w:lang w:val="ru-RU"/>
        </w:rPr>
        <w:t>Вопросы международной природоохранной политики и экологического регулирования</w:t>
      </w:r>
    </w:p>
    <w:p w14:paraId="77143C67" w14:textId="77777777" w:rsidR="0094368D" w:rsidRPr="0094368D" w:rsidRDefault="0094368D" w:rsidP="0094368D">
      <w:pPr>
        <w:spacing w:before="360" w:after="240"/>
        <w:ind w:left="1247" w:right="567"/>
        <w:rPr>
          <w:b/>
          <w:bCs/>
          <w:sz w:val="28"/>
          <w:szCs w:val="28"/>
          <w:lang w:val="ru-RU"/>
        </w:rPr>
      </w:pPr>
      <w:r w:rsidRPr="0094368D">
        <w:rPr>
          <w:b/>
          <w:bCs/>
          <w:sz w:val="28"/>
          <w:szCs w:val="28"/>
          <w:lang w:val="ru-RU"/>
        </w:rPr>
        <w:t>Ход осуществления резолюции 4/8 о рациональном регулировании химических веществ и отходов</w:t>
      </w:r>
    </w:p>
    <w:p w14:paraId="5E5E3E04" w14:textId="59DA7843" w:rsidR="0094368D" w:rsidRPr="0094368D" w:rsidRDefault="0094368D" w:rsidP="0094368D">
      <w:pPr>
        <w:spacing w:after="120"/>
        <w:ind w:left="1248"/>
        <w:rPr>
          <w:b/>
          <w:bCs/>
          <w:sz w:val="24"/>
          <w:szCs w:val="24"/>
          <w:lang w:val="ru-RU"/>
        </w:rPr>
      </w:pPr>
      <w:r w:rsidRPr="0094368D">
        <w:rPr>
          <w:b/>
          <w:bCs/>
          <w:sz w:val="24"/>
          <w:szCs w:val="24"/>
          <w:lang w:val="ru-RU"/>
        </w:rPr>
        <w:t>Доклад Директора-исполнителя</w:t>
      </w:r>
    </w:p>
    <w:p w14:paraId="607E105E" w14:textId="2D4484F2" w:rsidR="0094368D" w:rsidRPr="0094368D" w:rsidRDefault="0094368D" w:rsidP="0094368D">
      <w:pPr>
        <w:spacing w:after="120"/>
        <w:ind w:left="1248"/>
        <w:rPr>
          <w:b/>
          <w:bCs/>
          <w:sz w:val="28"/>
          <w:szCs w:val="28"/>
          <w:lang w:val="ru-RU"/>
        </w:rPr>
      </w:pPr>
      <w:r w:rsidRPr="0094368D">
        <w:rPr>
          <w:b/>
          <w:bCs/>
          <w:sz w:val="28"/>
          <w:szCs w:val="28"/>
          <w:lang w:val="ru-RU"/>
        </w:rPr>
        <w:t>Введение</w:t>
      </w:r>
    </w:p>
    <w:p w14:paraId="5F46DC15" w14:textId="0AEEAC8C" w:rsidR="0094368D" w:rsidRPr="0094368D" w:rsidRDefault="0094368D" w:rsidP="0094368D">
      <w:pPr>
        <w:spacing w:after="120"/>
        <w:ind w:left="1248"/>
        <w:rPr>
          <w:szCs w:val="20"/>
          <w:lang w:val="ru-RU"/>
        </w:rPr>
      </w:pPr>
      <w:r>
        <w:rPr>
          <w:szCs w:val="20"/>
          <w:lang w:val="ru-RU"/>
        </w:rPr>
        <w:t>1.</w:t>
      </w:r>
      <w:r>
        <w:rPr>
          <w:szCs w:val="20"/>
          <w:lang w:val="ru-RU"/>
        </w:rPr>
        <w:tab/>
      </w:r>
      <w:r w:rsidRPr="0094368D">
        <w:rPr>
          <w:szCs w:val="20"/>
          <w:lang w:val="ru-RU"/>
        </w:rPr>
        <w:t>В резолюции 4/8 о рациональном регулировании химических веществ и отходов Ассамблея Организации Объединенных Наций по окружающей среде Программы Организации Объединенных Наций по окружающей среде (ЮНЕП) поручила Директору-исполнителю ЮНЕП, при условии наличия ресурсов и, в соответствующих случаях, в сотрудничестве с организациями</w:t>
      </w:r>
      <w:r w:rsidR="00AE131A">
        <w:rPr>
          <w:szCs w:val="20"/>
          <w:lang w:val="ru-RU"/>
        </w:rPr>
        <w:t xml:space="preserve"> – </w:t>
      </w:r>
      <w:r w:rsidRPr="0094368D">
        <w:rPr>
          <w:szCs w:val="20"/>
          <w:lang w:val="ru-RU"/>
        </w:rPr>
        <w:t xml:space="preserve">членами Межорганизационной программы по рациональному регулированию химических веществ: а) активизировать оказание технической помощи и помощи в создании потенциала государствам-членам для скорейшего достижения и выполнения целей и задач Повестки дня в области устойчивого развития на период до 2030 года; </w:t>
      </w:r>
      <w:r w:rsidRPr="00225634">
        <w:rPr>
          <w:szCs w:val="20"/>
        </w:rPr>
        <w:t>b</w:t>
      </w:r>
      <w:r w:rsidRPr="0094368D">
        <w:rPr>
          <w:szCs w:val="20"/>
          <w:lang w:val="ru-RU"/>
        </w:rPr>
        <w:t>) укреплять сотрудничество и избегать дублирования мер, принимаемых организациями</w:t>
      </w:r>
      <w:r w:rsidR="00AE131A">
        <w:rPr>
          <w:szCs w:val="20"/>
          <w:lang w:val="ru-RU"/>
        </w:rPr>
        <w:t xml:space="preserve"> – </w:t>
      </w:r>
      <w:r w:rsidRPr="0094368D">
        <w:rPr>
          <w:szCs w:val="20"/>
          <w:lang w:val="ru-RU"/>
        </w:rPr>
        <w:t xml:space="preserve">членами Межорганизационной программы по рациональному регулированию химических веществ; </w:t>
      </w:r>
      <w:r w:rsidRPr="00225634">
        <w:rPr>
          <w:szCs w:val="20"/>
        </w:rPr>
        <w:t>c</w:t>
      </w:r>
      <w:r w:rsidRPr="0094368D">
        <w:rPr>
          <w:szCs w:val="20"/>
          <w:lang w:val="ru-RU"/>
        </w:rPr>
        <w:t>)</w:t>
      </w:r>
      <w:r>
        <w:rPr>
          <w:szCs w:val="20"/>
          <w:lang w:val="ru-RU"/>
        </w:rPr>
        <w:t> </w:t>
      </w:r>
      <w:r w:rsidRPr="0094368D">
        <w:rPr>
          <w:szCs w:val="20"/>
          <w:lang w:val="ru-RU"/>
        </w:rPr>
        <w:t xml:space="preserve">усилить предоставляемую Стратегическому подходу к международному регулированию химических веществ поддержку по подготовке к пятому совещанию Международной конференции по регулированию химических веществ; </w:t>
      </w:r>
      <w:r w:rsidRPr="00225634">
        <w:rPr>
          <w:szCs w:val="20"/>
        </w:rPr>
        <w:t>d</w:t>
      </w:r>
      <w:r w:rsidRPr="0094368D">
        <w:rPr>
          <w:szCs w:val="20"/>
          <w:lang w:val="ru-RU"/>
        </w:rPr>
        <w:t xml:space="preserve">) обобщить анализ передовых методов в области устойчивой химии в виде руководств по «зеленой» и устойчивой химии; </w:t>
      </w:r>
      <w:r w:rsidRPr="00225634">
        <w:rPr>
          <w:szCs w:val="20"/>
        </w:rPr>
        <w:t>e</w:t>
      </w:r>
      <w:r w:rsidRPr="0094368D">
        <w:rPr>
          <w:szCs w:val="20"/>
          <w:lang w:val="ru-RU"/>
        </w:rPr>
        <w:t xml:space="preserve">) следить за тенденциями в сфере создания, производства, применения и высвобождения химических веществ и образования отходов с целью выявления вопросов, представляющих интерес, в будущих изданиях докладов «Глобальная перспектива в области химических веществ» и «Глобальная перспектива в области регулирования отходов»; </w:t>
      </w:r>
      <w:r w:rsidRPr="00225634">
        <w:rPr>
          <w:szCs w:val="20"/>
        </w:rPr>
        <w:t>f</w:t>
      </w:r>
      <w:r w:rsidRPr="0094368D">
        <w:rPr>
          <w:szCs w:val="20"/>
          <w:lang w:val="ru-RU"/>
        </w:rPr>
        <w:t xml:space="preserve">) подготовить доклад по вопросам, в отношении которых появляющиеся данные указывают на риск для здоровья </w:t>
      </w:r>
      <w:r w:rsidRPr="0094368D">
        <w:rPr>
          <w:szCs w:val="20"/>
          <w:lang w:val="ru-RU"/>
        </w:rPr>
        <w:lastRenderedPageBreak/>
        <w:t xml:space="preserve">человека и окружающей среды; </w:t>
      </w:r>
      <w:r w:rsidRPr="00225634">
        <w:rPr>
          <w:szCs w:val="20"/>
        </w:rPr>
        <w:t>g</w:t>
      </w:r>
      <w:r w:rsidRPr="0094368D">
        <w:rPr>
          <w:szCs w:val="20"/>
          <w:lang w:val="ru-RU"/>
        </w:rPr>
        <w:t>) подготовить оценку вариантов укрепления научно</w:t>
      </w:r>
      <w:r w:rsidR="006F48A0">
        <w:rPr>
          <w:szCs w:val="20"/>
          <w:lang w:val="ru-RU"/>
        </w:rPr>
        <w:noBreakHyphen/>
      </w:r>
      <w:r w:rsidRPr="0094368D">
        <w:rPr>
          <w:szCs w:val="20"/>
          <w:lang w:val="ru-RU"/>
        </w:rPr>
        <w:t xml:space="preserve">политического взаимодействия на международном уровне; </w:t>
      </w:r>
      <w:r w:rsidRPr="00225634">
        <w:rPr>
          <w:szCs w:val="20"/>
        </w:rPr>
        <w:t>h</w:t>
      </w:r>
      <w:r w:rsidRPr="0094368D">
        <w:rPr>
          <w:szCs w:val="20"/>
          <w:lang w:val="ru-RU"/>
        </w:rPr>
        <w:t xml:space="preserve">) оказывать развивающимся странам и странам с переходной экономикой техническую консультативную помощь, поддержку в вопросах политики и помощь в создании потенциала и далее стимулировать участие промышленности и частного сектора в рациональном регулировании химических веществ и отходов; и </w:t>
      </w:r>
      <w:r w:rsidRPr="00225634">
        <w:rPr>
          <w:szCs w:val="20"/>
        </w:rPr>
        <w:t>i</w:t>
      </w:r>
      <w:r w:rsidRPr="0094368D">
        <w:rPr>
          <w:szCs w:val="20"/>
          <w:lang w:val="ru-RU"/>
        </w:rPr>
        <w:t>) представить доклад о ходе осуществления резолюции.</w:t>
      </w:r>
    </w:p>
    <w:p w14:paraId="3C760E16" w14:textId="24BBABF1" w:rsidR="0094368D" w:rsidRPr="0094368D" w:rsidRDefault="0094368D" w:rsidP="0094368D">
      <w:pPr>
        <w:spacing w:after="240"/>
        <w:ind w:left="1248"/>
        <w:rPr>
          <w:szCs w:val="20"/>
          <w:lang w:val="ru-RU"/>
        </w:rPr>
      </w:pPr>
      <w:r>
        <w:rPr>
          <w:szCs w:val="20"/>
          <w:lang w:val="ru-RU"/>
        </w:rPr>
        <w:t>2.</w:t>
      </w:r>
      <w:r>
        <w:rPr>
          <w:szCs w:val="20"/>
          <w:lang w:val="ru-RU"/>
        </w:rPr>
        <w:tab/>
      </w:r>
      <w:r w:rsidRPr="0094368D">
        <w:rPr>
          <w:szCs w:val="20"/>
          <w:lang w:val="ru-RU"/>
        </w:rPr>
        <w:t>В настоящем докладе содержится обновленная информация о ходе осуществления резолюции 4/8; в нем освещаются мероприятия, проведенные в рамках программы работы на 2019-2021 годы, которые в основном охватываются подпрограммой по химическим веществам, отходам и качеству воздуха.</w:t>
      </w:r>
    </w:p>
    <w:p w14:paraId="18073085" w14:textId="1FBC4F55" w:rsidR="0094368D" w:rsidRPr="0094368D" w:rsidRDefault="0094368D" w:rsidP="0094368D">
      <w:pPr>
        <w:tabs>
          <w:tab w:val="right" w:pos="851"/>
        </w:tabs>
        <w:spacing w:after="120"/>
        <w:ind w:left="1247" w:right="284" w:hanging="1247"/>
        <w:rPr>
          <w:b/>
          <w:bCs/>
          <w:sz w:val="28"/>
          <w:szCs w:val="28"/>
          <w:lang w:val="ru-RU"/>
        </w:rPr>
      </w:pPr>
      <w:r w:rsidRPr="0094368D">
        <w:rPr>
          <w:b/>
          <w:bCs/>
          <w:sz w:val="28"/>
          <w:szCs w:val="28"/>
          <w:lang w:val="ru-RU"/>
        </w:rPr>
        <w:tab/>
      </w:r>
      <w:r w:rsidRPr="0094368D">
        <w:rPr>
          <w:b/>
          <w:bCs/>
          <w:sz w:val="28"/>
          <w:szCs w:val="28"/>
        </w:rPr>
        <w:t>I</w:t>
      </w:r>
      <w:r w:rsidRPr="0094368D">
        <w:rPr>
          <w:b/>
          <w:bCs/>
          <w:sz w:val="28"/>
          <w:szCs w:val="28"/>
          <w:lang w:val="ru-RU"/>
        </w:rPr>
        <w:t>.</w:t>
      </w:r>
      <w:r w:rsidRPr="0094368D">
        <w:rPr>
          <w:b/>
          <w:bCs/>
          <w:sz w:val="28"/>
          <w:szCs w:val="28"/>
          <w:lang w:val="ru-RU"/>
        </w:rPr>
        <w:tab/>
        <w:t>Ход осуществления резолюции 4/8</w:t>
      </w:r>
    </w:p>
    <w:p w14:paraId="66DD1F94" w14:textId="77777777" w:rsidR="0094368D" w:rsidRPr="0094368D" w:rsidRDefault="0094368D" w:rsidP="0094368D">
      <w:pPr>
        <w:tabs>
          <w:tab w:val="right" w:pos="851"/>
        </w:tabs>
        <w:spacing w:after="120"/>
        <w:ind w:left="1247" w:right="284" w:hanging="1247"/>
        <w:rPr>
          <w:b/>
          <w:bCs/>
          <w:sz w:val="24"/>
          <w:szCs w:val="24"/>
          <w:lang w:val="ru-RU"/>
        </w:rPr>
      </w:pPr>
      <w:bookmarkStart w:id="1" w:name="_Hlk45730531"/>
      <w:r w:rsidRPr="0094368D">
        <w:rPr>
          <w:b/>
          <w:bCs/>
          <w:sz w:val="24"/>
          <w:szCs w:val="24"/>
          <w:lang w:val="ru-RU"/>
        </w:rPr>
        <w:tab/>
      </w:r>
      <w:r w:rsidRPr="0094368D">
        <w:rPr>
          <w:b/>
          <w:bCs/>
          <w:sz w:val="24"/>
          <w:szCs w:val="24"/>
        </w:rPr>
        <w:t>A</w:t>
      </w:r>
      <w:r w:rsidRPr="0094368D">
        <w:rPr>
          <w:b/>
          <w:bCs/>
          <w:sz w:val="24"/>
          <w:szCs w:val="24"/>
          <w:lang w:val="ru-RU"/>
        </w:rPr>
        <w:t>.</w:t>
      </w:r>
      <w:r w:rsidRPr="0094368D">
        <w:rPr>
          <w:b/>
          <w:bCs/>
          <w:sz w:val="24"/>
          <w:szCs w:val="24"/>
          <w:lang w:val="ru-RU"/>
        </w:rPr>
        <w:tab/>
        <w:t>Институциональное укрепление и создание потенциала</w:t>
      </w:r>
    </w:p>
    <w:p w14:paraId="4C11529F" w14:textId="1A566970" w:rsidR="0094368D" w:rsidRPr="0094368D" w:rsidRDefault="0094368D" w:rsidP="0094368D">
      <w:pPr>
        <w:spacing w:after="120"/>
        <w:ind w:left="1247"/>
        <w:rPr>
          <w:szCs w:val="20"/>
          <w:lang w:val="ru-RU"/>
        </w:rPr>
      </w:pPr>
      <w:r>
        <w:rPr>
          <w:szCs w:val="20"/>
          <w:lang w:val="ru-RU"/>
        </w:rPr>
        <w:t>3.</w:t>
      </w:r>
      <w:r>
        <w:rPr>
          <w:szCs w:val="20"/>
          <w:lang w:val="ru-RU"/>
        </w:rPr>
        <w:tab/>
      </w:r>
      <w:r w:rsidRPr="0094368D">
        <w:rPr>
          <w:szCs w:val="20"/>
          <w:lang w:val="ru-RU"/>
        </w:rPr>
        <w:t xml:space="preserve">В резолюции 1/5 Ассамблея Организации Объединенных Наций по окружающей среде утвердила положение о Специальной программе по оказанию поддержки деятельности по институциональному укреплению на национальном уровне для активизации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Цель Специальной программы заключается в оказании поддержки инициируемому странами институциональному укреплению на национальном уровне в контексте комплексного подхода к решению вопросов финансирования рационального регулирования химических веществ и отходов с учетом национальных стратегий развития, планов и приоритетов каждой страны, в интересах увеличения устойчивого потенциала государственных учреждений по рациональному регулированию химических веществ и отходов на протяжении всего их цикла существования. Специальная программа соответствует ожидаемым достижениям </w:t>
      </w:r>
      <w:r w:rsidRPr="00225634">
        <w:rPr>
          <w:szCs w:val="20"/>
        </w:rPr>
        <w:t>a</w:t>
      </w:r>
      <w:r w:rsidRPr="0094368D">
        <w:rPr>
          <w:szCs w:val="20"/>
          <w:lang w:val="ru-RU"/>
        </w:rPr>
        <w:t xml:space="preserve">) и </w:t>
      </w:r>
      <w:r w:rsidRPr="00225634">
        <w:rPr>
          <w:szCs w:val="20"/>
        </w:rPr>
        <w:t>b</w:t>
      </w:r>
      <w:r w:rsidRPr="0094368D">
        <w:rPr>
          <w:szCs w:val="20"/>
          <w:lang w:val="ru-RU"/>
        </w:rPr>
        <w:t xml:space="preserve">) подпрограммы 5 ЮНЕП (см. </w:t>
      </w:r>
      <w:r w:rsidRPr="00225634">
        <w:rPr>
          <w:szCs w:val="20"/>
        </w:rPr>
        <w:t>UNEP</w:t>
      </w:r>
      <w:r w:rsidRPr="0094368D">
        <w:rPr>
          <w:szCs w:val="20"/>
          <w:lang w:val="ru-RU"/>
        </w:rPr>
        <w:t>.</w:t>
      </w:r>
      <w:r w:rsidRPr="00225634">
        <w:rPr>
          <w:szCs w:val="20"/>
        </w:rPr>
        <w:t>EA</w:t>
      </w:r>
      <w:r w:rsidRPr="0094368D">
        <w:rPr>
          <w:szCs w:val="20"/>
          <w:lang w:val="ru-RU"/>
        </w:rPr>
        <w:t>.4/4, стр. 76 и 77).</w:t>
      </w:r>
    </w:p>
    <w:p w14:paraId="4F9B8024" w14:textId="2F9A6BEF" w:rsidR="0094368D" w:rsidRPr="0094368D" w:rsidRDefault="0094368D" w:rsidP="0094368D">
      <w:pPr>
        <w:spacing w:after="120"/>
        <w:ind w:left="1247"/>
        <w:rPr>
          <w:szCs w:val="20"/>
          <w:lang w:val="ru-RU"/>
        </w:rPr>
      </w:pPr>
      <w:r>
        <w:rPr>
          <w:szCs w:val="20"/>
          <w:lang w:val="ru-RU"/>
        </w:rPr>
        <w:t>4.</w:t>
      </w:r>
      <w:r>
        <w:rPr>
          <w:szCs w:val="20"/>
          <w:lang w:val="ru-RU"/>
        </w:rPr>
        <w:tab/>
      </w:r>
      <w:r w:rsidRPr="0094368D">
        <w:rPr>
          <w:szCs w:val="20"/>
          <w:lang w:val="ru-RU"/>
        </w:rPr>
        <w:t>По состоянию на 30 октября 2020 года общий объем добровольных взносов и объявленных взносов в Целевой фонд Специальной программы, учрежденный в сентябре 2015</w:t>
      </w:r>
      <w:r>
        <w:rPr>
          <w:szCs w:val="20"/>
          <w:lang w:val="ru-RU"/>
        </w:rPr>
        <w:t> </w:t>
      </w:r>
      <w:r w:rsidRPr="0094368D">
        <w:rPr>
          <w:szCs w:val="20"/>
          <w:lang w:val="ru-RU"/>
        </w:rPr>
        <w:t>года, составил 27 457 607 долл. США. На сегодняшний день после трех раундов подачи заявок было профинансировано 42 проекта в Африке, Азии и Тихом океане, Центральной и Восточной Европе, Латинской Америке и Карибском бассейне. Реализация большинства проектов по-прежнему продолжается и осуществляется правительствами стран-получателей, причем в некоторых случаях поддержку оказывают учреждения-исполнители. Финансируемые мероприятия включают разработку национальной политики и законодательства, создание многосторонних координационных механизмов для более эффективного регулирования химических веществ и отходов, скоординированное осуществление соответствующих документов, совершенствование механизмов отчетности, укрепление потенциала и повышение осведомленности. Заявки на финансирование, направленные в ходе четвертого раунда, будут рассмотрены Исполнительным советом Специальной программы в начале 2021 года.</w:t>
      </w:r>
    </w:p>
    <w:p w14:paraId="1B8FD1E0" w14:textId="407F829E" w:rsidR="0094368D" w:rsidRPr="004E3A1E" w:rsidRDefault="0094368D" w:rsidP="0094368D">
      <w:pPr>
        <w:tabs>
          <w:tab w:val="right" w:pos="851"/>
        </w:tabs>
        <w:spacing w:after="120"/>
        <w:ind w:left="1247" w:right="284" w:hanging="1247"/>
        <w:rPr>
          <w:b/>
          <w:bCs/>
          <w:sz w:val="24"/>
          <w:szCs w:val="24"/>
          <w:lang w:val="ru-RU"/>
        </w:rPr>
      </w:pPr>
      <w:r w:rsidRPr="004E3A1E">
        <w:rPr>
          <w:b/>
          <w:bCs/>
          <w:sz w:val="24"/>
          <w:szCs w:val="24"/>
          <w:lang w:val="ru-RU"/>
        </w:rPr>
        <w:tab/>
      </w:r>
      <w:r w:rsidRPr="004E3A1E">
        <w:rPr>
          <w:b/>
          <w:bCs/>
          <w:sz w:val="24"/>
          <w:szCs w:val="24"/>
        </w:rPr>
        <w:t>B</w:t>
      </w:r>
      <w:r w:rsidRPr="004E3A1E">
        <w:rPr>
          <w:b/>
          <w:bCs/>
          <w:sz w:val="24"/>
          <w:szCs w:val="24"/>
          <w:lang w:val="ru-RU"/>
        </w:rPr>
        <w:t>.</w:t>
      </w:r>
      <w:r w:rsidRPr="004E3A1E">
        <w:rPr>
          <w:b/>
          <w:bCs/>
          <w:sz w:val="24"/>
          <w:szCs w:val="24"/>
          <w:lang w:val="ru-RU"/>
        </w:rPr>
        <w:tab/>
        <w:t xml:space="preserve">Укрепление сотрудничества и </w:t>
      </w:r>
      <w:r w:rsidR="00D925E4" w:rsidRPr="004E3A1E">
        <w:rPr>
          <w:b/>
          <w:bCs/>
          <w:sz w:val="24"/>
          <w:szCs w:val="24"/>
          <w:lang w:val="ru-RU"/>
        </w:rPr>
        <w:t>недопущение</w:t>
      </w:r>
      <w:r w:rsidRPr="004E3A1E">
        <w:rPr>
          <w:b/>
          <w:bCs/>
          <w:sz w:val="24"/>
          <w:szCs w:val="24"/>
          <w:lang w:val="ru-RU"/>
        </w:rPr>
        <w:t xml:space="preserve"> дублирования мер, принимаемых организациями</w:t>
      </w:r>
      <w:r w:rsidR="00044A2C" w:rsidRPr="004E3A1E">
        <w:rPr>
          <w:b/>
          <w:bCs/>
          <w:sz w:val="24"/>
          <w:szCs w:val="24"/>
          <w:lang w:val="ru-RU"/>
        </w:rPr>
        <w:t xml:space="preserve"> – </w:t>
      </w:r>
      <w:r w:rsidRPr="004E3A1E">
        <w:rPr>
          <w:b/>
          <w:bCs/>
          <w:sz w:val="24"/>
          <w:szCs w:val="24"/>
          <w:lang w:val="ru-RU"/>
        </w:rPr>
        <w:t>членами Межорганизационной программы по рациональному регулированию химических веществ</w:t>
      </w:r>
    </w:p>
    <w:p w14:paraId="77734E52" w14:textId="53C7DAB2" w:rsidR="0094368D" w:rsidRPr="0094368D" w:rsidRDefault="0094368D" w:rsidP="0094368D">
      <w:pPr>
        <w:spacing w:after="120"/>
        <w:ind w:left="1247"/>
        <w:rPr>
          <w:szCs w:val="20"/>
          <w:lang w:val="ru-RU"/>
        </w:rPr>
      </w:pPr>
      <w:r>
        <w:rPr>
          <w:szCs w:val="20"/>
          <w:lang w:val="ru-RU"/>
        </w:rPr>
        <w:t>5.</w:t>
      </w:r>
      <w:r>
        <w:rPr>
          <w:szCs w:val="20"/>
          <w:lang w:val="ru-RU"/>
        </w:rPr>
        <w:tab/>
      </w:r>
      <w:r w:rsidRPr="0094368D">
        <w:rPr>
          <w:szCs w:val="20"/>
          <w:lang w:val="ru-RU"/>
        </w:rPr>
        <w:t>ЮНЕП активно взаимодействует с организациями</w:t>
      </w:r>
      <w:r w:rsidR="00D4771B">
        <w:rPr>
          <w:szCs w:val="20"/>
          <w:lang w:val="ru-RU"/>
        </w:rPr>
        <w:t xml:space="preserve"> – </w:t>
      </w:r>
      <w:r w:rsidRPr="0094368D">
        <w:rPr>
          <w:szCs w:val="20"/>
          <w:lang w:val="ru-RU"/>
        </w:rPr>
        <w:t>членами Межорганизационной программы по рациональному регулированию химических веществ и другими организациями. ЮНЕП регулярно участвовала в совещаниях Межорганизационной программы, и в сотрудничестве с организациями</w:t>
      </w:r>
      <w:r w:rsidR="00D4771B">
        <w:rPr>
          <w:szCs w:val="20"/>
          <w:lang w:val="ru-RU"/>
        </w:rPr>
        <w:t xml:space="preserve"> – </w:t>
      </w:r>
      <w:r w:rsidRPr="0094368D">
        <w:rPr>
          <w:szCs w:val="20"/>
          <w:lang w:val="ru-RU"/>
        </w:rPr>
        <w:t>членами Межорганизационной программы и секретариатами многосторонних природоохранных соглашений были подготовлены упомянутые ниже доклады.</w:t>
      </w:r>
    </w:p>
    <w:p w14:paraId="1D9098BA" w14:textId="226359F5" w:rsidR="0094368D" w:rsidRPr="0094368D" w:rsidRDefault="0094368D" w:rsidP="0094368D">
      <w:pPr>
        <w:spacing w:after="120"/>
        <w:ind w:left="1247"/>
        <w:rPr>
          <w:szCs w:val="20"/>
          <w:lang w:val="ru-RU"/>
        </w:rPr>
      </w:pPr>
      <w:r>
        <w:rPr>
          <w:szCs w:val="20"/>
          <w:lang w:val="ru-RU"/>
        </w:rPr>
        <w:t>6.</w:t>
      </w:r>
      <w:r>
        <w:rPr>
          <w:szCs w:val="20"/>
          <w:lang w:val="ru-RU"/>
        </w:rPr>
        <w:tab/>
      </w:r>
      <w:r w:rsidRPr="0094368D">
        <w:rPr>
          <w:szCs w:val="20"/>
          <w:lang w:val="ru-RU"/>
        </w:rPr>
        <w:t>Секретариат Стратегического подхода к международному регулированию химических веществ сотрудничает с организациями, участвующими в Межорганизационной программе по рациональному регулированию химических веществ, в осуществлении проекта Стратегического подхода к международному регулированию химических веществ Глобального экологического фонда (ГЭФ), в том числе в выполнении руководящих функций по его представлению сообществам специалистов-практиков, созданным в отношении применения свинца в красках, химических веществ в продуктах, особо опасных пестицидов и целей в области устойчивого развития.</w:t>
      </w:r>
    </w:p>
    <w:p w14:paraId="4F3FD1A4" w14:textId="6B56098B" w:rsidR="0094368D" w:rsidRPr="0094368D" w:rsidRDefault="0094368D" w:rsidP="0094368D">
      <w:pPr>
        <w:spacing w:after="120"/>
        <w:ind w:left="1247"/>
        <w:rPr>
          <w:szCs w:val="20"/>
          <w:lang w:val="ru-RU"/>
        </w:rPr>
      </w:pPr>
      <w:r>
        <w:rPr>
          <w:szCs w:val="20"/>
          <w:lang w:val="ru-RU"/>
        </w:rPr>
        <w:lastRenderedPageBreak/>
        <w:t>7.</w:t>
      </w:r>
      <w:r>
        <w:rPr>
          <w:szCs w:val="20"/>
          <w:lang w:val="ru-RU"/>
        </w:rPr>
        <w:tab/>
      </w:r>
      <w:r w:rsidRPr="0094368D">
        <w:rPr>
          <w:szCs w:val="20"/>
          <w:lang w:val="ru-RU"/>
        </w:rPr>
        <w:t>ЮНЕП также является активным партнером и возглавляет коалиции, нацеленные на координацию действий в конкретных областях. В рамках Глобального альянса для вывода из обращения содержащей свинец краски ЮНЕП и Всемирная организация здравоохранения (ВОЗ) сотрудничают с партнерами (включая Международную организацию труда, Детский фонд Организации Объединенных Наций (ЮНИСЕФ) и Организацию Объединенных Наций по промышленному развитию (ЮНИДО)) в целях предотвращения воздействия свинца путем поощрения усилий по поэтапному отказу от применения красок, содержащих свинец. Продовольственная и сельскохозяйственная организация Объединенных Наций (ФАО), ЮНЕП и ВОЗ совместно с соответствующими партнерами разрабатывают глобальный план действий в отношении особо опасных пестицидов, цель которого заключается в объединении ключевых заинтересованных сторон и инициатив, общей целью которых является устранение вреда, причиняемого особо опасными пестицидами. ЮНЕП также активно участвует в совместном совещании ФАО/ВОЗ по вопросам регулирования пестицидов, стремясь внести вклад в реализацию аспектов, связанных с окружающей средой. Поддерживая обязательства стран в рамках Минаматской конвенции о ртути, программа «Планета ГОЛД» – партнерство между ЮНЕП, ЮНИДО, Программой развития Организации Объединенных Наций, правительствами, частным сектором и работниками в области кустарной и мелкомасштабной золотодобычи – стремится исключить ртуть из цепи поставок золота, добываемого кустарными и мелкомасштабными золотодобытчиками. ЮНЕП в сотрудничестве с секретариатом Базельской, Роттердамской и Стокгольмской конвенций осуществляет несколько проектов ГЭФ по оказанию странам помощи в осуществлении Стокгольмской конвенции о стойких органических загрязнителях.</w:t>
      </w:r>
    </w:p>
    <w:p w14:paraId="5E5A51A6" w14:textId="05836A92" w:rsidR="0094368D" w:rsidRPr="0094368D" w:rsidRDefault="0094368D" w:rsidP="0094368D">
      <w:pPr>
        <w:spacing w:after="120"/>
        <w:ind w:left="1247"/>
        <w:rPr>
          <w:szCs w:val="20"/>
          <w:lang w:val="ru-RU"/>
        </w:rPr>
      </w:pPr>
      <w:r>
        <w:rPr>
          <w:szCs w:val="20"/>
          <w:lang w:val="ru-RU"/>
        </w:rPr>
        <w:t>8.</w:t>
      </w:r>
      <w:r>
        <w:rPr>
          <w:szCs w:val="20"/>
          <w:lang w:val="ru-RU"/>
        </w:rPr>
        <w:tab/>
      </w:r>
      <w:r w:rsidRPr="0094368D">
        <w:rPr>
          <w:szCs w:val="20"/>
          <w:lang w:val="ru-RU"/>
        </w:rPr>
        <w:t>Помимо подготовки доклада об экологических последствиях устойчивости к противомикробным препаратам и причинах развития и распространения устойчивости в окружающей среде, ЮНЕП осуществляет ряд мероприятий в тесном сотрудничестве и координации с организациями трехстороннего сотрудничества по вопросам устойчивости к противомикробным препаратам (ФАО, Всемирная организация здоровья животных и ВОЗ) и другими ключевыми заинтересованными сторонами на глобальном, региональном и национальном уровнях на основе подхода «Единое здоровье». В 2018 году ЮНЕП и ВОЗ подписали меморандум о взаимопонимании, который в настоящее время находится в процессе осуществления и охватывает сотрудничество в следующих областях: воздух, изменение климата, вода, биоразнообразие, химические вещества и отходы, устойчивость к противомикробным препаратам, а также продовольственные системы и питание.</w:t>
      </w:r>
    </w:p>
    <w:p w14:paraId="49FB3BAC" w14:textId="0B7AF463" w:rsidR="0094368D" w:rsidRPr="0094368D" w:rsidRDefault="0094368D" w:rsidP="0094368D">
      <w:pPr>
        <w:spacing w:after="120"/>
        <w:ind w:left="1247"/>
        <w:rPr>
          <w:szCs w:val="20"/>
          <w:lang w:val="ru-RU"/>
        </w:rPr>
      </w:pPr>
      <w:r>
        <w:rPr>
          <w:szCs w:val="20"/>
          <w:lang w:val="ru-RU"/>
        </w:rPr>
        <w:t>9.</w:t>
      </w:r>
      <w:r>
        <w:rPr>
          <w:szCs w:val="20"/>
          <w:lang w:val="ru-RU"/>
        </w:rPr>
        <w:tab/>
      </w:r>
      <w:r w:rsidRPr="0094368D">
        <w:rPr>
          <w:szCs w:val="20"/>
          <w:lang w:val="ru-RU"/>
        </w:rPr>
        <w:t>Кроме того, ЮНЕП провела оценку связей с другими тематическими блоками, относящимися к регулированию химических веществ и отходов, и вариантов координации и сотрудничества в областях, представляющих общий интерес. Оценка была проведена в апреле 2019 года по запросу межсессионного процесса в рамках Стратегического подхода к международному регулированию химических веществ и рационального регулирования химических веществ и отходов. В документе об оценке выделяются семь тематических блоков, связанных с химическими веществами и отходами: здоровье, биоразнообразие, мир труда, изменение климата, сельское хозяйство и продовольствие, права человека и устойчивое потребление и производство, и предлагаются элементы координации и сотрудничества.</w:t>
      </w:r>
    </w:p>
    <w:p w14:paraId="462D24AE" w14:textId="1CBA5C3F" w:rsidR="0094368D" w:rsidRPr="0094368D" w:rsidRDefault="0094368D" w:rsidP="0094368D">
      <w:pPr>
        <w:spacing w:after="120"/>
        <w:ind w:left="1247"/>
        <w:rPr>
          <w:szCs w:val="20"/>
          <w:lang w:val="ru-RU"/>
        </w:rPr>
      </w:pPr>
      <w:r>
        <w:rPr>
          <w:szCs w:val="20"/>
          <w:lang w:val="ru-RU"/>
        </w:rPr>
        <w:t>10.</w:t>
      </w:r>
      <w:r>
        <w:rPr>
          <w:szCs w:val="20"/>
          <w:lang w:val="ru-RU"/>
        </w:rPr>
        <w:tab/>
      </w:r>
      <w:r w:rsidRPr="0094368D">
        <w:rPr>
          <w:szCs w:val="20"/>
          <w:lang w:val="ru-RU"/>
        </w:rPr>
        <w:t>Что касается биоразнообразия, то загрязнение определено в качестве одного из пяти ключевых факторов давления, непосредственно обусловливающих утрату биоразнообразия во всем мире. ЮНЕП, действуя совместно с секретариатами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а также секретариатом по озону, активно участвует в этом процессе и вносит вклад в разработку системы глобальных мероприятий в сфере биоразнообразия на период после 2020 года в целях установления связей между повестками дня в областях загрязнения и природы.</w:t>
      </w:r>
    </w:p>
    <w:p w14:paraId="4CE4EFF7" w14:textId="454A49C0" w:rsidR="0094368D" w:rsidRPr="0094368D" w:rsidRDefault="0094368D" w:rsidP="0094368D">
      <w:pPr>
        <w:spacing w:after="120"/>
        <w:ind w:left="1247"/>
        <w:rPr>
          <w:szCs w:val="20"/>
          <w:lang w:val="ru-RU"/>
        </w:rPr>
      </w:pPr>
      <w:r>
        <w:rPr>
          <w:szCs w:val="20"/>
          <w:lang w:val="ru-RU"/>
        </w:rPr>
        <w:t>11.</w:t>
      </w:r>
      <w:r>
        <w:rPr>
          <w:szCs w:val="20"/>
          <w:lang w:val="ru-RU"/>
        </w:rPr>
        <w:tab/>
      </w:r>
      <w:r w:rsidRPr="0094368D">
        <w:rPr>
          <w:szCs w:val="20"/>
          <w:lang w:val="ru-RU"/>
        </w:rPr>
        <w:t>Кроме того, ЮНЕП посредством подготовки доклада о химических веществах в пластмассах вносит вклад в усилия по более глубокому пониманию химических веществ, вызывающих озабоченность, и потенциала для инноваций в соответствии с резолюциями 4/6 и 4/9.</w:t>
      </w:r>
    </w:p>
    <w:p w14:paraId="05D6BEE2"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C</w:t>
      </w:r>
      <w:r w:rsidRPr="0094368D">
        <w:rPr>
          <w:b/>
          <w:bCs/>
          <w:sz w:val="24"/>
          <w:szCs w:val="24"/>
          <w:lang w:val="ru-RU"/>
        </w:rPr>
        <w:t>.</w:t>
      </w:r>
      <w:r w:rsidRPr="0094368D">
        <w:rPr>
          <w:b/>
          <w:bCs/>
          <w:sz w:val="24"/>
          <w:szCs w:val="24"/>
          <w:lang w:val="ru-RU"/>
        </w:rPr>
        <w:tab/>
        <w:t>Усиление поддержки, оказываемой Стратегическому подходу к международному регулированию химических веществ, и соображения на период после 2020 года</w:t>
      </w:r>
    </w:p>
    <w:p w14:paraId="1A65AA03" w14:textId="7CAA39D6" w:rsidR="0094368D" w:rsidRPr="0094368D" w:rsidRDefault="009B3A31" w:rsidP="0094368D">
      <w:pPr>
        <w:spacing w:after="120"/>
        <w:ind w:left="1247"/>
        <w:rPr>
          <w:szCs w:val="20"/>
          <w:lang w:val="ru-RU"/>
        </w:rPr>
      </w:pPr>
      <w:r>
        <w:rPr>
          <w:szCs w:val="20"/>
          <w:lang w:val="ru-RU"/>
        </w:rPr>
        <w:t>12.</w:t>
      </w:r>
      <w:r>
        <w:rPr>
          <w:szCs w:val="20"/>
          <w:lang w:val="ru-RU"/>
        </w:rPr>
        <w:tab/>
      </w:r>
      <w:r w:rsidR="0094368D" w:rsidRPr="0094368D">
        <w:rPr>
          <w:szCs w:val="20"/>
          <w:lang w:val="ru-RU"/>
        </w:rPr>
        <w:t>В связи с пандемией коронавирусной инфекции (</w:t>
      </w:r>
      <w:r w:rsidR="0094368D" w:rsidRPr="00225634">
        <w:rPr>
          <w:szCs w:val="20"/>
        </w:rPr>
        <w:t>COVID</w:t>
      </w:r>
      <w:r w:rsidR="0094368D" w:rsidRPr="0094368D">
        <w:rPr>
          <w:szCs w:val="20"/>
          <w:lang w:val="ru-RU"/>
        </w:rPr>
        <w:t xml:space="preserve">-19) пятая сессия Международной конференции по регулированию химических веществ, которая должна была </w:t>
      </w:r>
      <w:r w:rsidR="0094368D" w:rsidRPr="0094368D">
        <w:rPr>
          <w:szCs w:val="20"/>
          <w:lang w:val="ru-RU"/>
        </w:rPr>
        <w:lastRenderedPageBreak/>
        <w:t>состояться в Бонне, Германия, была перенесена на 5-9 июля 2021 года. В рамках межсессионного процесса продолжается работа по рассмотрению Стратегического подхода и вопросов рационального регулирования химических веществ и отходов после 2020 года.</w:t>
      </w:r>
    </w:p>
    <w:p w14:paraId="4937FAA0" w14:textId="47AB8174" w:rsidR="0094368D" w:rsidRPr="0094368D" w:rsidRDefault="009B3A31" w:rsidP="0094368D">
      <w:pPr>
        <w:spacing w:after="120"/>
        <w:ind w:left="1247"/>
        <w:rPr>
          <w:szCs w:val="20"/>
          <w:lang w:val="ru-RU"/>
        </w:rPr>
      </w:pPr>
      <w:r>
        <w:rPr>
          <w:szCs w:val="20"/>
          <w:lang w:val="ru-RU"/>
        </w:rPr>
        <w:t>13.</w:t>
      </w:r>
      <w:r>
        <w:rPr>
          <w:szCs w:val="20"/>
          <w:lang w:val="ru-RU"/>
        </w:rPr>
        <w:tab/>
      </w:r>
      <w:r w:rsidR="0094368D" w:rsidRPr="0094368D">
        <w:rPr>
          <w:szCs w:val="20"/>
          <w:lang w:val="ru-RU"/>
        </w:rPr>
        <w:t xml:space="preserve">В связи с ограничениями, вызванными пандемией </w:t>
      </w:r>
      <w:r w:rsidR="0094368D" w:rsidRPr="00225634">
        <w:rPr>
          <w:szCs w:val="20"/>
        </w:rPr>
        <w:t>COVID</w:t>
      </w:r>
      <w:r w:rsidR="0094368D" w:rsidRPr="0094368D">
        <w:rPr>
          <w:szCs w:val="20"/>
          <w:lang w:val="ru-RU"/>
        </w:rPr>
        <w:t>-19, и обусловленной этим отсрочкой четвертого совещания межсессионного процесса рассмотрения Стратегического подхода и вопросов рационального регулирования химических веществ и отходов после 2020</w:t>
      </w:r>
      <w:r w:rsidR="00932F30">
        <w:rPr>
          <w:szCs w:val="20"/>
          <w:lang w:val="ru-RU"/>
        </w:rPr>
        <w:t> </w:t>
      </w:r>
      <w:r w:rsidR="0094368D" w:rsidRPr="0094368D">
        <w:rPr>
          <w:szCs w:val="20"/>
          <w:lang w:val="ru-RU"/>
        </w:rPr>
        <w:t>года, а также пятой сессии Международной конференции по регулированию химических веществ, Бюро пятой сессии Конференции и сопредседатели межсессионного процесса предложили создать ряд виртуальных рабочих групп для поддержки работы межсессионного процесса в целях продвижения проходящих в его рамках обсуждений. Предложения виртуальных рабочих групп могут быть направлены на устранение выявленных пробелов, представление возможного компромиссного текста или предложение нового или альтернативного текста, который можно будет рассмотреть на четвертой сессии межсессионного процесса.</w:t>
      </w:r>
    </w:p>
    <w:p w14:paraId="0396952F" w14:textId="6D5C8B19" w:rsidR="0094368D" w:rsidRPr="0094368D" w:rsidRDefault="009B3A31" w:rsidP="0094368D">
      <w:pPr>
        <w:spacing w:after="120"/>
        <w:ind w:left="1247"/>
        <w:rPr>
          <w:szCs w:val="20"/>
          <w:lang w:val="ru-RU"/>
        </w:rPr>
      </w:pPr>
      <w:r>
        <w:rPr>
          <w:szCs w:val="20"/>
          <w:lang w:val="ru-RU"/>
        </w:rPr>
        <w:t>14.</w:t>
      </w:r>
      <w:r>
        <w:rPr>
          <w:szCs w:val="20"/>
          <w:lang w:val="ru-RU"/>
        </w:rPr>
        <w:tab/>
      </w:r>
      <w:r w:rsidR="0094368D" w:rsidRPr="0094368D">
        <w:rPr>
          <w:szCs w:val="20"/>
          <w:lang w:val="ru-RU"/>
        </w:rPr>
        <w:t>Кроме того, участники пятой сессии Международной конференции по регулированию химических веществ рассмотрят декларацию высокого уровня. В декларации может быть подтверждено обязательство, закрепленное в 2006 году в Дубайской декларации о международном регулировании химических веществ. В октябре 2020 года Председатель пятой сессии начал процесс разработки возможной декларации высокого уровня, отражающей вклад, идеи, предложения и мнения всех заинтересованных сторон, участвующих в межсессионном процессе.</w:t>
      </w:r>
    </w:p>
    <w:p w14:paraId="42E5E35F"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D</w:t>
      </w:r>
      <w:r w:rsidRPr="0094368D">
        <w:rPr>
          <w:b/>
          <w:bCs/>
          <w:sz w:val="24"/>
          <w:szCs w:val="24"/>
          <w:lang w:val="ru-RU"/>
        </w:rPr>
        <w:t>.</w:t>
      </w:r>
      <w:r w:rsidRPr="0094368D">
        <w:rPr>
          <w:b/>
          <w:bCs/>
          <w:sz w:val="24"/>
          <w:szCs w:val="24"/>
          <w:lang w:val="ru-RU"/>
        </w:rPr>
        <w:tab/>
        <w:t>Руководства по «зеленой» и устойчивой химии</w:t>
      </w:r>
    </w:p>
    <w:p w14:paraId="08508F4D" w14:textId="58617001" w:rsidR="0094368D" w:rsidRPr="0094368D" w:rsidRDefault="009B3A31" w:rsidP="0094368D">
      <w:pPr>
        <w:spacing w:after="120"/>
        <w:ind w:left="1247"/>
        <w:rPr>
          <w:szCs w:val="20"/>
          <w:lang w:val="ru-RU"/>
        </w:rPr>
      </w:pPr>
      <w:r>
        <w:rPr>
          <w:szCs w:val="20"/>
          <w:lang w:val="ru-RU"/>
        </w:rPr>
        <w:t>15.</w:t>
      </w:r>
      <w:r>
        <w:rPr>
          <w:szCs w:val="20"/>
          <w:lang w:val="ru-RU"/>
        </w:rPr>
        <w:tab/>
      </w:r>
      <w:r w:rsidR="0094368D" w:rsidRPr="0094368D">
        <w:rPr>
          <w:szCs w:val="20"/>
          <w:lang w:val="ru-RU"/>
        </w:rPr>
        <w:t>В рамках подготовки к пятой сессии Ассамблеи по окружающей среде ЮНЕП разработала руководства по «зеленой» и устойчивой химии. Они включают общее руководство, резюме и конкретное руководство по образованию, с тем чтобы содействовать лучшему пониманию и предоставлению странам и заинтересованным сторонам рекомендаций по развитию «зеленой» и устойчивой химии.</w:t>
      </w:r>
    </w:p>
    <w:p w14:paraId="15964402" w14:textId="78B77314" w:rsidR="0094368D" w:rsidRPr="0094368D" w:rsidRDefault="009B3A31" w:rsidP="0094368D">
      <w:pPr>
        <w:spacing w:after="120"/>
        <w:ind w:left="1247"/>
        <w:rPr>
          <w:szCs w:val="20"/>
          <w:lang w:val="ru-RU"/>
        </w:rPr>
      </w:pPr>
      <w:r>
        <w:rPr>
          <w:szCs w:val="20"/>
          <w:lang w:val="ru-RU"/>
        </w:rPr>
        <w:t>16.</w:t>
      </w:r>
      <w:r>
        <w:rPr>
          <w:szCs w:val="20"/>
          <w:lang w:val="ru-RU"/>
        </w:rPr>
        <w:tab/>
      </w:r>
      <w:r w:rsidR="0094368D" w:rsidRPr="0094368D">
        <w:rPr>
          <w:szCs w:val="20"/>
          <w:lang w:val="ru-RU"/>
        </w:rPr>
        <w:t>Общее руководство по «зеленой» и устойчивой химии основано на докладе ЮНЕП 2019</w:t>
      </w:r>
      <w:r>
        <w:rPr>
          <w:szCs w:val="20"/>
          <w:lang w:val="ru-RU"/>
        </w:rPr>
        <w:t> </w:t>
      </w:r>
      <w:r w:rsidR="0094368D" w:rsidRPr="0094368D">
        <w:rPr>
          <w:szCs w:val="20"/>
          <w:lang w:val="ru-RU"/>
        </w:rPr>
        <w:t xml:space="preserve">года, в котором анализируются представленные заинтересованными сторонами материалы по устойчивой химии в соответствии с резолюцией 2/7, и на документе «Глобальная перспектива в области химических веществ </w:t>
      </w:r>
      <w:r w:rsidR="0094368D" w:rsidRPr="00225634">
        <w:rPr>
          <w:szCs w:val="20"/>
        </w:rPr>
        <w:t>II</w:t>
      </w:r>
      <w:r w:rsidR="0094368D" w:rsidRPr="0094368D">
        <w:rPr>
          <w:szCs w:val="20"/>
          <w:lang w:val="ru-RU"/>
        </w:rPr>
        <w:t>. От наследия к инновационным решениям: осуществление Повестки дня в области устойчивого развития на период до 2030 года».</w:t>
      </w:r>
    </w:p>
    <w:p w14:paraId="40BBBBB2" w14:textId="5D8885E6" w:rsidR="0094368D" w:rsidRPr="0094368D" w:rsidRDefault="009B3A31" w:rsidP="0094368D">
      <w:pPr>
        <w:spacing w:after="120"/>
        <w:ind w:left="1247"/>
        <w:rPr>
          <w:szCs w:val="20"/>
          <w:lang w:val="ru-RU"/>
        </w:rPr>
      </w:pPr>
      <w:r>
        <w:rPr>
          <w:szCs w:val="20"/>
          <w:lang w:val="ru-RU"/>
        </w:rPr>
        <w:t>17.</w:t>
      </w:r>
      <w:r>
        <w:rPr>
          <w:szCs w:val="20"/>
          <w:lang w:val="ru-RU"/>
        </w:rPr>
        <w:tab/>
      </w:r>
      <w:r w:rsidR="0094368D" w:rsidRPr="0094368D">
        <w:rPr>
          <w:szCs w:val="20"/>
          <w:lang w:val="ru-RU"/>
        </w:rPr>
        <w:t>Эта деятельность была профинансирована правительств</w:t>
      </w:r>
      <w:r w:rsidR="00D724A1">
        <w:rPr>
          <w:szCs w:val="20"/>
          <w:lang w:val="ru-RU"/>
        </w:rPr>
        <w:t>а</w:t>
      </w:r>
      <w:r w:rsidR="0094368D" w:rsidRPr="0094368D">
        <w:rPr>
          <w:szCs w:val="20"/>
          <w:lang w:val="ru-RU"/>
        </w:rPr>
        <w:t>ми Германии и Швеции совместно с Экологическим фондом. Его разработка осуществлялась под руководством группы экспертов с участием многих заинтересованных сторон, и пособия были направлены организациям</w:t>
      </w:r>
      <w:r w:rsidR="00932F30">
        <w:rPr>
          <w:szCs w:val="20"/>
          <w:lang w:val="ru-RU"/>
        </w:rPr>
        <w:t xml:space="preserve"> – </w:t>
      </w:r>
      <w:r w:rsidR="0094368D" w:rsidRPr="0094368D">
        <w:rPr>
          <w:szCs w:val="20"/>
          <w:lang w:val="ru-RU"/>
        </w:rPr>
        <w:t>членам Межорганизационной программы по рациональному регулированию химических веществ для рассмотрения.</w:t>
      </w:r>
    </w:p>
    <w:p w14:paraId="7D1C73A0"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E</w:t>
      </w:r>
      <w:r w:rsidRPr="0094368D">
        <w:rPr>
          <w:b/>
          <w:bCs/>
          <w:sz w:val="24"/>
          <w:szCs w:val="24"/>
          <w:lang w:val="ru-RU"/>
        </w:rPr>
        <w:t>.</w:t>
      </w:r>
      <w:r w:rsidRPr="0094368D">
        <w:rPr>
          <w:b/>
          <w:bCs/>
          <w:sz w:val="24"/>
          <w:szCs w:val="24"/>
          <w:lang w:val="ru-RU"/>
        </w:rPr>
        <w:tab/>
        <w:t>Отслеживание тенденций в сфере создания, производства, применения и высвобождения химических веществ и образования отходов с целью выявления вопросов, представляющих интерес, в будущих изданиях докладов «Глобальная перспектива в области химических веществ» и «Глобальная перспектива в области регулирования отходов»</w:t>
      </w:r>
    </w:p>
    <w:p w14:paraId="478CCAC5" w14:textId="39E084F0" w:rsidR="0094368D" w:rsidRPr="0094368D" w:rsidRDefault="009B3A31" w:rsidP="0094368D">
      <w:pPr>
        <w:spacing w:after="120"/>
        <w:ind w:left="1247"/>
        <w:rPr>
          <w:szCs w:val="20"/>
          <w:lang w:val="ru-RU"/>
        </w:rPr>
      </w:pPr>
      <w:r>
        <w:rPr>
          <w:szCs w:val="20"/>
          <w:lang w:val="ru-RU"/>
        </w:rPr>
        <w:t>18.</w:t>
      </w:r>
      <w:r>
        <w:rPr>
          <w:szCs w:val="20"/>
          <w:lang w:val="ru-RU"/>
        </w:rPr>
        <w:tab/>
      </w:r>
      <w:r w:rsidR="0094368D" w:rsidRPr="0094368D">
        <w:rPr>
          <w:szCs w:val="20"/>
          <w:lang w:val="ru-RU"/>
        </w:rPr>
        <w:t xml:space="preserve">Предстоящее издание доклада «Глобальная перспектива в области регулирования отходов» готовится для пятой сессии Ассамблеи по окружающей среде. Усилия по выявлению вопросов, вызывающих озабоченность, подробно описываются в пункте 19 ниже и основываются на докладе «Глобальная перспектива в области химических веществ </w:t>
      </w:r>
      <w:r w:rsidR="0094368D" w:rsidRPr="00225634">
        <w:rPr>
          <w:szCs w:val="20"/>
        </w:rPr>
        <w:t>II</w:t>
      </w:r>
      <w:r w:rsidR="0094368D" w:rsidRPr="0094368D">
        <w:rPr>
          <w:szCs w:val="20"/>
          <w:lang w:val="ru-RU"/>
        </w:rPr>
        <w:t>», который был опубликован в 2019 году. При подготовке докладов о перспективах ЮНЕП рассмотрела вопросы создания, производства, применения и высвобождения химических веществ и образования отходов.</w:t>
      </w:r>
    </w:p>
    <w:p w14:paraId="7F4BB4F7" w14:textId="0CEED8EB" w:rsidR="0094368D" w:rsidRPr="0094368D" w:rsidRDefault="009B3A31" w:rsidP="0094368D">
      <w:pPr>
        <w:spacing w:after="120"/>
        <w:ind w:left="1247"/>
        <w:rPr>
          <w:szCs w:val="20"/>
          <w:lang w:val="ru-RU"/>
        </w:rPr>
      </w:pPr>
      <w:r>
        <w:rPr>
          <w:szCs w:val="20"/>
          <w:lang w:val="ru-RU"/>
        </w:rPr>
        <w:t>19.</w:t>
      </w:r>
      <w:r>
        <w:rPr>
          <w:szCs w:val="20"/>
          <w:lang w:val="ru-RU"/>
        </w:rPr>
        <w:tab/>
      </w:r>
      <w:r w:rsidR="0094368D" w:rsidRPr="0094368D">
        <w:rPr>
          <w:szCs w:val="20"/>
          <w:lang w:val="ru-RU"/>
        </w:rPr>
        <w:t xml:space="preserve">Достигнут прогресс в выявлении и картировании «горячих точек», в которых происходит загрязнение, а также в выявлении надлежащей практики. В июне 2020 года было опубликовано семь региональных докладов о перспективах в области регулирования отходов, охватывающих Африку, Азию, Центральную Азию, Западную Азию, Латинскую Америку и Карибский бассейн, малые островные развивающиеся государства и горные районы. Предстоящее издание доклада «Глобальная перспектива в области регулирования отходов» основано на ключевых тенденциях, выявленных в рамках региональных перспектив. Образование отходов растет гораздо более быстрыми темпами, чем рост новой инфраструктуры </w:t>
      </w:r>
      <w:r w:rsidR="0094368D" w:rsidRPr="0094368D">
        <w:rPr>
          <w:szCs w:val="20"/>
          <w:lang w:val="ru-RU"/>
        </w:rPr>
        <w:lastRenderedPageBreak/>
        <w:t>по регулированию отходов, что подразумевает продолжение роста неконтролируемого захоронения отходов. Объем электронных отходов</w:t>
      </w:r>
      <w:r w:rsidR="00304835">
        <w:rPr>
          <w:szCs w:val="20"/>
          <w:lang w:val="ru-RU"/>
        </w:rPr>
        <w:t xml:space="preserve"> –</w:t>
      </w:r>
      <w:r w:rsidR="0094368D" w:rsidRPr="0094368D">
        <w:rPr>
          <w:szCs w:val="20"/>
          <w:lang w:val="ru-RU"/>
        </w:rPr>
        <w:t xml:space="preserve"> актуального потока отходов с высоким содержанием химических веществ, в процессе утилизации которого применяются химические вещества, за пять лет увеличился на 21 процент, и в 2019 году во всем мире было произведено рекордное количество электронных отходов – 53,6 млн тонн. В целом, движущей силой отрасли регулирования отходов является взаимодействие четырех основных тенденций: циклическая экономика, морской мусор, изменение климата и четвертая промышленная революция.</w:t>
      </w:r>
    </w:p>
    <w:p w14:paraId="166A59ED" w14:textId="0FE8FD8C" w:rsidR="0094368D" w:rsidRPr="0094368D" w:rsidRDefault="009B3A31" w:rsidP="0094368D">
      <w:pPr>
        <w:spacing w:after="120"/>
        <w:ind w:left="1247"/>
        <w:rPr>
          <w:szCs w:val="20"/>
          <w:lang w:val="ru-RU"/>
        </w:rPr>
      </w:pPr>
      <w:r>
        <w:rPr>
          <w:szCs w:val="20"/>
          <w:lang w:val="ru-RU"/>
        </w:rPr>
        <w:t>20.</w:t>
      </w:r>
      <w:r>
        <w:rPr>
          <w:szCs w:val="20"/>
          <w:lang w:val="ru-RU"/>
        </w:rPr>
        <w:tab/>
      </w:r>
      <w:r w:rsidR="0094368D" w:rsidRPr="0094368D">
        <w:rPr>
          <w:szCs w:val="20"/>
          <w:lang w:val="ru-RU"/>
        </w:rPr>
        <w:t>Важно подчеркнуть тот факт, что политика в области химических веществ и отходов может оказывать большое позитивное воздействие на разработку продукции и на усилия по обеспечению устойчивого потребления и производства и цикличности в рамках производственной цепи. Для достижения этой цели необходимо будет обеспечить координацию этой политики с другими мерами политики в области продукции. Несколько стран привели в качестве положительного примера осуществление конвенций по химическим веществам на национальном уровне, что привело к обеспечению согласованности и сотрудничества на национальном уровне в отношении усилий по разработке политики в области продукции – например, путем разработки национального законодательства о запрещении применения ртути в продуктах.</w:t>
      </w:r>
    </w:p>
    <w:p w14:paraId="090885AF"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F</w:t>
      </w:r>
      <w:r w:rsidRPr="0094368D">
        <w:rPr>
          <w:b/>
          <w:bCs/>
          <w:sz w:val="24"/>
          <w:szCs w:val="24"/>
          <w:lang w:val="ru-RU"/>
        </w:rPr>
        <w:t>.</w:t>
      </w:r>
      <w:r w:rsidRPr="0094368D">
        <w:rPr>
          <w:b/>
          <w:bCs/>
          <w:sz w:val="24"/>
          <w:szCs w:val="24"/>
          <w:lang w:val="ru-RU"/>
        </w:rPr>
        <w:tab/>
        <w:t>Доклад по вопросам, в отношении которых появляющиеся данные указывают на риск для здоровья человека и окружающей среды</w:t>
      </w:r>
    </w:p>
    <w:p w14:paraId="26FD40F9" w14:textId="4118793E" w:rsidR="0094368D" w:rsidRPr="009B3A31" w:rsidRDefault="00363038" w:rsidP="009B3A31">
      <w:pPr>
        <w:spacing w:after="120"/>
        <w:ind w:left="1247"/>
        <w:rPr>
          <w:szCs w:val="20"/>
          <w:lang w:val="ru-RU"/>
        </w:rPr>
      </w:pPr>
      <w:r>
        <w:rPr>
          <w:szCs w:val="20"/>
          <w:lang w:val="ru-RU"/>
        </w:rPr>
        <w:t>21.</w:t>
      </w:r>
      <w:r>
        <w:rPr>
          <w:szCs w:val="20"/>
          <w:lang w:val="ru-RU"/>
        </w:rPr>
        <w:tab/>
      </w:r>
      <w:hyperlink r:id="rId14">
        <w:r w:rsidR="0094368D" w:rsidRPr="009B3A31">
          <w:rPr>
            <w:rStyle w:val="Hyperlink"/>
            <w:lang w:val="ru-RU"/>
          </w:rPr>
          <w:t>При финансовой поддержке правительства Швейцарии был подготовлен доклад по вопросам, в отношении которых появляющиеся данные указывают на риск для здоровья человека и окружающей среды. Его цель заключается в том, чтобы информировать международное сообщество о текущей ситуации по конкретным вопросам, вызывающим озабоченность. Он был подготовлен в сотрудничестве с организациями</w:t>
        </w:r>
        <w:r w:rsidR="00304835">
          <w:rPr>
            <w:rStyle w:val="Hyperlink"/>
            <w:lang w:val="ru-RU"/>
          </w:rPr>
          <w:t xml:space="preserve"> – </w:t>
        </w:r>
        <w:r w:rsidR="0094368D" w:rsidRPr="009B3A31">
          <w:rPr>
            <w:rStyle w:val="Hyperlink"/>
            <w:lang w:val="ru-RU"/>
          </w:rPr>
          <w:t>членами Межорганизационной программы по рациональному регулированию химических веществ и секретариатами многосторонних природоохранных соглашений.</w:t>
        </w:r>
      </w:hyperlink>
    </w:p>
    <w:p w14:paraId="5CB26559" w14:textId="6329DAD4" w:rsidR="0094368D" w:rsidRPr="0094368D" w:rsidRDefault="00363038" w:rsidP="009B3A31">
      <w:pPr>
        <w:spacing w:after="120"/>
        <w:ind w:left="1247"/>
        <w:rPr>
          <w:szCs w:val="20"/>
          <w:lang w:val="ru-RU"/>
        </w:rPr>
      </w:pPr>
      <w:r>
        <w:rPr>
          <w:szCs w:val="20"/>
          <w:lang w:val="ru-RU"/>
        </w:rPr>
        <w:t>22.</w:t>
      </w:r>
      <w:r>
        <w:rPr>
          <w:szCs w:val="20"/>
          <w:lang w:val="ru-RU"/>
        </w:rPr>
        <w:tab/>
      </w:r>
      <w:r w:rsidR="0094368D" w:rsidRPr="0094368D">
        <w:rPr>
          <w:szCs w:val="20"/>
          <w:lang w:val="ru-RU"/>
        </w:rPr>
        <w:t>В докладе содержится оценка восьми новых политических вопросов и других вызывающих озабоченность вопросов, выявленных в рамках Стратегического подхода к международному регулированию химических веществ: химические вещества в продуктах, химические вещества, вызывающие эндокринные нарушения, экологически стойкие фармацевтические загрязнители, опасные вещества в жизненном цикле электротехнических и электронных изделий, особо опасные пестициды, свинец в красках, нанотехнологии и произведенные наноматериалы, а также пер- и полифторалкильные вещества. В нем рассматривается вопрос о том, каким образом существу</w:t>
      </w:r>
      <w:r w:rsidR="00D724A1">
        <w:rPr>
          <w:szCs w:val="20"/>
          <w:lang w:val="ru-RU"/>
        </w:rPr>
        <w:t>ю</w:t>
      </w:r>
      <w:r w:rsidR="0094368D" w:rsidRPr="0094368D">
        <w:rPr>
          <w:szCs w:val="20"/>
          <w:lang w:val="ru-RU"/>
        </w:rPr>
        <w:t xml:space="preserve">щие нормативные и политические рамки позволяют решать эти проблемы с помощью конкретных инструментов и мер на основе выводов, содержащихся в докладе «Глобальная перспектива в области химических веществ </w:t>
      </w:r>
      <w:r w:rsidR="0094368D" w:rsidRPr="00225634">
        <w:rPr>
          <w:szCs w:val="20"/>
        </w:rPr>
        <w:t>II</w:t>
      </w:r>
      <w:r w:rsidR="0094368D" w:rsidRPr="0094368D">
        <w:rPr>
          <w:szCs w:val="20"/>
          <w:lang w:val="ru-RU"/>
        </w:rPr>
        <w:t>», и с уделением особого внимания проблемам и возможностям.</w:t>
      </w:r>
    </w:p>
    <w:p w14:paraId="42E6FFD1" w14:textId="39528898" w:rsidR="0094368D" w:rsidRPr="0094368D" w:rsidRDefault="00363038" w:rsidP="009B3A31">
      <w:pPr>
        <w:spacing w:after="120"/>
        <w:ind w:left="1247"/>
        <w:rPr>
          <w:szCs w:val="20"/>
          <w:lang w:val="ru-RU"/>
        </w:rPr>
      </w:pPr>
      <w:r>
        <w:rPr>
          <w:szCs w:val="20"/>
          <w:lang w:val="ru-RU"/>
        </w:rPr>
        <w:t>23.</w:t>
      </w:r>
      <w:r>
        <w:rPr>
          <w:szCs w:val="20"/>
          <w:lang w:val="ru-RU"/>
        </w:rPr>
        <w:tab/>
      </w:r>
      <w:r w:rsidR="0094368D" w:rsidRPr="0094368D">
        <w:rPr>
          <w:szCs w:val="20"/>
          <w:lang w:val="ru-RU"/>
        </w:rPr>
        <w:t>В докладе по вопросам, вызывающим озабоченность, рассматриваются также 11</w:t>
      </w:r>
      <w:r>
        <w:rPr>
          <w:szCs w:val="20"/>
          <w:lang w:val="ru-RU"/>
        </w:rPr>
        <w:t> </w:t>
      </w:r>
      <w:r w:rsidR="0094368D" w:rsidRPr="0094368D">
        <w:rPr>
          <w:szCs w:val="20"/>
          <w:lang w:val="ru-RU"/>
        </w:rPr>
        <w:t xml:space="preserve">вопросов, в отношении которых появляющиеся данные указывают на риск для здоровья человека и окружающей среды и которые определены в докладе «Глобальная перспектива в области химических веществ </w:t>
      </w:r>
      <w:r w:rsidR="0094368D" w:rsidRPr="00225634">
        <w:rPr>
          <w:szCs w:val="20"/>
        </w:rPr>
        <w:t>II</w:t>
      </w:r>
      <w:r w:rsidR="0094368D" w:rsidRPr="0094368D">
        <w:rPr>
          <w:szCs w:val="20"/>
          <w:lang w:val="ru-RU"/>
        </w:rPr>
        <w:t>»: мышьяк, бисфенол А, кадмий, глифосат, свинец, микрочастицы пластмасс, неоникотиноиды, оловоорганические соединения, фталаты, полициклические ароматические углеводороды и триклозан. В докладе дается оценка текущего воздействия, а также инструментов и мер в рамках существующей нормативно-правовой и политической базы, с освещением проблем и возможностей. Также предоставляется справочная информация о воздействии этих вопросов на здоровье человека и окружающую среду на основе существующих оценок, проводимых национальными правительствами и межправительственными учреждениями.</w:t>
      </w:r>
    </w:p>
    <w:p w14:paraId="32F0D1C3" w14:textId="4562F379" w:rsidR="0094368D" w:rsidRPr="0094368D" w:rsidRDefault="00363038" w:rsidP="009B3A31">
      <w:pPr>
        <w:spacing w:after="120"/>
        <w:ind w:left="1247"/>
        <w:rPr>
          <w:szCs w:val="20"/>
          <w:lang w:val="ru-RU"/>
        </w:rPr>
      </w:pPr>
      <w:r>
        <w:rPr>
          <w:szCs w:val="20"/>
          <w:lang w:val="ru-RU"/>
        </w:rPr>
        <w:t>24.</w:t>
      </w:r>
      <w:r>
        <w:rPr>
          <w:szCs w:val="20"/>
          <w:lang w:val="ru-RU"/>
        </w:rPr>
        <w:tab/>
      </w:r>
      <w:r w:rsidR="0094368D" w:rsidRPr="0094368D">
        <w:rPr>
          <w:szCs w:val="20"/>
          <w:lang w:val="ru-RU"/>
        </w:rPr>
        <w:t>В докладе по вопросам, вызывающим озабоченность, представлена отправная идея в отношении выявления вопросов, вызывающих озабоченность, включая обзор существующих подходов, перечень других текущих актуальных инициатив и соображения о потенциальных областях, в которых могут быть выявлены будущие вопросы, вызывающие озабоченность, и о возможных процессах их выявления. За этим следует общий прогноз будущей международной работы над вопросами, вызывающими озабоченность.</w:t>
      </w:r>
    </w:p>
    <w:p w14:paraId="5BAC01B3"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G</w:t>
      </w:r>
      <w:r w:rsidRPr="0094368D">
        <w:rPr>
          <w:b/>
          <w:bCs/>
          <w:sz w:val="24"/>
          <w:szCs w:val="24"/>
          <w:lang w:val="ru-RU"/>
        </w:rPr>
        <w:t>.</w:t>
      </w:r>
      <w:r w:rsidRPr="0094368D">
        <w:rPr>
          <w:b/>
          <w:bCs/>
          <w:sz w:val="24"/>
          <w:szCs w:val="24"/>
          <w:lang w:val="ru-RU"/>
        </w:rPr>
        <w:tab/>
        <w:t>Оценка вариантов укрепления научно-политического взаимодействия</w:t>
      </w:r>
    </w:p>
    <w:p w14:paraId="70CA2463" w14:textId="4B004C3F" w:rsidR="0094368D" w:rsidRPr="0094368D" w:rsidRDefault="00363038" w:rsidP="009B3A31">
      <w:pPr>
        <w:spacing w:after="120"/>
        <w:ind w:left="1247"/>
        <w:rPr>
          <w:szCs w:val="20"/>
          <w:lang w:val="ru-RU"/>
        </w:rPr>
      </w:pPr>
      <w:r>
        <w:rPr>
          <w:szCs w:val="20"/>
          <w:lang w:val="ru-RU"/>
        </w:rPr>
        <w:t>25.</w:t>
      </w:r>
      <w:r>
        <w:rPr>
          <w:szCs w:val="20"/>
          <w:lang w:val="ru-RU"/>
        </w:rPr>
        <w:tab/>
      </w:r>
      <w:r w:rsidR="0094368D" w:rsidRPr="0094368D">
        <w:rPr>
          <w:szCs w:val="20"/>
          <w:lang w:val="ru-RU"/>
        </w:rPr>
        <w:t xml:space="preserve">Доклад, содержащий оценку вариантов укрепления научно-политического взаимодействия на международном уровне в целях рационального регулирования химических веществ и отходов, был подготовлен для пятой сессии Ассамблеи Организации Объединенных </w:t>
      </w:r>
      <w:r w:rsidR="0094368D" w:rsidRPr="0094368D">
        <w:rPr>
          <w:szCs w:val="20"/>
          <w:lang w:val="ru-RU"/>
        </w:rPr>
        <w:lastRenderedPageBreak/>
        <w:t>Наций по окружающей среде и опубликован 30 июня 2020 года. Подготовка доклада была профинансирована правительствами Германии и Швейцарии, а также экологическими фондами.</w:t>
      </w:r>
    </w:p>
    <w:p w14:paraId="15E2ED8B" w14:textId="76841A03" w:rsidR="0094368D" w:rsidRPr="0094368D" w:rsidRDefault="00363038" w:rsidP="009B3A31">
      <w:pPr>
        <w:spacing w:after="120"/>
        <w:ind w:left="1247"/>
        <w:rPr>
          <w:szCs w:val="20"/>
          <w:lang w:val="ru-RU"/>
        </w:rPr>
      </w:pPr>
      <w:r>
        <w:rPr>
          <w:szCs w:val="20"/>
          <w:lang w:val="ru-RU"/>
        </w:rPr>
        <w:t>26.</w:t>
      </w:r>
      <w:r>
        <w:rPr>
          <w:szCs w:val="20"/>
          <w:lang w:val="ru-RU"/>
        </w:rPr>
        <w:tab/>
      </w:r>
      <w:r w:rsidR="0094368D" w:rsidRPr="0094368D">
        <w:rPr>
          <w:szCs w:val="20"/>
          <w:lang w:val="ru-RU"/>
        </w:rPr>
        <w:t>Цель доклада заключается в содействии обсуждению вопросов укрепления научно</w:t>
      </w:r>
      <w:r w:rsidR="000B62E9">
        <w:rPr>
          <w:szCs w:val="20"/>
          <w:lang w:val="ru-RU"/>
        </w:rPr>
        <w:noBreakHyphen/>
      </w:r>
      <w:r w:rsidR="0094368D" w:rsidRPr="0094368D">
        <w:rPr>
          <w:szCs w:val="20"/>
          <w:lang w:val="ru-RU"/>
        </w:rPr>
        <w:t>политического взаимодействия в целях регулирования химических веществ и отходов и предоставлении основы для этого обсуждения и, таким образом, в оказании поддержки и содействия научно обоснованным действиям на местном, национальном, региональном и глобальном уровнях в области рационального регулирования химических веществ и отходов после 2020 года.</w:t>
      </w:r>
    </w:p>
    <w:p w14:paraId="3DBF9F79" w14:textId="77C376DC" w:rsidR="0094368D" w:rsidRPr="0094368D" w:rsidRDefault="00363038" w:rsidP="009B3A31">
      <w:pPr>
        <w:spacing w:after="120"/>
        <w:ind w:left="1247"/>
        <w:rPr>
          <w:szCs w:val="20"/>
          <w:lang w:val="ru-RU"/>
        </w:rPr>
      </w:pPr>
      <w:r>
        <w:rPr>
          <w:szCs w:val="20"/>
          <w:lang w:val="ru-RU"/>
        </w:rPr>
        <w:t>27.</w:t>
      </w:r>
      <w:r>
        <w:rPr>
          <w:szCs w:val="20"/>
          <w:lang w:val="ru-RU"/>
        </w:rPr>
        <w:tab/>
      </w:r>
      <w:r w:rsidR="0094368D" w:rsidRPr="0094368D">
        <w:rPr>
          <w:szCs w:val="20"/>
          <w:lang w:val="ru-RU"/>
        </w:rPr>
        <w:t>В докладе рассматриваются различные существующие платформы научно</w:t>
      </w:r>
      <w:r w:rsidR="001F0A0F">
        <w:rPr>
          <w:szCs w:val="20"/>
          <w:lang w:val="ru-RU"/>
        </w:rPr>
        <w:noBreakHyphen/>
      </w:r>
      <w:r w:rsidR="0094368D" w:rsidRPr="0094368D">
        <w:rPr>
          <w:szCs w:val="20"/>
          <w:lang w:val="ru-RU"/>
        </w:rPr>
        <w:t>политического взаимодействия и обсуждаются уроки, извлеченные из разработки прогнозов и оценок. Рассматриваются последствия и результаты работы усиленной платформы научно</w:t>
      </w:r>
      <w:r>
        <w:rPr>
          <w:szCs w:val="20"/>
          <w:lang w:val="ru-RU"/>
        </w:rPr>
        <w:noBreakHyphen/>
      </w:r>
      <w:r w:rsidR="0094368D" w:rsidRPr="0094368D">
        <w:rPr>
          <w:szCs w:val="20"/>
          <w:lang w:val="ru-RU"/>
        </w:rPr>
        <w:t>политического взаимодействия, а также обсуждается институциональная структура такой платформы. С учетом необходимости получения авторитетных результатов, актуальных с точки зрения политики, но не предписывающих ее, а также наличия платформы с высокой степенью реагирования, в докладе представлен набросок вариантов укрепления научно</w:t>
      </w:r>
      <w:r w:rsidR="001B4FB7">
        <w:rPr>
          <w:szCs w:val="20"/>
          <w:lang w:val="ru-RU"/>
        </w:rPr>
        <w:noBreakHyphen/>
      </w:r>
      <w:r w:rsidR="0094368D" w:rsidRPr="0094368D">
        <w:rPr>
          <w:szCs w:val="20"/>
          <w:lang w:val="ru-RU"/>
        </w:rPr>
        <w:t>политического взаимодействия.</w:t>
      </w:r>
    </w:p>
    <w:p w14:paraId="7B55C4B6" w14:textId="77777777" w:rsidR="0094368D" w:rsidRPr="0094368D" w:rsidRDefault="0094368D" w:rsidP="0094368D">
      <w:pPr>
        <w:tabs>
          <w:tab w:val="right" w:pos="851"/>
        </w:tabs>
        <w:spacing w:after="120"/>
        <w:ind w:left="1247" w:right="284" w:hanging="1247"/>
        <w:rPr>
          <w:b/>
          <w:bCs/>
          <w:sz w:val="24"/>
          <w:szCs w:val="24"/>
          <w:lang w:val="ru-RU"/>
        </w:rPr>
      </w:pPr>
      <w:r w:rsidRPr="0094368D">
        <w:rPr>
          <w:b/>
          <w:bCs/>
          <w:sz w:val="24"/>
          <w:szCs w:val="24"/>
          <w:lang w:val="ru-RU"/>
        </w:rPr>
        <w:tab/>
      </w:r>
      <w:r w:rsidRPr="0094368D">
        <w:rPr>
          <w:b/>
          <w:bCs/>
          <w:sz w:val="24"/>
          <w:szCs w:val="24"/>
        </w:rPr>
        <w:t>H</w:t>
      </w:r>
      <w:r w:rsidRPr="0094368D">
        <w:rPr>
          <w:b/>
          <w:bCs/>
          <w:sz w:val="24"/>
          <w:szCs w:val="24"/>
          <w:lang w:val="ru-RU"/>
        </w:rPr>
        <w:t>.</w:t>
      </w:r>
      <w:r w:rsidRPr="0094368D">
        <w:rPr>
          <w:b/>
          <w:bCs/>
          <w:sz w:val="24"/>
          <w:szCs w:val="24"/>
          <w:lang w:val="ru-RU"/>
        </w:rPr>
        <w:tab/>
        <w:t>Оказание развивающимся странам и странам с переходной экономикой технической консультативной помощи, поддержки в вопросах политики и помощи в создании потенциала</w:t>
      </w:r>
    </w:p>
    <w:p w14:paraId="24687F91" w14:textId="255FAFDF" w:rsidR="0094368D" w:rsidRPr="0094368D" w:rsidRDefault="00363038" w:rsidP="009B3A31">
      <w:pPr>
        <w:spacing w:after="120"/>
        <w:ind w:left="1247"/>
        <w:rPr>
          <w:szCs w:val="20"/>
          <w:lang w:val="ru-RU"/>
        </w:rPr>
      </w:pPr>
      <w:r>
        <w:rPr>
          <w:szCs w:val="20"/>
          <w:lang w:val="ru-RU"/>
        </w:rPr>
        <w:t>28.</w:t>
      </w:r>
      <w:r>
        <w:rPr>
          <w:szCs w:val="20"/>
          <w:lang w:val="ru-RU"/>
        </w:rPr>
        <w:tab/>
      </w:r>
      <w:r w:rsidR="0094368D" w:rsidRPr="0094368D">
        <w:rPr>
          <w:szCs w:val="20"/>
          <w:lang w:val="ru-RU"/>
        </w:rPr>
        <w:t>ЮНЕП обеспечивает поддержку и создание потенциала для мониторинга стойких органических загрязнителей в биотических и абиотических средах посредством осуществления проектов ГЭФ по Глобальному плану мониторинга стойких органических загрязнителей, которые включают подготовку кадров и техническое руководство по отбору проб и анализу матриц для определения уровней этих загрязнителей. ЮНЕП также оказывает поддержку в производстве данных об уровнях содержания стойких органических загрязнителей в человеческом молоке и экологических средах в отдельных экспертных лабораториях. Это является непосредственны</w:t>
      </w:r>
      <w:r w:rsidR="00734F24">
        <w:rPr>
          <w:szCs w:val="20"/>
          <w:lang w:val="ru-RU"/>
        </w:rPr>
        <w:t>м</w:t>
      </w:r>
      <w:r w:rsidR="0094368D" w:rsidRPr="0094368D">
        <w:rPr>
          <w:szCs w:val="20"/>
          <w:lang w:val="ru-RU"/>
        </w:rPr>
        <w:t xml:space="preserve"> вкладом в осуществление Глобального плана мониторинга Стокгольмской конвенции о стойких органических загрязнителях и процесс оценки его эффективности.</w:t>
      </w:r>
    </w:p>
    <w:p w14:paraId="57F2A47B" w14:textId="4AD4CAA8" w:rsidR="0094368D" w:rsidRPr="0094368D" w:rsidRDefault="00363038" w:rsidP="009B3A31">
      <w:pPr>
        <w:spacing w:after="120"/>
        <w:ind w:left="1247"/>
        <w:rPr>
          <w:szCs w:val="20"/>
          <w:lang w:val="ru-RU"/>
        </w:rPr>
      </w:pPr>
      <w:r>
        <w:rPr>
          <w:szCs w:val="20"/>
          <w:lang w:val="ru-RU"/>
        </w:rPr>
        <w:t>29.</w:t>
      </w:r>
      <w:r>
        <w:rPr>
          <w:szCs w:val="20"/>
          <w:lang w:val="ru-RU"/>
        </w:rPr>
        <w:tab/>
      </w:r>
      <w:r w:rsidR="0094368D" w:rsidRPr="0094368D">
        <w:rPr>
          <w:szCs w:val="20"/>
          <w:lang w:val="ru-RU"/>
        </w:rPr>
        <w:t>Например, в решении проблемы ртути ЮНЕП на сегодняшний день оказала поддержку 62 странам в разработке первоначальных оценок в рамках Минаматской конвенции и 30</w:t>
      </w:r>
      <w:r w:rsidR="005A2943">
        <w:rPr>
          <w:szCs w:val="20"/>
          <w:lang w:val="ru-RU"/>
        </w:rPr>
        <w:t> </w:t>
      </w:r>
      <w:r w:rsidR="0094368D" w:rsidRPr="0094368D">
        <w:rPr>
          <w:szCs w:val="20"/>
          <w:lang w:val="ru-RU"/>
        </w:rPr>
        <w:t>странам в разработке национальных планов действий по сокращению применения ртути в кустарной и мелкомасштабной золотодобыче при финансировании со стороны ГЭФ. Она также разработала основные инструменты и руководящие материалы в поддержку деятельности в отношении кустарной и мелкомасштабной золотодобычи.</w:t>
      </w:r>
    </w:p>
    <w:p w14:paraId="129CF57A" w14:textId="29316E03" w:rsidR="0094368D" w:rsidRPr="0094368D" w:rsidRDefault="00363038" w:rsidP="009B3A31">
      <w:pPr>
        <w:spacing w:after="120"/>
        <w:ind w:left="1247"/>
        <w:rPr>
          <w:szCs w:val="20"/>
          <w:lang w:val="ru-RU"/>
        </w:rPr>
      </w:pPr>
      <w:r>
        <w:rPr>
          <w:szCs w:val="20"/>
          <w:lang w:val="ru-RU"/>
        </w:rPr>
        <w:t>30.</w:t>
      </w:r>
      <w:r>
        <w:rPr>
          <w:szCs w:val="20"/>
          <w:lang w:val="ru-RU"/>
        </w:rPr>
        <w:tab/>
      </w:r>
      <w:r w:rsidR="0094368D" w:rsidRPr="0094368D">
        <w:rPr>
          <w:szCs w:val="20"/>
          <w:lang w:val="ru-RU"/>
        </w:rPr>
        <w:t>Кроме того, в рамках Глобального партнерства по ртути, в котором участвуют более 190</w:t>
      </w:r>
      <w:r>
        <w:rPr>
          <w:szCs w:val="20"/>
          <w:lang w:val="ru-RU"/>
        </w:rPr>
        <w:t> </w:t>
      </w:r>
      <w:r w:rsidR="0094368D" w:rsidRPr="0094368D">
        <w:rPr>
          <w:szCs w:val="20"/>
          <w:lang w:val="ru-RU"/>
        </w:rPr>
        <w:t>заинтересованных сторон, основное внимание уделяется оказанию странам поддержки в своевременном и эффективном осуществлении Минаматской конвенции, предоставлению новейших знаний и научных данных о ртути и проведению информационно-разъяснительной и просветительской работы по вопросам глобальных действий в отношении ртути.</w:t>
      </w:r>
    </w:p>
    <w:p w14:paraId="2A82074A" w14:textId="268444AF" w:rsidR="0094368D" w:rsidRPr="0094368D" w:rsidRDefault="00363038" w:rsidP="009B3A31">
      <w:pPr>
        <w:spacing w:after="120"/>
        <w:ind w:left="1247"/>
        <w:rPr>
          <w:szCs w:val="20"/>
          <w:lang w:val="ru-RU"/>
        </w:rPr>
      </w:pPr>
      <w:r>
        <w:rPr>
          <w:szCs w:val="20"/>
          <w:lang w:val="ru-RU"/>
        </w:rPr>
        <w:t>31.</w:t>
      </w:r>
      <w:r>
        <w:rPr>
          <w:szCs w:val="20"/>
          <w:lang w:val="ru-RU"/>
        </w:rPr>
        <w:tab/>
      </w:r>
      <w:r w:rsidR="0094368D" w:rsidRPr="0094368D">
        <w:rPr>
          <w:szCs w:val="20"/>
          <w:lang w:val="ru-RU"/>
        </w:rPr>
        <w:t>Через Глобальный альянс для вывода из обращения содержащей свинец краски ЮНЕП оказала поддержку 61 стране, в том числе в рамках компонента 1 проекта «Глобальная передовая практика в отношении возникающих вопросов политики в области химических веществ, представляющих интерес в рамках Стратегического подхода к международному регулированию химических веществ». Странам была оказана техническая помощь в принятии законов о содержащих свинец красках с точки зрения разработки законопроектов и повышения осведомленности.</w:t>
      </w:r>
    </w:p>
    <w:p w14:paraId="595E5DAD" w14:textId="60D40F61" w:rsidR="0094368D" w:rsidRPr="0094368D" w:rsidRDefault="00363038" w:rsidP="009B3A31">
      <w:pPr>
        <w:spacing w:after="120"/>
        <w:ind w:left="1247"/>
        <w:rPr>
          <w:szCs w:val="20"/>
          <w:lang w:val="ru-RU"/>
        </w:rPr>
      </w:pPr>
      <w:r>
        <w:rPr>
          <w:szCs w:val="20"/>
          <w:lang w:val="ru-RU"/>
        </w:rPr>
        <w:t>32.</w:t>
      </w:r>
      <w:r>
        <w:rPr>
          <w:szCs w:val="20"/>
          <w:lang w:val="ru-RU"/>
        </w:rPr>
        <w:tab/>
      </w:r>
      <w:r w:rsidR="0094368D" w:rsidRPr="0094368D">
        <w:rPr>
          <w:szCs w:val="20"/>
          <w:lang w:val="ru-RU"/>
        </w:rPr>
        <w:t>В настоящее время ЮНЕП оказывает четырем странам Азии поддержку в выполнении многосторонних природоохранных соглашений путем разработки индивидуальных онлайновых курсов и серии мероприятий по созданию потенциала на основе оценки недостатков, используя бюджет в размере 1 млн долл. США, предоставленный Китайским целевым фондом.</w:t>
      </w:r>
    </w:p>
    <w:p w14:paraId="143C8DBE" w14:textId="65925E44" w:rsidR="0094368D" w:rsidRPr="0094368D" w:rsidRDefault="00363038" w:rsidP="009B3A31">
      <w:pPr>
        <w:spacing w:after="120"/>
        <w:ind w:left="1247"/>
        <w:rPr>
          <w:szCs w:val="20"/>
          <w:lang w:val="ru-RU"/>
        </w:rPr>
      </w:pPr>
      <w:r>
        <w:rPr>
          <w:szCs w:val="20"/>
          <w:lang w:val="ru-RU"/>
        </w:rPr>
        <w:t>33.</w:t>
      </w:r>
      <w:r>
        <w:rPr>
          <w:szCs w:val="20"/>
          <w:lang w:val="ru-RU"/>
        </w:rPr>
        <w:tab/>
      </w:r>
      <w:r w:rsidR="0094368D" w:rsidRPr="0094368D">
        <w:rPr>
          <w:szCs w:val="20"/>
          <w:lang w:val="ru-RU"/>
        </w:rPr>
        <w:t xml:space="preserve">В 2016 году был подписан меморандум о взаимопонимании между ЮНЕП и Международным советом химических ассоциаций в целях разработки и внедрения эффективных режимов регулирования химических веществ для предприятий и государственных учреждений. Был проведен ряд совместных мероприятий, включая исследования, национальные мероприятия по созданию потенциала в развивающихся странах </w:t>
      </w:r>
      <w:r w:rsidR="0094368D" w:rsidRPr="0094368D">
        <w:rPr>
          <w:szCs w:val="20"/>
          <w:lang w:val="ru-RU"/>
        </w:rPr>
        <w:lastRenderedPageBreak/>
        <w:t>(Аргентина, Индия, Кения, Китай и Объединенная Республика Танзания) и разработку учебных пособий, касающихся информации о здоровье и безопасности окружающей среды, связанной с химическими веществами.</w:t>
      </w:r>
    </w:p>
    <w:p w14:paraId="721667F8" w14:textId="1FE7755C" w:rsidR="0094368D" w:rsidRPr="0094368D" w:rsidRDefault="00363038" w:rsidP="009B3A31">
      <w:pPr>
        <w:spacing w:after="120"/>
        <w:ind w:left="1247"/>
        <w:rPr>
          <w:szCs w:val="20"/>
          <w:lang w:val="ru-RU"/>
        </w:rPr>
      </w:pPr>
      <w:r>
        <w:rPr>
          <w:szCs w:val="20"/>
          <w:lang w:val="ru-RU"/>
        </w:rPr>
        <w:t>34.</w:t>
      </w:r>
      <w:r>
        <w:rPr>
          <w:szCs w:val="20"/>
          <w:lang w:val="ru-RU"/>
        </w:rPr>
        <w:tab/>
      </w:r>
      <w:r w:rsidR="0094368D" w:rsidRPr="0094368D">
        <w:rPr>
          <w:szCs w:val="20"/>
          <w:lang w:val="ru-RU"/>
        </w:rPr>
        <w:t>ЮНЕП и секретариаты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активизировали деятельность своей Совместной целевой группы по программному сотрудничеству в области химических веществ и отходов. Целевая группа стремится к расширению программного сотрудничества и служит платформой для изучения связей с более широкими повестками дня в области окружающей среды и устойчивого развития, такими как повестка дня в области загрязнения окружающей среды, устойчивый образ жизни, цикличность и города.</w:t>
      </w:r>
    </w:p>
    <w:p w14:paraId="609F8CE7" w14:textId="4C26C3F8" w:rsidR="0094368D" w:rsidRPr="0094368D" w:rsidRDefault="00363038" w:rsidP="00363038">
      <w:pPr>
        <w:spacing w:after="240"/>
        <w:ind w:left="1247"/>
        <w:rPr>
          <w:szCs w:val="20"/>
          <w:lang w:val="ru-RU"/>
        </w:rPr>
      </w:pPr>
      <w:r>
        <w:rPr>
          <w:szCs w:val="20"/>
          <w:lang w:val="ru-RU"/>
        </w:rPr>
        <w:t>35.</w:t>
      </w:r>
      <w:r>
        <w:rPr>
          <w:szCs w:val="20"/>
          <w:lang w:val="ru-RU"/>
        </w:rPr>
        <w:tab/>
      </w:r>
      <w:r w:rsidR="0094368D" w:rsidRPr="0094368D">
        <w:rPr>
          <w:szCs w:val="20"/>
          <w:lang w:val="ru-RU"/>
        </w:rPr>
        <w:t>Для удовлетворения растущего спроса на более качественные данные и потенциал для осуществления последующей деятельности и обзора хода достижения целей в области устойчивого развития и выполнения предусмотренных ими задач, ЮНЕП в 2017 году приступила к осуществлению проекта, озаглавленного «Химические вещества и отходы в рамках Повестки дня на период до 2030 года: создание потенциала для осуществления последующей деятельности и обзора целей в области устойчивого развития в развивающихся странах в целях сведения к минимуму рисков, связанных с химическими веществами и отходами, во всех секторах» и финансируемого по линии Счета развития Организации Объединенных Наций. В настоящее время трем отобранным странам в экспериментальном режиме оказывается помощь в проведении национальной оценки их статистических данных, показателей и отчетности по химическим веществам и отходам в целях разработки национального плана действий по показателям, мониторингу и представлению статистических данных, касающихся регулирования химических веществ и отходов.</w:t>
      </w:r>
    </w:p>
    <w:bookmarkEnd w:id="1"/>
    <w:p w14:paraId="63ED64D7" w14:textId="77777777" w:rsidR="0094368D" w:rsidRPr="00363038" w:rsidRDefault="0094368D" w:rsidP="0094368D">
      <w:pPr>
        <w:tabs>
          <w:tab w:val="right" w:pos="851"/>
        </w:tabs>
        <w:spacing w:after="120"/>
        <w:ind w:left="1247" w:right="284" w:hanging="1247"/>
        <w:rPr>
          <w:b/>
          <w:bCs/>
          <w:sz w:val="28"/>
          <w:szCs w:val="28"/>
          <w:lang w:val="ru-RU"/>
        </w:rPr>
      </w:pPr>
      <w:r w:rsidRPr="00363038">
        <w:rPr>
          <w:b/>
          <w:bCs/>
          <w:sz w:val="28"/>
          <w:szCs w:val="28"/>
          <w:lang w:val="ru-RU"/>
        </w:rPr>
        <w:tab/>
      </w:r>
      <w:r w:rsidRPr="00363038">
        <w:rPr>
          <w:b/>
          <w:bCs/>
          <w:sz w:val="28"/>
          <w:szCs w:val="28"/>
        </w:rPr>
        <w:t>II</w:t>
      </w:r>
      <w:r w:rsidRPr="00363038">
        <w:rPr>
          <w:b/>
          <w:bCs/>
          <w:sz w:val="28"/>
          <w:szCs w:val="28"/>
          <w:lang w:val="ru-RU"/>
        </w:rPr>
        <w:t>.</w:t>
      </w:r>
      <w:r w:rsidRPr="00363038">
        <w:rPr>
          <w:b/>
          <w:bCs/>
          <w:sz w:val="28"/>
          <w:szCs w:val="28"/>
          <w:lang w:val="ru-RU"/>
        </w:rPr>
        <w:tab/>
        <w:t>Накопленный опыт</w:t>
      </w:r>
    </w:p>
    <w:p w14:paraId="25426DAA" w14:textId="5F16F99F" w:rsidR="0094368D" w:rsidRPr="0094368D" w:rsidRDefault="00363038" w:rsidP="009B3A31">
      <w:pPr>
        <w:spacing w:after="120"/>
        <w:ind w:left="1247"/>
        <w:rPr>
          <w:szCs w:val="20"/>
          <w:lang w:val="ru-RU"/>
        </w:rPr>
      </w:pPr>
      <w:r>
        <w:rPr>
          <w:szCs w:val="20"/>
          <w:lang w:val="ru-RU"/>
        </w:rPr>
        <w:t>36.</w:t>
      </w:r>
      <w:r>
        <w:rPr>
          <w:szCs w:val="20"/>
          <w:lang w:val="ru-RU"/>
        </w:rPr>
        <w:tab/>
      </w:r>
      <w:r w:rsidR="0094368D" w:rsidRPr="0094368D">
        <w:rPr>
          <w:szCs w:val="20"/>
          <w:lang w:val="ru-RU"/>
        </w:rPr>
        <w:t xml:space="preserve">В соответствии с пунктом 24 своего круга ведения Специальная программа по оказанию поддержки деятельности по институциональному укреплению на национальном уровне для активизации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будет открыта для получения добровольных взносов и заявок на оказание поддержки в течение семи лет с даты ее учреждения. На основе удовлетворительного обзора и оценки и с учетом рекомендации, которую Исполнительный совет направляет Ассамблее по окружающей среде, Специальная программа может быть продлена один раз на срок не более пяти лет. Средства Специальной программы могут выделяться на максимальный срок </w:t>
      </w:r>
      <w:r w:rsidR="006C172A">
        <w:rPr>
          <w:szCs w:val="20"/>
          <w:lang w:val="ru-RU"/>
        </w:rPr>
        <w:t>10</w:t>
      </w:r>
      <w:r w:rsidR="0094368D" w:rsidRPr="0094368D">
        <w:rPr>
          <w:szCs w:val="20"/>
          <w:lang w:val="ru-RU"/>
        </w:rPr>
        <w:t xml:space="preserve"> лет с даты учреждения Программы или </w:t>
      </w:r>
      <w:r w:rsidR="006C172A">
        <w:rPr>
          <w:szCs w:val="20"/>
          <w:lang w:val="ru-RU"/>
        </w:rPr>
        <w:t>8</w:t>
      </w:r>
      <w:r w:rsidR="0094368D" w:rsidRPr="0094368D">
        <w:rPr>
          <w:szCs w:val="20"/>
          <w:lang w:val="ru-RU"/>
        </w:rPr>
        <w:t xml:space="preserve"> лет с даты ее продления, если применимо, после чего деятельность Программы завершается и она закрывается.</w:t>
      </w:r>
    </w:p>
    <w:p w14:paraId="0075D945" w14:textId="25708513" w:rsidR="0094368D" w:rsidRPr="0094368D" w:rsidRDefault="00363038" w:rsidP="009B3A31">
      <w:pPr>
        <w:spacing w:after="120"/>
        <w:ind w:left="1247"/>
        <w:rPr>
          <w:szCs w:val="20"/>
          <w:lang w:val="ru-RU"/>
        </w:rPr>
      </w:pPr>
      <w:r>
        <w:rPr>
          <w:szCs w:val="20"/>
          <w:lang w:val="ru-RU"/>
        </w:rPr>
        <w:t>37.</w:t>
      </w:r>
      <w:r>
        <w:rPr>
          <w:szCs w:val="20"/>
          <w:lang w:val="ru-RU"/>
        </w:rPr>
        <w:tab/>
      </w:r>
      <w:r w:rsidR="0094368D" w:rsidRPr="0094368D">
        <w:rPr>
          <w:szCs w:val="20"/>
          <w:lang w:val="ru-RU"/>
        </w:rPr>
        <w:t>В октябре 2020 года после удовлетворительной среднесрочной оценки Специальной программы Исполнительный совет приступил к обсуждению вопроса о возможном продлении срока ее действия. Любая рекомендация, принятая Исполнительным советом по этому вопросу, будет размещена на веб-сайте Специальной программы</w:t>
      </w:r>
      <w:r w:rsidR="0094368D" w:rsidRPr="00363038">
        <w:rPr>
          <w:szCs w:val="20"/>
          <w:vertAlign w:val="superscript"/>
        </w:rPr>
        <w:footnoteReference w:id="3"/>
      </w:r>
      <w:r w:rsidR="0094368D" w:rsidRPr="0094368D">
        <w:rPr>
          <w:szCs w:val="20"/>
          <w:lang w:val="ru-RU"/>
        </w:rPr>
        <w:t>.</w:t>
      </w:r>
    </w:p>
    <w:p w14:paraId="441CDC9F" w14:textId="6A607EB2" w:rsidR="0094368D" w:rsidRPr="0094368D" w:rsidRDefault="00363038" w:rsidP="009B3A31">
      <w:pPr>
        <w:spacing w:after="120"/>
        <w:ind w:left="1247"/>
        <w:rPr>
          <w:szCs w:val="20"/>
          <w:lang w:val="ru-RU"/>
        </w:rPr>
      </w:pPr>
      <w:r>
        <w:rPr>
          <w:szCs w:val="20"/>
          <w:lang w:val="ru-RU"/>
        </w:rPr>
        <w:t>38.</w:t>
      </w:r>
      <w:r>
        <w:rPr>
          <w:szCs w:val="20"/>
          <w:lang w:val="ru-RU"/>
        </w:rPr>
        <w:tab/>
      </w:r>
      <w:r w:rsidR="0094368D" w:rsidRPr="0094368D">
        <w:rPr>
          <w:szCs w:val="20"/>
          <w:lang w:val="ru-RU"/>
        </w:rPr>
        <w:t>ЮНЕП продолжит работу с организациями</w:t>
      </w:r>
      <w:r w:rsidR="003C1C14">
        <w:rPr>
          <w:szCs w:val="20"/>
          <w:lang w:val="ru-RU"/>
        </w:rPr>
        <w:t xml:space="preserve"> – </w:t>
      </w:r>
      <w:r w:rsidR="0094368D" w:rsidRPr="0094368D">
        <w:rPr>
          <w:szCs w:val="20"/>
          <w:lang w:val="ru-RU"/>
        </w:rPr>
        <w:t>членами Межорганизационной программы по рациональному регулированию химических веществ и в последующий период в целях укрепления сотрудничества и недопущения дублирования действий. ЮНЕП продолжит оказывать поддержку осуществлению многосторонних природоохранных соглашений.</w:t>
      </w:r>
    </w:p>
    <w:p w14:paraId="22488E37" w14:textId="02FDC7C8" w:rsidR="0094368D" w:rsidRPr="0094368D" w:rsidRDefault="00363038" w:rsidP="009B3A31">
      <w:pPr>
        <w:spacing w:after="120"/>
        <w:ind w:left="1247"/>
        <w:rPr>
          <w:szCs w:val="20"/>
          <w:lang w:val="ru-RU"/>
        </w:rPr>
      </w:pPr>
      <w:r>
        <w:rPr>
          <w:szCs w:val="20"/>
          <w:lang w:val="ru-RU"/>
        </w:rPr>
        <w:t>39.</w:t>
      </w:r>
      <w:r>
        <w:rPr>
          <w:szCs w:val="20"/>
          <w:lang w:val="ru-RU"/>
        </w:rPr>
        <w:tab/>
      </w:r>
      <w:r w:rsidR="0094368D" w:rsidRPr="0094368D">
        <w:rPr>
          <w:szCs w:val="20"/>
          <w:lang w:val="ru-RU"/>
        </w:rPr>
        <w:t>Ассамблея по окружающей среде продолжает оказывать поддержку амбициозному механизму содействия рациональному регулированию химических веществ и отходов после 2020 года. Ассамблее по окружающей среде будет предложено утвердить новый механизм содействия рациональному регулированию химических веществ и отходов. ЮНЕП продолжит размещать у себя его секретариат и предоставлять/прикомандировывать руководителя секретариата. Новая среднесрочная стратегия будет способствовать реализации нового механизма содействия. Новые цели и показатели будут рассмотрены в рамках среднесрочной стратегии на 2022-2025 годы путем разработки двухгодичных программ работы.</w:t>
      </w:r>
    </w:p>
    <w:p w14:paraId="548499BD" w14:textId="320BD93E" w:rsidR="0094368D" w:rsidRPr="0094368D" w:rsidRDefault="00363038" w:rsidP="009B3A31">
      <w:pPr>
        <w:spacing w:after="120"/>
        <w:ind w:left="1247"/>
        <w:rPr>
          <w:szCs w:val="20"/>
          <w:lang w:val="ru-RU"/>
        </w:rPr>
      </w:pPr>
      <w:r>
        <w:rPr>
          <w:szCs w:val="20"/>
          <w:lang w:val="ru-RU"/>
        </w:rPr>
        <w:lastRenderedPageBreak/>
        <w:t>40.</w:t>
      </w:r>
      <w:r>
        <w:rPr>
          <w:szCs w:val="20"/>
          <w:lang w:val="ru-RU"/>
        </w:rPr>
        <w:tab/>
      </w:r>
      <w:r w:rsidR="0094368D" w:rsidRPr="0094368D">
        <w:rPr>
          <w:szCs w:val="20"/>
          <w:lang w:val="ru-RU"/>
        </w:rPr>
        <w:t>В то время как некоторые вопросы решаются, необходимо срочно принять более амбициозные глобальные меры всеми заинтересованными сторонами, в том числе в отношении тяжелых металлов, – наследия, требующего дальнейших международных усилий.</w:t>
      </w:r>
    </w:p>
    <w:p w14:paraId="7E0AC59E" w14:textId="7AFB0F4C" w:rsidR="0094368D" w:rsidRPr="0094368D" w:rsidRDefault="00363038" w:rsidP="009B3A31">
      <w:pPr>
        <w:spacing w:after="240"/>
        <w:ind w:left="1247"/>
        <w:rPr>
          <w:szCs w:val="20"/>
          <w:lang w:val="ru-RU"/>
        </w:rPr>
      </w:pPr>
      <w:r>
        <w:rPr>
          <w:szCs w:val="20"/>
          <w:lang w:val="ru-RU"/>
        </w:rPr>
        <w:t>41.</w:t>
      </w:r>
      <w:r>
        <w:rPr>
          <w:szCs w:val="20"/>
          <w:lang w:val="ru-RU"/>
        </w:rPr>
        <w:tab/>
      </w:r>
      <w:r w:rsidR="0094368D" w:rsidRPr="0094368D">
        <w:rPr>
          <w:szCs w:val="20"/>
          <w:lang w:val="ru-RU"/>
        </w:rPr>
        <w:t>Деятельность ЮНЕП по оказанию странам поддержки в области химических веществ и отходов показала, что рациональное регулирование химических веществ и отходов неразрывно связано с одним из трех основных компонентов предлагаемой среднесрочной стратегии – химическими веществами и загрязнением – и способствует устойчивому потреблению и производству.</w:t>
      </w:r>
    </w:p>
    <w:p w14:paraId="7E4C360E" w14:textId="77777777" w:rsidR="0094368D" w:rsidRPr="0094368D" w:rsidRDefault="0094368D" w:rsidP="0094368D">
      <w:pPr>
        <w:tabs>
          <w:tab w:val="right" w:pos="851"/>
        </w:tabs>
        <w:spacing w:after="120"/>
        <w:ind w:left="1247" w:right="284" w:hanging="1247"/>
        <w:rPr>
          <w:b/>
          <w:bCs/>
          <w:sz w:val="28"/>
          <w:szCs w:val="28"/>
          <w:lang w:val="ru-RU"/>
        </w:rPr>
      </w:pPr>
      <w:r w:rsidRPr="0094368D">
        <w:rPr>
          <w:b/>
          <w:bCs/>
          <w:sz w:val="28"/>
          <w:szCs w:val="28"/>
          <w:lang w:val="ru-RU"/>
        </w:rPr>
        <w:tab/>
      </w:r>
      <w:r w:rsidRPr="0094368D">
        <w:rPr>
          <w:b/>
          <w:bCs/>
          <w:sz w:val="28"/>
          <w:szCs w:val="28"/>
        </w:rPr>
        <w:t>III</w:t>
      </w:r>
      <w:r w:rsidRPr="0094368D">
        <w:rPr>
          <w:b/>
          <w:bCs/>
          <w:sz w:val="28"/>
          <w:szCs w:val="28"/>
          <w:lang w:val="ru-RU"/>
        </w:rPr>
        <w:t>.</w:t>
      </w:r>
      <w:r w:rsidRPr="0094368D">
        <w:rPr>
          <w:b/>
          <w:bCs/>
          <w:sz w:val="28"/>
          <w:szCs w:val="28"/>
          <w:lang w:val="ru-RU"/>
        </w:rPr>
        <w:tab/>
        <w:t>Рекомендации и предлагаемые меры</w:t>
      </w:r>
    </w:p>
    <w:p w14:paraId="4CC2BA6F" w14:textId="153BB75D" w:rsidR="0094368D" w:rsidRPr="0094368D" w:rsidRDefault="00363038" w:rsidP="009B3A31">
      <w:pPr>
        <w:spacing w:after="120"/>
        <w:ind w:left="1247"/>
        <w:rPr>
          <w:szCs w:val="20"/>
          <w:lang w:val="ru-RU"/>
        </w:rPr>
      </w:pPr>
      <w:r>
        <w:rPr>
          <w:szCs w:val="20"/>
          <w:lang w:val="ru-RU"/>
        </w:rPr>
        <w:t>42.</w:t>
      </w:r>
      <w:r>
        <w:rPr>
          <w:szCs w:val="20"/>
          <w:lang w:val="ru-RU"/>
        </w:rPr>
        <w:tab/>
      </w:r>
      <w:r w:rsidR="0094368D" w:rsidRPr="0094368D">
        <w:rPr>
          <w:szCs w:val="20"/>
          <w:lang w:val="ru-RU"/>
        </w:rPr>
        <w:t>Ассамблея по окружающей среде, возможно, пожелает:</w:t>
      </w:r>
    </w:p>
    <w:p w14:paraId="65771E32" w14:textId="36804897" w:rsidR="0094368D" w:rsidRPr="0094368D" w:rsidRDefault="00130F68" w:rsidP="00363038">
      <w:pPr>
        <w:spacing w:after="120"/>
        <w:ind w:left="1247" w:firstLine="624"/>
        <w:rPr>
          <w:szCs w:val="20"/>
          <w:lang w:val="ru-RU"/>
        </w:rPr>
      </w:pPr>
      <w:r>
        <w:rPr>
          <w:szCs w:val="20"/>
          <w:lang w:val="ru-RU"/>
        </w:rPr>
        <w:t>а)</w:t>
      </w:r>
      <w:r>
        <w:rPr>
          <w:szCs w:val="20"/>
          <w:lang w:val="ru-RU"/>
        </w:rPr>
        <w:tab/>
      </w:r>
      <w:r w:rsidR="0094368D" w:rsidRPr="0094368D">
        <w:rPr>
          <w:szCs w:val="20"/>
          <w:lang w:val="ru-RU"/>
        </w:rPr>
        <w:t>рассмотреть вопрос о продлении срока действия Специальной программы, как это предусмотрено в ее круге ведения и в зависимости от рекомендации Исполнительного совета Специальной программы, с тем чтобы ускорить принятие странами-получателями мер по рациональному регулированию химических веществ и отходов;</w:t>
      </w:r>
    </w:p>
    <w:p w14:paraId="25CE5741" w14:textId="00DE88B4" w:rsidR="0094368D" w:rsidRPr="0094368D" w:rsidRDefault="00130F68" w:rsidP="00363038">
      <w:pPr>
        <w:spacing w:after="120"/>
        <w:ind w:left="1247" w:firstLine="624"/>
        <w:rPr>
          <w:szCs w:val="20"/>
          <w:lang w:val="ru-RU"/>
        </w:rPr>
      </w:pPr>
      <w:r>
        <w:rPr>
          <w:szCs w:val="20"/>
        </w:rPr>
        <w:t>b</w:t>
      </w:r>
      <w:r w:rsidRPr="00130F68">
        <w:rPr>
          <w:szCs w:val="20"/>
          <w:lang w:val="ru-RU"/>
        </w:rPr>
        <w:t>)</w:t>
      </w:r>
      <w:r>
        <w:rPr>
          <w:szCs w:val="20"/>
          <w:lang w:val="ru-RU"/>
        </w:rPr>
        <w:tab/>
      </w:r>
      <w:r w:rsidR="0094368D" w:rsidRPr="0094368D">
        <w:rPr>
          <w:szCs w:val="20"/>
          <w:lang w:val="ru-RU"/>
        </w:rPr>
        <w:t>признавая предпринятые усилия, рассмотреть вопрос о том, чтобы подчеркнуть необходимость дальнейшей активизации поддержки Стратегического подхода к международному регулированию химических веществ и новой системы рационального регулирования химических веществ и отходов и ее внедрения, включая выделение достаточного штата сотрудников и ресурсов для секретариата;</w:t>
      </w:r>
    </w:p>
    <w:p w14:paraId="77F63273" w14:textId="3F0C6220" w:rsidR="0094368D" w:rsidRPr="0094368D" w:rsidRDefault="00130F68" w:rsidP="00363038">
      <w:pPr>
        <w:spacing w:after="120"/>
        <w:ind w:left="1247" w:firstLine="624"/>
        <w:rPr>
          <w:szCs w:val="20"/>
          <w:lang w:val="ru-RU"/>
        </w:rPr>
      </w:pPr>
      <w:r>
        <w:rPr>
          <w:szCs w:val="20"/>
          <w:lang w:val="ru-RU"/>
        </w:rPr>
        <w:t>с)</w:t>
      </w:r>
      <w:r>
        <w:rPr>
          <w:szCs w:val="20"/>
          <w:lang w:val="ru-RU"/>
        </w:rPr>
        <w:tab/>
      </w:r>
      <w:r w:rsidR="0094368D" w:rsidRPr="0094368D">
        <w:rPr>
          <w:szCs w:val="20"/>
          <w:lang w:val="ru-RU"/>
        </w:rPr>
        <w:t xml:space="preserve">рассмотреть вопрос о том, чтобы призвать все государства-члены и соответствующие заинтересованные стороны рассмотреть и применять руководства по «зеленой» и устойчивой химии, в которых наряду с докладом «Глобальная перспектива в области химических веществ </w:t>
      </w:r>
      <w:r w:rsidR="0094368D" w:rsidRPr="00225634">
        <w:rPr>
          <w:szCs w:val="20"/>
        </w:rPr>
        <w:t>II</w:t>
      </w:r>
      <w:r w:rsidR="0094368D" w:rsidRPr="0094368D">
        <w:rPr>
          <w:szCs w:val="20"/>
          <w:lang w:val="ru-RU"/>
        </w:rPr>
        <w:t>» подчеркивается важнейшее значение экологически безопасных инноваций;</w:t>
      </w:r>
    </w:p>
    <w:p w14:paraId="3AFA5DD0" w14:textId="079603A1" w:rsidR="0094368D" w:rsidRPr="0094368D" w:rsidRDefault="00130F68" w:rsidP="00363038">
      <w:pPr>
        <w:spacing w:after="120"/>
        <w:ind w:left="1248" w:firstLine="624"/>
        <w:rPr>
          <w:szCs w:val="20"/>
          <w:lang w:val="ru-RU"/>
        </w:rPr>
      </w:pPr>
      <w:r>
        <w:rPr>
          <w:szCs w:val="20"/>
        </w:rPr>
        <w:t>d</w:t>
      </w:r>
      <w:r w:rsidRPr="00130F68">
        <w:rPr>
          <w:szCs w:val="20"/>
          <w:lang w:val="ru-RU"/>
        </w:rPr>
        <w:t>)</w:t>
      </w:r>
      <w:r>
        <w:rPr>
          <w:szCs w:val="20"/>
          <w:lang w:val="ru-RU"/>
        </w:rPr>
        <w:tab/>
      </w:r>
      <w:r w:rsidR="0094368D" w:rsidRPr="0094368D">
        <w:rPr>
          <w:szCs w:val="20"/>
          <w:lang w:val="ru-RU"/>
        </w:rPr>
        <w:t>рассмотреть вопрос о том, чтобы призвать все соответствующие заинтересованные стороны рассмотреть выводы, содержащиеся в недавно опубликованном докладе «Доклад об оценке по вопросам, вызывающим озабоченность: вопросы, связанные с химическими веществами и отходами и представляющие опасность для здоровья человека и окружающей среды»</w:t>
      </w:r>
      <w:r w:rsidR="0094368D" w:rsidRPr="00130F68">
        <w:rPr>
          <w:szCs w:val="20"/>
          <w:vertAlign w:val="superscript"/>
        </w:rPr>
        <w:footnoteReference w:id="4"/>
      </w:r>
      <w:r w:rsidR="0094368D" w:rsidRPr="0094368D">
        <w:rPr>
          <w:szCs w:val="20"/>
          <w:lang w:val="ru-RU"/>
        </w:rPr>
        <w:t xml:space="preserve">, и содержащееся в докладе «Глобальная перспектива в области химических веществ </w:t>
      </w:r>
      <w:r w:rsidR="0094368D" w:rsidRPr="00225634">
        <w:rPr>
          <w:szCs w:val="20"/>
        </w:rPr>
        <w:t>II</w:t>
      </w:r>
      <w:r w:rsidR="0094368D" w:rsidRPr="0094368D">
        <w:rPr>
          <w:szCs w:val="20"/>
          <w:lang w:val="ru-RU"/>
        </w:rPr>
        <w:t>» заключение о том, что глобальная цель сведения к минимуму неблагоприятного воздействия химических веществ и отходов не была достигнута к 2020 году;</w:t>
      </w:r>
    </w:p>
    <w:p w14:paraId="31EDCE1A" w14:textId="28922C15" w:rsidR="0094368D" w:rsidRPr="0094368D" w:rsidRDefault="00130F68" w:rsidP="00363038">
      <w:pPr>
        <w:spacing w:after="120"/>
        <w:ind w:left="1248" w:firstLine="624"/>
        <w:rPr>
          <w:szCs w:val="20"/>
          <w:lang w:val="ru-RU"/>
        </w:rPr>
      </w:pPr>
      <w:r>
        <w:rPr>
          <w:szCs w:val="20"/>
          <w:lang w:val="ru-RU"/>
        </w:rPr>
        <w:t>е)</w:t>
      </w:r>
      <w:r>
        <w:rPr>
          <w:szCs w:val="20"/>
          <w:lang w:val="ru-RU"/>
        </w:rPr>
        <w:tab/>
      </w:r>
      <w:r w:rsidR="0094368D" w:rsidRPr="0094368D">
        <w:rPr>
          <w:szCs w:val="20"/>
          <w:lang w:val="ru-RU"/>
        </w:rPr>
        <w:t>признать, что в будущем международному сообществу, возможно, потребуется рассмотреть и определить более широкий круг вопросов, вызывающих озабоченность;</w:t>
      </w:r>
    </w:p>
    <w:p w14:paraId="0B08979C" w14:textId="5D102AD1" w:rsidR="0094368D" w:rsidRPr="0094368D" w:rsidRDefault="00130F68" w:rsidP="00363038">
      <w:pPr>
        <w:spacing w:after="120"/>
        <w:ind w:left="1248" w:firstLine="624"/>
        <w:rPr>
          <w:szCs w:val="20"/>
          <w:lang w:val="ru-RU"/>
        </w:rPr>
      </w:pPr>
      <w:r>
        <w:rPr>
          <w:szCs w:val="20"/>
        </w:rPr>
        <w:t>f</w:t>
      </w:r>
      <w:r w:rsidRPr="00130F68">
        <w:rPr>
          <w:szCs w:val="20"/>
          <w:lang w:val="ru-RU"/>
        </w:rPr>
        <w:t>)</w:t>
      </w:r>
      <w:r>
        <w:rPr>
          <w:szCs w:val="20"/>
          <w:lang w:val="ru-RU"/>
        </w:rPr>
        <w:tab/>
      </w:r>
      <w:r w:rsidR="0094368D" w:rsidRPr="0094368D">
        <w:rPr>
          <w:szCs w:val="20"/>
          <w:lang w:val="ru-RU"/>
        </w:rPr>
        <w:t>рассмотреть возможность срочного обращения ко всем заинтересованным сторонам с настоятельным призывом принять более амбициозные меры во всем мире, в том числе в отношении тяжелых металлов;</w:t>
      </w:r>
    </w:p>
    <w:p w14:paraId="63ACFF2E" w14:textId="5A8CC5CE" w:rsidR="0094368D" w:rsidRPr="0094368D" w:rsidRDefault="00130F68" w:rsidP="00363038">
      <w:pPr>
        <w:spacing w:after="120"/>
        <w:ind w:left="1248" w:firstLine="624"/>
        <w:rPr>
          <w:szCs w:val="20"/>
          <w:lang w:val="ru-RU"/>
        </w:rPr>
      </w:pPr>
      <w:r>
        <w:rPr>
          <w:szCs w:val="20"/>
        </w:rPr>
        <w:t>g</w:t>
      </w:r>
      <w:r w:rsidRPr="00130F68">
        <w:rPr>
          <w:szCs w:val="20"/>
          <w:lang w:val="ru-RU"/>
        </w:rPr>
        <w:t>)</w:t>
      </w:r>
      <w:r>
        <w:rPr>
          <w:szCs w:val="20"/>
          <w:lang w:val="ru-RU"/>
        </w:rPr>
        <w:tab/>
      </w:r>
      <w:r w:rsidR="0094368D" w:rsidRPr="0094368D">
        <w:rPr>
          <w:szCs w:val="20"/>
          <w:lang w:val="ru-RU"/>
        </w:rPr>
        <w:t>рассмотреть вопрос о содействии дальнейшей разработке и анализу добавления к докладу «Доклад об оценке по вопросам, вызывающим озабоченность: вопросы, связанные с химическими веществами и отходами и представляющие опасность для здоровья человека и окружающей среды», подвести итоги существующих инициатив на национальном и организационном уровнях, касающихся каждого вопроса, а также выявить пробелы и определить надлежащие будущие меры;</w:t>
      </w:r>
    </w:p>
    <w:p w14:paraId="7EC67ACC" w14:textId="00C41FD4" w:rsidR="0094368D" w:rsidRPr="0094368D" w:rsidRDefault="00130F68" w:rsidP="00363038">
      <w:pPr>
        <w:spacing w:after="120"/>
        <w:ind w:left="1248" w:firstLine="624"/>
        <w:rPr>
          <w:szCs w:val="20"/>
          <w:lang w:val="ru-RU"/>
        </w:rPr>
      </w:pPr>
      <w:r>
        <w:rPr>
          <w:szCs w:val="20"/>
        </w:rPr>
        <w:t>h</w:t>
      </w:r>
      <w:r w:rsidRPr="00130F68">
        <w:rPr>
          <w:szCs w:val="20"/>
          <w:lang w:val="ru-RU"/>
        </w:rPr>
        <w:t>)</w:t>
      </w:r>
      <w:r>
        <w:rPr>
          <w:szCs w:val="20"/>
          <w:lang w:val="ru-RU"/>
        </w:rPr>
        <w:tab/>
      </w:r>
      <w:r w:rsidR="0094368D" w:rsidRPr="0094368D">
        <w:rPr>
          <w:szCs w:val="20"/>
          <w:lang w:val="ru-RU"/>
        </w:rPr>
        <w:t>рассмотреть варианты, предложенные в докладе, содержащем оценку вариантов укрепления научно-политического взаимодействия на международном уровне в целях рационального регулирования химических веществ и отходов, и предложить варианты дальнейших действий в целях укрепления научно-политического взаимодействия на всеобъемлющей основе и, таким образом, решения вопросов, связанных с многогранными аспектами рационального регулирования химических веществ и отходов;</w:t>
      </w:r>
    </w:p>
    <w:p w14:paraId="1F61E450" w14:textId="28262CD6" w:rsidR="0094368D" w:rsidRPr="0094368D" w:rsidRDefault="00130F68" w:rsidP="00363038">
      <w:pPr>
        <w:spacing w:after="120"/>
        <w:ind w:left="1248" w:firstLine="624"/>
        <w:rPr>
          <w:szCs w:val="20"/>
          <w:lang w:val="ru-RU"/>
        </w:rPr>
      </w:pPr>
      <w:r>
        <w:rPr>
          <w:szCs w:val="20"/>
        </w:rPr>
        <w:t>i</w:t>
      </w:r>
      <w:r w:rsidRPr="00130F68">
        <w:rPr>
          <w:szCs w:val="20"/>
          <w:lang w:val="ru-RU"/>
        </w:rPr>
        <w:t>)</w:t>
      </w:r>
      <w:r>
        <w:rPr>
          <w:szCs w:val="20"/>
          <w:lang w:val="ru-RU"/>
        </w:rPr>
        <w:tab/>
      </w:r>
      <w:r w:rsidR="0094368D" w:rsidRPr="0094368D">
        <w:rPr>
          <w:szCs w:val="20"/>
          <w:lang w:val="ru-RU"/>
        </w:rPr>
        <w:t xml:space="preserve">рассмотреть возможность привлечения внимания к той роли, которую рациональное регулирование химических веществ и отходов может сыграть в решении унаследованной проблемы загрязнения и формировании будущего – от разработки экологически безопасной инновационной продукции, процессов и производственно-сбытовых </w:t>
      </w:r>
      <w:r w:rsidR="0094368D" w:rsidRPr="0094368D">
        <w:rPr>
          <w:szCs w:val="20"/>
          <w:lang w:val="ru-RU"/>
        </w:rPr>
        <w:lastRenderedPageBreak/>
        <w:t>цепей до устойчивых систем потребления и производства, как это отражено в среднесрочной стратегии.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899"/>
        <w:gridCol w:w="1899"/>
        <w:gridCol w:w="1900"/>
        <w:gridCol w:w="1900"/>
      </w:tblGrid>
      <w:tr w:rsidR="005D73F1" w:rsidRPr="007D0B2A" w14:paraId="7F5EEF98" w14:textId="77777777" w:rsidTr="00130F68">
        <w:tc>
          <w:tcPr>
            <w:tcW w:w="1898" w:type="dxa"/>
          </w:tcPr>
          <w:p w14:paraId="704CB072" w14:textId="77777777" w:rsidR="005D73F1" w:rsidRDefault="005D73F1" w:rsidP="001409C7">
            <w:pPr>
              <w:spacing w:after="120"/>
              <w:rPr>
                <w:lang w:val="ru-RU"/>
              </w:rPr>
            </w:pPr>
          </w:p>
        </w:tc>
        <w:tc>
          <w:tcPr>
            <w:tcW w:w="1899" w:type="dxa"/>
          </w:tcPr>
          <w:p w14:paraId="4919F282" w14:textId="77777777" w:rsidR="005D73F1" w:rsidRDefault="005D73F1" w:rsidP="001409C7">
            <w:pPr>
              <w:spacing w:after="120"/>
              <w:rPr>
                <w:lang w:val="ru-RU"/>
              </w:rPr>
            </w:pPr>
          </w:p>
        </w:tc>
        <w:tc>
          <w:tcPr>
            <w:tcW w:w="1899" w:type="dxa"/>
            <w:tcBorders>
              <w:bottom w:val="single" w:sz="4" w:space="0" w:color="auto"/>
            </w:tcBorders>
          </w:tcPr>
          <w:p w14:paraId="0379510D" w14:textId="77777777" w:rsidR="005D73F1" w:rsidRDefault="005D73F1" w:rsidP="00123DE2">
            <w:pPr>
              <w:spacing w:before="120" w:after="120"/>
              <w:rPr>
                <w:lang w:val="ru-RU"/>
              </w:rPr>
            </w:pPr>
          </w:p>
        </w:tc>
        <w:tc>
          <w:tcPr>
            <w:tcW w:w="1900" w:type="dxa"/>
          </w:tcPr>
          <w:p w14:paraId="602721CF" w14:textId="77777777" w:rsidR="005D73F1" w:rsidRDefault="005D73F1" w:rsidP="001409C7">
            <w:pPr>
              <w:spacing w:after="120"/>
              <w:rPr>
                <w:lang w:val="ru-RU"/>
              </w:rPr>
            </w:pPr>
          </w:p>
        </w:tc>
        <w:tc>
          <w:tcPr>
            <w:tcW w:w="1900" w:type="dxa"/>
          </w:tcPr>
          <w:p w14:paraId="5848E3FB" w14:textId="77777777" w:rsidR="005D73F1" w:rsidRDefault="005D73F1" w:rsidP="001409C7">
            <w:pPr>
              <w:spacing w:after="120"/>
              <w:rPr>
                <w:lang w:val="ru-RU"/>
              </w:rPr>
            </w:pPr>
          </w:p>
        </w:tc>
      </w:tr>
    </w:tbl>
    <w:p w14:paraId="7E437DBD" w14:textId="77777777" w:rsidR="005D73F1" w:rsidRDefault="005D73F1" w:rsidP="001409C7">
      <w:pPr>
        <w:spacing w:after="120"/>
        <w:rPr>
          <w:lang w:val="ru-RU"/>
        </w:rPr>
      </w:pPr>
    </w:p>
    <w:sectPr w:rsidR="005D73F1" w:rsidSect="0009543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20464" w14:textId="77777777" w:rsidR="005A06B1" w:rsidRDefault="005A06B1">
      <w:r>
        <w:separator/>
      </w:r>
    </w:p>
  </w:endnote>
  <w:endnote w:type="continuationSeparator" w:id="0">
    <w:p w14:paraId="3362D662" w14:textId="77777777" w:rsidR="005A06B1" w:rsidRDefault="005A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BB5CF" w14:textId="77777777" w:rsidR="00431BBF" w:rsidRDefault="00431BBF" w:rsidP="00455F0E">
    <w:pPr>
      <w:pStyle w:val="Footer"/>
      <w:tabs>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6A4FB" w14:textId="77777777" w:rsidR="00431BBF" w:rsidRDefault="00431BBF" w:rsidP="00256D2A">
    <w:pPr>
      <w:pStyle w:val="Footer"/>
      <w:tabs>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25DCC" w14:textId="3F12ABF6" w:rsidR="00256D2A" w:rsidRPr="001409C7" w:rsidRDefault="00431BBF" w:rsidP="00256D2A">
    <w:pPr>
      <w:spacing w:before="60" w:after="120"/>
    </w:pPr>
    <w:r>
      <w:rPr>
        <w:lang w:val="ru-RU"/>
      </w:rPr>
      <w:t>K</w:t>
    </w:r>
    <w:r w:rsidR="00482795">
      <w:t>20</w:t>
    </w:r>
    <w:r>
      <w:rPr>
        <w:lang w:val="ru-RU"/>
      </w:rPr>
      <w:t>0</w:t>
    </w:r>
    <w:r w:rsidR="00482795">
      <w:t>2</w:t>
    </w:r>
    <w:r w:rsidR="00A54230">
      <w:t>577</w:t>
    </w:r>
    <w:r>
      <w:rPr>
        <w:lang w:val="en-US"/>
      </w:rPr>
      <w:t xml:space="preserve">      </w:t>
    </w:r>
    <w:r w:rsidR="007D0B2A">
      <w:rPr>
        <w:lang w:val="en-US"/>
      </w:rPr>
      <w:t>30</w:t>
    </w:r>
    <w:r w:rsidR="00482795">
      <w:rPr>
        <w:lang w:val="en-US"/>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C08EB" w14:textId="77777777" w:rsidR="005A06B1" w:rsidRDefault="005A06B1">
      <w:pPr>
        <w:tabs>
          <w:tab w:val="left" w:pos="624"/>
        </w:tabs>
        <w:spacing w:before="60"/>
        <w:ind w:left="624"/>
        <w:rPr>
          <w:sz w:val="18"/>
          <w:szCs w:val="18"/>
        </w:rPr>
      </w:pPr>
      <w:r>
        <w:rPr>
          <w:sz w:val="18"/>
          <w:szCs w:val="18"/>
        </w:rPr>
        <w:separator/>
      </w:r>
    </w:p>
  </w:footnote>
  <w:footnote w:type="continuationSeparator" w:id="0">
    <w:p w14:paraId="18765B65" w14:textId="77777777" w:rsidR="005A06B1" w:rsidRDefault="005A06B1">
      <w:r>
        <w:continuationSeparator/>
      </w:r>
    </w:p>
  </w:footnote>
  <w:footnote w:id="1">
    <w:p w14:paraId="70DB5629" w14:textId="77777777" w:rsidR="00F36898" w:rsidRPr="00CF50FC" w:rsidRDefault="00F36898" w:rsidP="00F36898">
      <w:pPr>
        <w:spacing w:before="20" w:after="40"/>
        <w:ind w:left="1247"/>
        <w:rPr>
          <w:rFonts w:eastAsia="Times New Roman"/>
          <w:sz w:val="18"/>
          <w:szCs w:val="18"/>
          <w:lang w:val="ru-RU" w:eastAsia="en-GB"/>
        </w:rPr>
      </w:pPr>
      <w:r w:rsidRPr="00CF50FC">
        <w:rPr>
          <w:rStyle w:val="FootnoteReference"/>
          <w:sz w:val="18"/>
          <w:vertAlign w:val="baseline"/>
          <w:lang w:val="ru-RU"/>
        </w:rPr>
        <w:t>*</w:t>
      </w:r>
      <w:r w:rsidRPr="00CF50FC">
        <w:rPr>
          <w:sz w:val="18"/>
          <w:szCs w:val="18"/>
          <w:lang w:val="ru-RU"/>
        </w:rPr>
        <w:tab/>
      </w:r>
      <w:r w:rsidRPr="00CF50FC">
        <w:rPr>
          <w:rFonts w:eastAsia="Times New Roman"/>
          <w:sz w:val="18"/>
          <w:szCs w:val="18"/>
          <w:lang w:val="ru-RU" w:eastAsia="en-GB"/>
        </w:rPr>
        <w:t>В соответствии с решениями, принятыми на совещании Бюро Ассамблеи Организации Объединенных Наций по окружающей среде, состоявшемся 8 октября 2020 года, и на совместном совещании Бюро Ассамблеи Организации Объединенных Наций по окружающей среде и Бюро Комитета постоянных представителей, состоявшемся 1 декабря 2020 года, пятая сессия Ассамблеи, как ожидается, приостановит свою работу 23 февраля 2021 года и возобновит ее в режиме очного совещания в феврале 2022 года.</w:t>
      </w:r>
    </w:p>
  </w:footnote>
  <w:footnote w:id="2">
    <w:p w14:paraId="298563B3" w14:textId="77777777" w:rsidR="00F36898" w:rsidRPr="001F66A9" w:rsidRDefault="00F36898" w:rsidP="00F36898">
      <w:pPr>
        <w:pStyle w:val="FootnoteText"/>
        <w:rPr>
          <w:szCs w:val="18"/>
          <w:lang w:val="ru-RU"/>
        </w:rPr>
      </w:pPr>
      <w:r w:rsidRPr="00240DB6">
        <w:rPr>
          <w:rStyle w:val="FootnoteReference"/>
          <w:sz w:val="18"/>
          <w:vertAlign w:val="baseline"/>
          <w:lang w:val="ru-RU"/>
        </w:rPr>
        <w:t>**</w:t>
      </w:r>
      <w:r w:rsidRPr="00240DB6">
        <w:rPr>
          <w:szCs w:val="18"/>
          <w:lang w:val="ru-RU"/>
        </w:rPr>
        <w:tab/>
      </w:r>
      <w:r w:rsidRPr="007123EC">
        <w:rPr>
          <w:rStyle w:val="FootnoteReference"/>
          <w:sz w:val="18"/>
          <w:vertAlign w:val="baseline"/>
        </w:rPr>
        <w:t>UNEP</w:t>
      </w:r>
      <w:r w:rsidRPr="00240DB6">
        <w:rPr>
          <w:rStyle w:val="FootnoteReference"/>
          <w:sz w:val="18"/>
          <w:vertAlign w:val="baseline"/>
          <w:lang w:val="ru-RU"/>
        </w:rPr>
        <w:t>/</w:t>
      </w:r>
      <w:r w:rsidRPr="007123EC">
        <w:rPr>
          <w:rStyle w:val="FootnoteReference"/>
          <w:sz w:val="18"/>
          <w:vertAlign w:val="baseline"/>
        </w:rPr>
        <w:t>EA</w:t>
      </w:r>
      <w:r w:rsidRPr="00240DB6">
        <w:rPr>
          <w:rStyle w:val="FootnoteReference"/>
          <w:sz w:val="18"/>
          <w:vertAlign w:val="baseline"/>
          <w:lang w:val="ru-RU"/>
        </w:rPr>
        <w:t>.</w:t>
      </w:r>
      <w:r w:rsidRPr="00240DB6">
        <w:rPr>
          <w:szCs w:val="18"/>
          <w:lang w:val="ru-RU"/>
        </w:rPr>
        <w:t>5</w:t>
      </w:r>
      <w:r w:rsidRPr="00240DB6">
        <w:rPr>
          <w:rStyle w:val="FootnoteReference"/>
          <w:sz w:val="18"/>
          <w:vertAlign w:val="baseline"/>
          <w:lang w:val="ru-RU"/>
        </w:rPr>
        <w:t>/</w:t>
      </w:r>
      <w:r w:rsidRPr="00240DB6">
        <w:rPr>
          <w:szCs w:val="18"/>
          <w:lang w:val="ru-RU"/>
        </w:rPr>
        <w:t>1</w:t>
      </w:r>
      <w:r w:rsidRPr="005245CF">
        <w:rPr>
          <w:szCs w:val="18"/>
          <w:lang w:val="ru-RU"/>
        </w:rPr>
        <w:t>/</w:t>
      </w:r>
      <w:r>
        <w:rPr>
          <w:szCs w:val="18"/>
        </w:rPr>
        <w:t>Rev</w:t>
      </w:r>
      <w:r w:rsidRPr="005245CF">
        <w:rPr>
          <w:szCs w:val="18"/>
          <w:lang w:val="ru-RU"/>
        </w:rPr>
        <w:t>.1</w:t>
      </w:r>
      <w:r>
        <w:rPr>
          <w:szCs w:val="18"/>
          <w:lang w:val="ru-RU"/>
        </w:rPr>
        <w:t>.</w:t>
      </w:r>
    </w:p>
  </w:footnote>
  <w:footnote w:id="3">
    <w:p w14:paraId="0980A2D0" w14:textId="0C86D77D" w:rsidR="0094368D" w:rsidRPr="00363038" w:rsidRDefault="0094368D" w:rsidP="00363038">
      <w:pPr>
        <w:pStyle w:val="FootnoteText"/>
        <w:rPr>
          <w:szCs w:val="18"/>
          <w:lang w:val="ru-RU"/>
        </w:rPr>
      </w:pPr>
      <w:r w:rsidRPr="00363038">
        <w:rPr>
          <w:rStyle w:val="FootnoteReference"/>
          <w:sz w:val="18"/>
          <w:lang w:val="ru-RU"/>
        </w:rPr>
        <w:footnoteRef/>
      </w:r>
      <w:r w:rsidRPr="00363038">
        <w:rPr>
          <w:szCs w:val="18"/>
          <w:lang w:val="ru-RU"/>
        </w:rPr>
        <w:tab/>
        <w:t xml:space="preserve">См. </w:t>
      </w:r>
      <w:r w:rsidRPr="00363038">
        <w:rPr>
          <w:szCs w:val="18"/>
        </w:rPr>
        <w:t>www</w:t>
      </w:r>
      <w:r w:rsidRPr="00363038">
        <w:rPr>
          <w:szCs w:val="18"/>
          <w:lang w:val="ru-RU"/>
        </w:rPr>
        <w:t>.</w:t>
      </w:r>
      <w:r w:rsidRPr="00363038">
        <w:rPr>
          <w:szCs w:val="18"/>
        </w:rPr>
        <w:t>unenvironment</w:t>
      </w:r>
      <w:r w:rsidRPr="00363038">
        <w:rPr>
          <w:szCs w:val="18"/>
          <w:lang w:val="ru-RU"/>
        </w:rPr>
        <w:t>.</w:t>
      </w:r>
      <w:r w:rsidRPr="00363038">
        <w:rPr>
          <w:szCs w:val="18"/>
        </w:rPr>
        <w:t>org</w:t>
      </w:r>
      <w:r w:rsidRPr="00363038">
        <w:rPr>
          <w:szCs w:val="18"/>
          <w:lang w:val="ru-RU"/>
        </w:rPr>
        <w:t>/</w:t>
      </w:r>
      <w:r w:rsidRPr="00363038">
        <w:rPr>
          <w:szCs w:val="18"/>
        </w:rPr>
        <w:t>events</w:t>
      </w:r>
      <w:r w:rsidRPr="00363038">
        <w:rPr>
          <w:szCs w:val="18"/>
          <w:lang w:val="ru-RU"/>
        </w:rPr>
        <w:t>/</w:t>
      </w:r>
      <w:r w:rsidRPr="00363038">
        <w:rPr>
          <w:szCs w:val="18"/>
        </w:rPr>
        <w:t>working</w:t>
      </w:r>
      <w:r w:rsidRPr="00363038">
        <w:rPr>
          <w:szCs w:val="18"/>
          <w:lang w:val="ru-RU"/>
        </w:rPr>
        <w:t>-</w:t>
      </w:r>
      <w:r w:rsidRPr="00363038">
        <w:rPr>
          <w:szCs w:val="18"/>
        </w:rPr>
        <w:t>group</w:t>
      </w:r>
      <w:r w:rsidRPr="00363038">
        <w:rPr>
          <w:szCs w:val="18"/>
          <w:lang w:val="ru-RU"/>
        </w:rPr>
        <w:t>-</w:t>
      </w:r>
      <w:r w:rsidRPr="00363038">
        <w:rPr>
          <w:szCs w:val="18"/>
        </w:rPr>
        <w:t>meeting</w:t>
      </w:r>
      <w:r w:rsidRPr="00363038">
        <w:rPr>
          <w:szCs w:val="18"/>
          <w:lang w:val="ru-RU"/>
        </w:rPr>
        <w:t>/</w:t>
      </w:r>
      <w:r w:rsidRPr="00363038">
        <w:rPr>
          <w:szCs w:val="18"/>
        </w:rPr>
        <w:t>fourth</w:t>
      </w:r>
      <w:r w:rsidRPr="00363038">
        <w:rPr>
          <w:szCs w:val="18"/>
          <w:lang w:val="ru-RU"/>
        </w:rPr>
        <w:t>-</w:t>
      </w:r>
      <w:r w:rsidRPr="00363038">
        <w:rPr>
          <w:szCs w:val="18"/>
        </w:rPr>
        <w:t>teleconference</w:t>
      </w:r>
      <w:r w:rsidRPr="00363038">
        <w:rPr>
          <w:szCs w:val="18"/>
          <w:lang w:val="ru-RU"/>
        </w:rPr>
        <w:t>-</w:t>
      </w:r>
      <w:r w:rsidRPr="00363038">
        <w:rPr>
          <w:szCs w:val="18"/>
        </w:rPr>
        <w:t>executive</w:t>
      </w:r>
      <w:r w:rsidRPr="00363038">
        <w:rPr>
          <w:szCs w:val="18"/>
          <w:lang w:val="ru-RU"/>
        </w:rPr>
        <w:t>-</w:t>
      </w:r>
      <w:r w:rsidRPr="00363038">
        <w:rPr>
          <w:szCs w:val="18"/>
        </w:rPr>
        <w:t>board</w:t>
      </w:r>
      <w:r w:rsidRPr="00363038">
        <w:rPr>
          <w:szCs w:val="18"/>
          <w:lang w:val="ru-RU"/>
        </w:rPr>
        <w:t>-</w:t>
      </w:r>
      <w:r w:rsidRPr="00363038">
        <w:rPr>
          <w:szCs w:val="18"/>
        </w:rPr>
        <w:t>special</w:t>
      </w:r>
      <w:r w:rsidRPr="00363038">
        <w:rPr>
          <w:szCs w:val="18"/>
          <w:lang w:val="ru-RU"/>
        </w:rPr>
        <w:t>-</w:t>
      </w:r>
      <w:r w:rsidRPr="00363038">
        <w:rPr>
          <w:szCs w:val="18"/>
        </w:rPr>
        <w:t>programme</w:t>
      </w:r>
      <w:r w:rsidRPr="00363038">
        <w:rPr>
          <w:szCs w:val="18"/>
          <w:lang w:val="ru-RU"/>
        </w:rPr>
        <w:t>-</w:t>
      </w:r>
      <w:r w:rsidRPr="00363038">
        <w:rPr>
          <w:szCs w:val="18"/>
        </w:rPr>
        <w:t>support</w:t>
      </w:r>
      <w:r w:rsidRPr="00363038">
        <w:rPr>
          <w:szCs w:val="18"/>
          <w:lang w:val="ru-RU"/>
        </w:rPr>
        <w:t>.</w:t>
      </w:r>
    </w:p>
  </w:footnote>
  <w:footnote w:id="4">
    <w:p w14:paraId="26F2BF8F" w14:textId="166BD383" w:rsidR="0094368D" w:rsidRPr="00363038" w:rsidRDefault="0094368D" w:rsidP="00363038">
      <w:pPr>
        <w:pStyle w:val="FootnoteText"/>
        <w:rPr>
          <w:szCs w:val="18"/>
          <w:lang w:val="ru-RU"/>
        </w:rPr>
      </w:pPr>
      <w:r w:rsidRPr="00363038">
        <w:rPr>
          <w:rStyle w:val="FootnoteReference"/>
          <w:sz w:val="18"/>
          <w:lang w:val="ru-RU"/>
        </w:rPr>
        <w:footnoteRef/>
      </w:r>
      <w:r w:rsidRPr="00363038">
        <w:rPr>
          <w:szCs w:val="18"/>
          <w:lang w:val="ru-RU"/>
        </w:rPr>
        <w:tab/>
        <w:t>Размещен по адресу: https://wedocs.unep.org/bitstream/handle/20.500.11822/33807/ARIC.pdf?sequence=1&amp;isAllowed=y.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AA929" w14:textId="350C68FA" w:rsidR="00455F0E" w:rsidRPr="00455F0E" w:rsidRDefault="00455F0E" w:rsidP="00455F0E">
    <w:pPr>
      <w:pStyle w:val="Header"/>
      <w:tabs>
        <w:tab w:val="clear" w:pos="4536"/>
        <w:tab w:val="clear" w:pos="9072"/>
      </w:tabs>
      <w:rPr>
        <w:rFonts w:eastAsia="Times New Roman"/>
        <w:szCs w:val="18"/>
        <w:lang w:val="en-US"/>
      </w:rPr>
    </w:pPr>
    <w:r>
      <w:rPr>
        <w:szCs w:val="18"/>
        <w:lang w:val="en-US"/>
      </w:rPr>
      <w:t>UNEP/EA.</w:t>
    </w:r>
    <w:r w:rsidR="00482795">
      <w:rPr>
        <w:szCs w:val="18"/>
        <w:lang w:val="en-US"/>
      </w:rPr>
      <w:t>5/</w:t>
    </w:r>
    <w:r w:rsidR="00A54230">
      <w:rPr>
        <w:szCs w:val="18"/>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0CDBA" w14:textId="5B1AE558" w:rsidR="00455F0E" w:rsidRPr="00455F0E" w:rsidRDefault="00455F0E" w:rsidP="00455F0E">
    <w:pPr>
      <w:pStyle w:val="Header"/>
      <w:tabs>
        <w:tab w:val="clear" w:pos="4536"/>
        <w:tab w:val="clear" w:pos="9072"/>
      </w:tabs>
      <w:jc w:val="right"/>
      <w:rPr>
        <w:rFonts w:eastAsia="Times New Roman"/>
        <w:szCs w:val="18"/>
        <w:lang w:val="en-US"/>
      </w:rPr>
    </w:pPr>
    <w:r>
      <w:rPr>
        <w:szCs w:val="18"/>
        <w:lang w:val="en-US"/>
      </w:rPr>
      <w:t>UNEP/EA.</w:t>
    </w:r>
    <w:r w:rsidR="00482795">
      <w:rPr>
        <w:szCs w:val="18"/>
        <w:lang w:val="en-US"/>
      </w:rPr>
      <w:t>5/</w:t>
    </w:r>
    <w:r w:rsidR="00A54230">
      <w:rPr>
        <w:szCs w:val="18"/>
        <w:lang w:val="en-US"/>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9789B" w14:textId="77777777" w:rsidR="00431BBF" w:rsidRDefault="00431BB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6361F06"/>
    <w:lvl w:ilvl="0">
      <w:start w:val="1"/>
      <w:numFmt w:val="decimal"/>
      <w:lvlText w:val="%1."/>
      <w:lvlJc w:val="left"/>
      <w:pPr>
        <w:tabs>
          <w:tab w:val="num" w:pos="3826"/>
        </w:tabs>
        <w:ind w:left="3826" w:hanging="360"/>
      </w:pPr>
    </w:lvl>
  </w:abstractNum>
  <w:abstractNum w:abstractNumId="1" w15:restartNumberingAfterBreak="0">
    <w:nsid w:val="FFFFFF7D"/>
    <w:multiLevelType w:val="singleLevel"/>
    <w:tmpl w:val="3662D4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4248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D01F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A7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3287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2C4F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C4D6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6A02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F855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C698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CBD647A"/>
    <w:multiLevelType w:val="hybridMultilevel"/>
    <w:tmpl w:val="BFC8F32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2" w15:restartNumberingAfterBreak="0">
    <w:nsid w:val="12685253"/>
    <w:multiLevelType w:val="hybridMultilevel"/>
    <w:tmpl w:val="244E0C74"/>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3" w15:restartNumberingAfterBreak="0">
    <w:nsid w:val="148D24A2"/>
    <w:multiLevelType w:val="hybridMultilevel"/>
    <w:tmpl w:val="3E76C9F2"/>
    <w:lvl w:ilvl="0" w:tplc="B3C62E8C">
      <w:start w:val="3"/>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4" w15:restartNumberingAfterBreak="0">
    <w:nsid w:val="152A22B2"/>
    <w:multiLevelType w:val="hybridMultilevel"/>
    <w:tmpl w:val="A10A66D0"/>
    <w:lvl w:ilvl="0" w:tplc="C318E702">
      <w:start w:val="1"/>
      <w:numFmt w:val="decimal"/>
      <w:lvlText w:val="%1"/>
      <w:lvlJc w:val="right"/>
      <w:pPr>
        <w:tabs>
          <w:tab w:val="num" w:pos="1146"/>
        </w:tabs>
        <w:ind w:left="1146" w:hanging="720"/>
      </w:pPr>
      <w:rPr>
        <w:rFonts w:ascii="Times New Roman" w:hAnsi="Times New Roman" w:hint="default"/>
        <w:sz w:val="16"/>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5" w15:restartNumberingAfterBreak="0">
    <w:nsid w:val="171113A7"/>
    <w:multiLevelType w:val="multilevel"/>
    <w:tmpl w:val="48241D10"/>
    <w:numStyleLink w:val="Normallist"/>
  </w:abstractNum>
  <w:abstractNum w:abstractNumId="1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1DA33D8C"/>
    <w:multiLevelType w:val="multilevel"/>
    <w:tmpl w:val="040C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9D92754"/>
    <w:multiLevelType w:val="hybridMultilevel"/>
    <w:tmpl w:val="ECBA1E6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9" w15:restartNumberingAfterBreak="0">
    <w:nsid w:val="2C3B0D05"/>
    <w:multiLevelType w:val="hybridMultilevel"/>
    <w:tmpl w:val="C0227916"/>
    <w:lvl w:ilvl="0" w:tplc="FFFFFFFF">
      <w:start w:val="1"/>
      <w:numFmt w:val="upperLetter"/>
      <w:lvlText w:val="%1."/>
      <w:lvlJc w:val="left"/>
      <w:pPr>
        <w:tabs>
          <w:tab w:val="num" w:pos="1239"/>
        </w:tabs>
        <w:ind w:left="1239" w:hanging="615"/>
      </w:pPr>
      <w:rPr>
        <w:rFonts w:hint="default"/>
      </w:rPr>
    </w:lvl>
    <w:lvl w:ilvl="1" w:tplc="FFFFFFFF" w:tentative="1">
      <w:start w:val="1"/>
      <w:numFmt w:val="lowerLetter"/>
      <w:lvlText w:val="%2."/>
      <w:lvlJc w:val="left"/>
      <w:pPr>
        <w:tabs>
          <w:tab w:val="num" w:pos="1704"/>
        </w:tabs>
        <w:ind w:left="1704" w:hanging="360"/>
      </w:pPr>
    </w:lvl>
    <w:lvl w:ilvl="2" w:tplc="FFFFFFFF" w:tentative="1">
      <w:start w:val="1"/>
      <w:numFmt w:val="lowerRoman"/>
      <w:lvlText w:val="%3."/>
      <w:lvlJc w:val="right"/>
      <w:pPr>
        <w:tabs>
          <w:tab w:val="num" w:pos="2424"/>
        </w:tabs>
        <w:ind w:left="2424" w:hanging="180"/>
      </w:pPr>
    </w:lvl>
    <w:lvl w:ilvl="3" w:tplc="FFFFFFFF" w:tentative="1">
      <w:start w:val="1"/>
      <w:numFmt w:val="decimal"/>
      <w:lvlText w:val="%4."/>
      <w:lvlJc w:val="left"/>
      <w:pPr>
        <w:tabs>
          <w:tab w:val="num" w:pos="3144"/>
        </w:tabs>
        <w:ind w:left="3144" w:hanging="360"/>
      </w:pPr>
    </w:lvl>
    <w:lvl w:ilvl="4" w:tplc="FFFFFFFF" w:tentative="1">
      <w:start w:val="1"/>
      <w:numFmt w:val="lowerLetter"/>
      <w:lvlText w:val="%5."/>
      <w:lvlJc w:val="left"/>
      <w:pPr>
        <w:tabs>
          <w:tab w:val="num" w:pos="3864"/>
        </w:tabs>
        <w:ind w:left="3864" w:hanging="360"/>
      </w:pPr>
    </w:lvl>
    <w:lvl w:ilvl="5" w:tplc="FFFFFFFF" w:tentative="1">
      <w:start w:val="1"/>
      <w:numFmt w:val="lowerRoman"/>
      <w:lvlText w:val="%6."/>
      <w:lvlJc w:val="right"/>
      <w:pPr>
        <w:tabs>
          <w:tab w:val="num" w:pos="4584"/>
        </w:tabs>
        <w:ind w:left="4584" w:hanging="180"/>
      </w:pPr>
    </w:lvl>
    <w:lvl w:ilvl="6" w:tplc="FFFFFFFF" w:tentative="1">
      <w:start w:val="1"/>
      <w:numFmt w:val="decimal"/>
      <w:lvlText w:val="%7."/>
      <w:lvlJc w:val="left"/>
      <w:pPr>
        <w:tabs>
          <w:tab w:val="num" w:pos="5304"/>
        </w:tabs>
        <w:ind w:left="5304" w:hanging="360"/>
      </w:pPr>
    </w:lvl>
    <w:lvl w:ilvl="7" w:tplc="FFFFFFFF" w:tentative="1">
      <w:start w:val="1"/>
      <w:numFmt w:val="lowerLetter"/>
      <w:lvlText w:val="%8."/>
      <w:lvlJc w:val="left"/>
      <w:pPr>
        <w:tabs>
          <w:tab w:val="num" w:pos="6024"/>
        </w:tabs>
        <w:ind w:left="6024" w:hanging="360"/>
      </w:pPr>
    </w:lvl>
    <w:lvl w:ilvl="8" w:tplc="FFFFFFFF" w:tentative="1">
      <w:start w:val="1"/>
      <w:numFmt w:val="lowerRoman"/>
      <w:lvlText w:val="%9."/>
      <w:lvlJc w:val="right"/>
      <w:pPr>
        <w:tabs>
          <w:tab w:val="num" w:pos="6744"/>
        </w:tabs>
        <w:ind w:left="6744" w:hanging="180"/>
      </w:pPr>
    </w:lvl>
  </w:abstractNum>
  <w:abstractNum w:abstractNumId="2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15:restartNumberingAfterBreak="0">
    <w:nsid w:val="39E121E8"/>
    <w:multiLevelType w:val="hybridMultilevel"/>
    <w:tmpl w:val="66786336"/>
    <w:lvl w:ilvl="0" w:tplc="24BC89C8">
      <w:start w:val="3"/>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AD6749"/>
    <w:multiLevelType w:val="multilevel"/>
    <w:tmpl w:val="6C6ABE72"/>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3" w15:restartNumberingAfterBreak="0">
    <w:nsid w:val="3DC2761C"/>
    <w:multiLevelType w:val="multilevel"/>
    <w:tmpl w:val="244E0C74"/>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4" w15:restartNumberingAfterBreak="0">
    <w:nsid w:val="42FA2D6F"/>
    <w:multiLevelType w:val="multilevel"/>
    <w:tmpl w:val="8DA8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B2525"/>
    <w:multiLevelType w:val="hybridMultilevel"/>
    <w:tmpl w:val="052CB816"/>
    <w:lvl w:ilvl="0" w:tplc="D8D64CD6">
      <w:start w:val="1"/>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6" w15:restartNumberingAfterBreak="0">
    <w:nsid w:val="51C413FE"/>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8" w15:restartNumberingAfterBreak="0">
    <w:nsid w:val="5ADB42A4"/>
    <w:multiLevelType w:val="hybridMultilevel"/>
    <w:tmpl w:val="814E2BDA"/>
    <w:lvl w:ilvl="0" w:tplc="2D4E6FEE">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6A8779C7"/>
    <w:multiLevelType w:val="multilevel"/>
    <w:tmpl w:val="ECBA1E6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0" w15:restartNumberingAfterBreak="0">
    <w:nsid w:val="6CD901C9"/>
    <w:multiLevelType w:val="hybridMultilevel"/>
    <w:tmpl w:val="6C6ABE72"/>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1" w15:restartNumberingAfterBreak="0">
    <w:nsid w:val="6E4C3BBB"/>
    <w:multiLevelType w:val="multilevel"/>
    <w:tmpl w:val="BFC8F32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2" w15:restartNumberingAfterBreak="0">
    <w:nsid w:val="74B22DF7"/>
    <w:multiLevelType w:val="hybridMultilevel"/>
    <w:tmpl w:val="0A06C2EA"/>
    <w:lvl w:ilvl="0" w:tplc="EF8C842C">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77443D92"/>
    <w:multiLevelType w:val="hybridMultilevel"/>
    <w:tmpl w:val="154C4DB0"/>
    <w:lvl w:ilvl="0" w:tplc="D53AA31C">
      <w:start w:val="3"/>
      <w:numFmt w:val="decimal"/>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num w:numId="1">
    <w:abstractNumId w:val="10"/>
  </w:num>
  <w:num w:numId="2">
    <w:abstractNumId w:val="26"/>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20"/>
  </w:num>
  <w:num w:numId="16">
    <w:abstractNumId w:val="27"/>
  </w:num>
  <w:num w:numId="17">
    <w:abstractNumId w:val="27"/>
  </w:num>
  <w:num w:numId="18">
    <w:abstractNumId w:val="27"/>
  </w:num>
  <w:num w:numId="19">
    <w:abstractNumId w:val="32"/>
  </w:num>
  <w:num w:numId="20">
    <w:abstractNumId w:val="13"/>
  </w:num>
  <w:num w:numId="21">
    <w:abstractNumId w:val="33"/>
  </w:num>
  <w:num w:numId="22">
    <w:abstractNumId w:val="28"/>
  </w:num>
  <w:num w:numId="23">
    <w:abstractNumId w:val="25"/>
  </w:num>
  <w:num w:numId="24">
    <w:abstractNumId w:val="27"/>
  </w:num>
  <w:num w:numId="25">
    <w:abstractNumId w:val="27"/>
  </w:num>
  <w:num w:numId="26">
    <w:abstractNumId w:val="24"/>
  </w:num>
  <w:num w:numId="27">
    <w:abstractNumId w:val="14"/>
  </w:num>
  <w:num w:numId="28">
    <w:abstractNumId w:val="12"/>
  </w:num>
  <w:num w:numId="29">
    <w:abstractNumId w:val="23"/>
  </w:num>
  <w:num w:numId="30">
    <w:abstractNumId w:val="30"/>
  </w:num>
  <w:num w:numId="31">
    <w:abstractNumId w:val="22"/>
  </w:num>
  <w:num w:numId="32">
    <w:abstractNumId w:val="18"/>
  </w:num>
  <w:num w:numId="33">
    <w:abstractNumId w:val="29"/>
  </w:num>
  <w:num w:numId="34">
    <w:abstractNumId w:val="11"/>
  </w:num>
  <w:num w:numId="35">
    <w:abstractNumId w:val="31"/>
  </w:num>
  <w:num w:numId="36">
    <w:abstractNumId w:val="19"/>
  </w:num>
  <w:num w:numId="37">
    <w:abstractNumId w:val="15"/>
  </w:num>
  <w:num w:numId="38">
    <w:abstractNumId w:val="21"/>
    <w:lvlOverride w:ilvl="0">
      <w:lvl w:ilvl="0" w:tplc="24BC89C8">
        <w:start w:val="3"/>
        <w:numFmt w:val="decimal"/>
        <w:lvlText w:val="%1."/>
        <w:lvlJc w:val="left"/>
        <w:pPr>
          <w:ind w:left="720" w:hanging="36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ru-RU" w:vendorID="64" w:dllVersion="0" w:nlCheck="1" w:checkStyle="0"/>
  <w:activeWritingStyle w:appName="MSWord" w:lang="en-US"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66A"/>
    <w:rsid w:val="000149E6"/>
    <w:rsid w:val="000247B0"/>
    <w:rsid w:val="00026997"/>
    <w:rsid w:val="00033E0B"/>
    <w:rsid w:val="00035EDE"/>
    <w:rsid w:val="00044A2C"/>
    <w:rsid w:val="000509B4"/>
    <w:rsid w:val="00071886"/>
    <w:rsid w:val="000742BC"/>
    <w:rsid w:val="0007689A"/>
    <w:rsid w:val="00076EB7"/>
    <w:rsid w:val="00081997"/>
    <w:rsid w:val="00082A0C"/>
    <w:rsid w:val="00095434"/>
    <w:rsid w:val="0009640C"/>
    <w:rsid w:val="000A0A04"/>
    <w:rsid w:val="000B06F6"/>
    <w:rsid w:val="000B62E9"/>
    <w:rsid w:val="000D33C0"/>
    <w:rsid w:val="000E09D2"/>
    <w:rsid w:val="000F03DD"/>
    <w:rsid w:val="001202E3"/>
    <w:rsid w:val="00123DE2"/>
    <w:rsid w:val="0013059D"/>
    <w:rsid w:val="00130617"/>
    <w:rsid w:val="00130F68"/>
    <w:rsid w:val="001409C7"/>
    <w:rsid w:val="00141A55"/>
    <w:rsid w:val="001559C9"/>
    <w:rsid w:val="001633C8"/>
    <w:rsid w:val="00181EC8"/>
    <w:rsid w:val="00184349"/>
    <w:rsid w:val="001B4FB7"/>
    <w:rsid w:val="001D3874"/>
    <w:rsid w:val="001D7E75"/>
    <w:rsid w:val="001E02E8"/>
    <w:rsid w:val="001E0C96"/>
    <w:rsid w:val="001E56D2"/>
    <w:rsid w:val="001E7D56"/>
    <w:rsid w:val="001F0A0F"/>
    <w:rsid w:val="001F75DE"/>
    <w:rsid w:val="00200D58"/>
    <w:rsid w:val="002013BE"/>
    <w:rsid w:val="002063A4"/>
    <w:rsid w:val="0021145B"/>
    <w:rsid w:val="00222F56"/>
    <w:rsid w:val="00230E08"/>
    <w:rsid w:val="00233533"/>
    <w:rsid w:val="00245A39"/>
    <w:rsid w:val="00247707"/>
    <w:rsid w:val="0025448F"/>
    <w:rsid w:val="00256D2A"/>
    <w:rsid w:val="00286740"/>
    <w:rsid w:val="002929D8"/>
    <w:rsid w:val="002A237D"/>
    <w:rsid w:val="002A4C53"/>
    <w:rsid w:val="002A6864"/>
    <w:rsid w:val="002C0384"/>
    <w:rsid w:val="002C145D"/>
    <w:rsid w:val="002C2C3E"/>
    <w:rsid w:val="002C51B6"/>
    <w:rsid w:val="002C533E"/>
    <w:rsid w:val="002D027F"/>
    <w:rsid w:val="002D27E9"/>
    <w:rsid w:val="002D4584"/>
    <w:rsid w:val="002D7B60"/>
    <w:rsid w:val="002F4761"/>
    <w:rsid w:val="00304835"/>
    <w:rsid w:val="00310479"/>
    <w:rsid w:val="0031413F"/>
    <w:rsid w:val="0033458C"/>
    <w:rsid w:val="00334662"/>
    <w:rsid w:val="00343143"/>
    <w:rsid w:val="00355EA9"/>
    <w:rsid w:val="00363038"/>
    <w:rsid w:val="003751F8"/>
    <w:rsid w:val="00381B5F"/>
    <w:rsid w:val="00385731"/>
    <w:rsid w:val="003908C6"/>
    <w:rsid w:val="00393911"/>
    <w:rsid w:val="00396257"/>
    <w:rsid w:val="00397EB8"/>
    <w:rsid w:val="003A4FD0"/>
    <w:rsid w:val="003A69D1"/>
    <w:rsid w:val="003B0491"/>
    <w:rsid w:val="003B1545"/>
    <w:rsid w:val="003C1C14"/>
    <w:rsid w:val="003C409D"/>
    <w:rsid w:val="003F0E85"/>
    <w:rsid w:val="00410C55"/>
    <w:rsid w:val="00414137"/>
    <w:rsid w:val="00417725"/>
    <w:rsid w:val="00425EDB"/>
    <w:rsid w:val="00431BBF"/>
    <w:rsid w:val="00437F26"/>
    <w:rsid w:val="00454769"/>
    <w:rsid w:val="00455F0E"/>
    <w:rsid w:val="00466991"/>
    <w:rsid w:val="0047064C"/>
    <w:rsid w:val="00474592"/>
    <w:rsid w:val="00482795"/>
    <w:rsid w:val="00482908"/>
    <w:rsid w:val="00495F41"/>
    <w:rsid w:val="004C5C96"/>
    <w:rsid w:val="004D06A4"/>
    <w:rsid w:val="004E233D"/>
    <w:rsid w:val="004E3A1E"/>
    <w:rsid w:val="004F1A81"/>
    <w:rsid w:val="005218D9"/>
    <w:rsid w:val="0052196F"/>
    <w:rsid w:val="00536186"/>
    <w:rsid w:val="00560655"/>
    <w:rsid w:val="00563DFD"/>
    <w:rsid w:val="00565068"/>
    <w:rsid w:val="00570266"/>
    <w:rsid w:val="0057315F"/>
    <w:rsid w:val="0057784F"/>
    <w:rsid w:val="005A06B1"/>
    <w:rsid w:val="005A2943"/>
    <w:rsid w:val="005A5F05"/>
    <w:rsid w:val="005B03D2"/>
    <w:rsid w:val="005C67C8"/>
    <w:rsid w:val="005D0249"/>
    <w:rsid w:val="005D73F1"/>
    <w:rsid w:val="005F0BEA"/>
    <w:rsid w:val="005F100C"/>
    <w:rsid w:val="00614089"/>
    <w:rsid w:val="006303B4"/>
    <w:rsid w:val="00634572"/>
    <w:rsid w:val="00641703"/>
    <w:rsid w:val="006431A6"/>
    <w:rsid w:val="006501AD"/>
    <w:rsid w:val="00651BFA"/>
    <w:rsid w:val="006709BA"/>
    <w:rsid w:val="0067387B"/>
    <w:rsid w:val="00683F83"/>
    <w:rsid w:val="00691236"/>
    <w:rsid w:val="00692E2A"/>
    <w:rsid w:val="006A76F2"/>
    <w:rsid w:val="006B63E0"/>
    <w:rsid w:val="006C172A"/>
    <w:rsid w:val="006C5351"/>
    <w:rsid w:val="006E6722"/>
    <w:rsid w:val="006E67FD"/>
    <w:rsid w:val="006F0E34"/>
    <w:rsid w:val="006F48A0"/>
    <w:rsid w:val="00701D3F"/>
    <w:rsid w:val="007027B9"/>
    <w:rsid w:val="007121AA"/>
    <w:rsid w:val="00712298"/>
    <w:rsid w:val="00715E88"/>
    <w:rsid w:val="00720913"/>
    <w:rsid w:val="00734CAA"/>
    <w:rsid w:val="00734F24"/>
    <w:rsid w:val="00743065"/>
    <w:rsid w:val="00746F3F"/>
    <w:rsid w:val="00757581"/>
    <w:rsid w:val="007648D5"/>
    <w:rsid w:val="0079631D"/>
    <w:rsid w:val="007A5B9C"/>
    <w:rsid w:val="007A5C12"/>
    <w:rsid w:val="007A6FC4"/>
    <w:rsid w:val="007B30E8"/>
    <w:rsid w:val="007C2B5E"/>
    <w:rsid w:val="007D0B2A"/>
    <w:rsid w:val="007D5CFF"/>
    <w:rsid w:val="007E003F"/>
    <w:rsid w:val="00822830"/>
    <w:rsid w:val="00830E26"/>
    <w:rsid w:val="00843576"/>
    <w:rsid w:val="00843B64"/>
    <w:rsid w:val="008673B6"/>
    <w:rsid w:val="00867BFF"/>
    <w:rsid w:val="00872F35"/>
    <w:rsid w:val="0088480A"/>
    <w:rsid w:val="008957DD"/>
    <w:rsid w:val="00897D98"/>
    <w:rsid w:val="008A6DF2"/>
    <w:rsid w:val="008C2D6E"/>
    <w:rsid w:val="008D7C99"/>
    <w:rsid w:val="008E0FCB"/>
    <w:rsid w:val="008F5852"/>
    <w:rsid w:val="00901265"/>
    <w:rsid w:val="00903FE2"/>
    <w:rsid w:val="0092178C"/>
    <w:rsid w:val="00932F30"/>
    <w:rsid w:val="0094179A"/>
    <w:rsid w:val="0094368D"/>
    <w:rsid w:val="0094459E"/>
    <w:rsid w:val="00944DBC"/>
    <w:rsid w:val="00950977"/>
    <w:rsid w:val="009564A6"/>
    <w:rsid w:val="009578F9"/>
    <w:rsid w:val="00970D27"/>
    <w:rsid w:val="009724A4"/>
    <w:rsid w:val="009774AF"/>
    <w:rsid w:val="0099519B"/>
    <w:rsid w:val="009B153B"/>
    <w:rsid w:val="009B3A31"/>
    <w:rsid w:val="009B4A0F"/>
    <w:rsid w:val="009D0B63"/>
    <w:rsid w:val="00A0524B"/>
    <w:rsid w:val="00A072E1"/>
    <w:rsid w:val="00A122C5"/>
    <w:rsid w:val="00A1348D"/>
    <w:rsid w:val="00A161B4"/>
    <w:rsid w:val="00A232EE"/>
    <w:rsid w:val="00A44411"/>
    <w:rsid w:val="00A469FA"/>
    <w:rsid w:val="00A54230"/>
    <w:rsid w:val="00A55B01"/>
    <w:rsid w:val="00A56B5B"/>
    <w:rsid w:val="00A64B93"/>
    <w:rsid w:val="00A657DD"/>
    <w:rsid w:val="00A666A6"/>
    <w:rsid w:val="00A80611"/>
    <w:rsid w:val="00A812B0"/>
    <w:rsid w:val="00A82018"/>
    <w:rsid w:val="00AB4624"/>
    <w:rsid w:val="00AB5340"/>
    <w:rsid w:val="00AC7C96"/>
    <w:rsid w:val="00AE131A"/>
    <w:rsid w:val="00AE237D"/>
    <w:rsid w:val="00AF7C07"/>
    <w:rsid w:val="00B07F26"/>
    <w:rsid w:val="00B251E1"/>
    <w:rsid w:val="00B405B7"/>
    <w:rsid w:val="00B46BD8"/>
    <w:rsid w:val="00B66901"/>
    <w:rsid w:val="00B71E6D"/>
    <w:rsid w:val="00B72070"/>
    <w:rsid w:val="00B779E1"/>
    <w:rsid w:val="00B93E73"/>
    <w:rsid w:val="00BA1A67"/>
    <w:rsid w:val="00BA3BB0"/>
    <w:rsid w:val="00BB0A2E"/>
    <w:rsid w:val="00BD069D"/>
    <w:rsid w:val="00BD2874"/>
    <w:rsid w:val="00BD5500"/>
    <w:rsid w:val="00C004F2"/>
    <w:rsid w:val="00C01B2A"/>
    <w:rsid w:val="00C30C63"/>
    <w:rsid w:val="00C558DA"/>
    <w:rsid w:val="00C61F87"/>
    <w:rsid w:val="00C70835"/>
    <w:rsid w:val="00C84759"/>
    <w:rsid w:val="00C85606"/>
    <w:rsid w:val="00C910B2"/>
    <w:rsid w:val="00CA17D9"/>
    <w:rsid w:val="00CA6C7F"/>
    <w:rsid w:val="00CA7805"/>
    <w:rsid w:val="00CA7C6D"/>
    <w:rsid w:val="00CB101E"/>
    <w:rsid w:val="00CC10A6"/>
    <w:rsid w:val="00CC25D6"/>
    <w:rsid w:val="00CC766A"/>
    <w:rsid w:val="00CD7044"/>
    <w:rsid w:val="00CE524C"/>
    <w:rsid w:val="00CF141F"/>
    <w:rsid w:val="00CF37A4"/>
    <w:rsid w:val="00CF4777"/>
    <w:rsid w:val="00D0011C"/>
    <w:rsid w:val="00D02EDE"/>
    <w:rsid w:val="00D11D18"/>
    <w:rsid w:val="00D169AF"/>
    <w:rsid w:val="00D25249"/>
    <w:rsid w:val="00D27BD8"/>
    <w:rsid w:val="00D44172"/>
    <w:rsid w:val="00D4771B"/>
    <w:rsid w:val="00D63B8C"/>
    <w:rsid w:val="00D724A1"/>
    <w:rsid w:val="00D739CC"/>
    <w:rsid w:val="00D748BF"/>
    <w:rsid w:val="00D8093D"/>
    <w:rsid w:val="00D8108C"/>
    <w:rsid w:val="00D842AE"/>
    <w:rsid w:val="00D86CB4"/>
    <w:rsid w:val="00D9211C"/>
    <w:rsid w:val="00D925E4"/>
    <w:rsid w:val="00DA1BCA"/>
    <w:rsid w:val="00DC17F1"/>
    <w:rsid w:val="00DC46FF"/>
    <w:rsid w:val="00DD1A4F"/>
    <w:rsid w:val="00DD7C2C"/>
    <w:rsid w:val="00DF0EFD"/>
    <w:rsid w:val="00DF27E7"/>
    <w:rsid w:val="00E06797"/>
    <w:rsid w:val="00E17634"/>
    <w:rsid w:val="00E21C83"/>
    <w:rsid w:val="00E276DF"/>
    <w:rsid w:val="00E357CC"/>
    <w:rsid w:val="00E46D9A"/>
    <w:rsid w:val="00E47183"/>
    <w:rsid w:val="00E4731B"/>
    <w:rsid w:val="00E565FF"/>
    <w:rsid w:val="00E65388"/>
    <w:rsid w:val="00E85B7D"/>
    <w:rsid w:val="00E9121B"/>
    <w:rsid w:val="00EA39E5"/>
    <w:rsid w:val="00EB6C7F"/>
    <w:rsid w:val="00EB6C81"/>
    <w:rsid w:val="00EC5A46"/>
    <w:rsid w:val="00EC63E2"/>
    <w:rsid w:val="00EE024D"/>
    <w:rsid w:val="00EF22B3"/>
    <w:rsid w:val="00F113DA"/>
    <w:rsid w:val="00F30AD8"/>
    <w:rsid w:val="00F31C62"/>
    <w:rsid w:val="00F332BC"/>
    <w:rsid w:val="00F36898"/>
    <w:rsid w:val="00F37DC8"/>
    <w:rsid w:val="00F42092"/>
    <w:rsid w:val="00F60D7A"/>
    <w:rsid w:val="00F650C3"/>
    <w:rsid w:val="00F7155A"/>
    <w:rsid w:val="00F77E98"/>
    <w:rsid w:val="00F8091E"/>
    <w:rsid w:val="00F8615C"/>
    <w:rsid w:val="00F918AB"/>
    <w:rsid w:val="00FA10EA"/>
    <w:rsid w:val="00FA2593"/>
    <w:rsid w:val="00FB670B"/>
    <w:rsid w:val="00FB7E48"/>
    <w:rsid w:val="00FD5860"/>
    <w:rsid w:val="00FE352D"/>
    <w:rsid w:val="00FE3BD2"/>
    <w:rsid w:val="00FE7D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80A1F8"/>
  <w15:docId w15:val="{342C0618-59B8-4F48-9033-0A099362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pool"/>
    <w:qFormat/>
    <w:rsid w:val="00CC766A"/>
    <w:rPr>
      <w:rFonts w:eastAsia="Calibri"/>
      <w:szCs w:val="22"/>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ind w:left="1000"/>
    </w:pPr>
    <w:rPr>
      <w:sz w:val="18"/>
      <w:szCs w:val="18"/>
    </w:rPr>
  </w:style>
  <w:style w:type="paragraph" w:styleId="TOC7">
    <w:name w:val="toc 7"/>
    <w:basedOn w:val="Normal"/>
    <w:next w:val="Normal"/>
    <w:autoRedefine/>
    <w:semiHidden/>
    <w:rsid w:val="002C2C3E"/>
    <w:pPr>
      <w:ind w:left="1200"/>
    </w:pPr>
    <w:rPr>
      <w:sz w:val="18"/>
      <w:szCs w:val="18"/>
    </w:rPr>
  </w:style>
  <w:style w:type="paragraph" w:styleId="TOC8">
    <w:name w:val="toc 8"/>
    <w:basedOn w:val="Normal"/>
    <w:next w:val="Normal"/>
    <w:autoRedefine/>
    <w:semiHidden/>
    <w:rsid w:val="002C2C3E"/>
    <w:pPr>
      <w:ind w:left="1400"/>
    </w:pPr>
    <w:rPr>
      <w:sz w:val="18"/>
      <w:szCs w:val="18"/>
    </w:rPr>
  </w:style>
  <w:style w:type="paragraph" w:styleId="TOC9">
    <w:name w:val="toc 9"/>
    <w:basedOn w:val="Normal"/>
    <w:next w:val="Normal"/>
    <w:autoRedefine/>
    <w:semiHidden/>
    <w:rsid w:val="002C2C3E"/>
    <w:pPr>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qFormat/>
    <w:rsid w:val="001559C9"/>
    <w:rPr>
      <w:rFonts w:ascii="Times New Roman" w:hAnsi="Times New Roman"/>
      <w:color w:val="auto"/>
      <w:sz w:val="20"/>
      <w:szCs w:val="18"/>
      <w:vertAlign w:val="superscript"/>
    </w:rPr>
  </w:style>
  <w:style w:type="paragraph" w:styleId="FootnoteText">
    <w:name w:val="footnote text"/>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qFormat/>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enter" w:pos="4320"/>
        <w:tab w:val="right" w:pos="8640"/>
      </w:tabs>
      <w:spacing w:before="60" w:after="120"/>
    </w:pPr>
  </w:style>
  <w:style w:type="paragraph" w:styleId="Header">
    <w:name w:val="header"/>
    <w:aliases w:val="Header-pool"/>
    <w:basedOn w:val="Normal"/>
    <w:link w:val="HeaderChar"/>
    <w:rsid w:val="00AB5340"/>
    <w:pPr>
      <w:pBdr>
        <w:bottom w:val="single" w:sz="4" w:space="1" w:color="auto"/>
      </w:pBdr>
      <w:tabs>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rsid w:val="00071886"/>
    <w:pPr>
      <w:numPr>
        <w:numId w:val="37"/>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right" w:leader="dot" w:pos="9486"/>
      </w:tabs>
      <w:spacing w:before="120" w:after="120"/>
      <w:ind w:left="1814" w:hanging="567"/>
    </w:pPr>
    <w:rPr>
      <w:bCs/>
    </w:rPr>
  </w:style>
  <w:style w:type="paragraph" w:styleId="TOC2">
    <w:name w:val="toc 2"/>
    <w:basedOn w:val="Normal"/>
    <w:next w:val="Normal"/>
    <w:rsid w:val="002C2C3E"/>
    <w:pPr>
      <w:tabs>
        <w:tab w:val="right" w:leader="dot" w:pos="9486"/>
      </w:tabs>
      <w:ind w:left="2381" w:hanging="567"/>
    </w:pPr>
  </w:style>
  <w:style w:type="paragraph" w:styleId="TOC3">
    <w:name w:val="toc 3"/>
    <w:basedOn w:val="Normal"/>
    <w:next w:val="Normal"/>
    <w:rsid w:val="002929D8"/>
    <w:pPr>
      <w:tabs>
        <w:tab w:val="right" w:leader="dot" w:pos="9486"/>
      </w:tabs>
      <w:ind w:left="2948" w:hanging="567"/>
    </w:pPr>
    <w:rPr>
      <w:iCs/>
    </w:rPr>
  </w:style>
  <w:style w:type="paragraph" w:styleId="TOC4">
    <w:name w:val="toc 4"/>
    <w:basedOn w:val="Normal"/>
    <w:next w:val="Normal"/>
    <w:rsid w:val="002929D8"/>
    <w:pPr>
      <w:tabs>
        <w:tab w:val="left" w:pos="1000"/>
        <w:tab w:val="right" w:leader="dot" w:pos="9486"/>
      </w:tabs>
      <w:ind w:left="3515" w:hanging="567"/>
    </w:pPr>
    <w:rPr>
      <w:szCs w:val="18"/>
    </w:rPr>
  </w:style>
  <w:style w:type="paragraph" w:styleId="TOC5">
    <w:name w:val="toc 5"/>
    <w:basedOn w:val="Normal"/>
    <w:next w:val="Normal"/>
    <w:autoRedefine/>
    <w:semiHidden/>
    <w:rsid w:val="00247707"/>
    <w:pPr>
      <w:ind w:left="800"/>
    </w:pPr>
    <w:rPr>
      <w:sz w:val="18"/>
      <w:szCs w:val="18"/>
    </w:rPr>
  </w:style>
  <w:style w:type="paragraph" w:customStyle="1" w:styleId="ZZAnxheader">
    <w:name w:val="ZZ_Anx_header"/>
    <w:basedOn w:val="Normal"/>
    <w:rsid w:val="00715E88"/>
    <w:rPr>
      <w:b/>
      <w:bCs/>
      <w:sz w:val="28"/>
    </w:rPr>
  </w:style>
  <w:style w:type="paragraph" w:customStyle="1" w:styleId="ZZAnxtitle">
    <w:name w:val="ZZ_Anx_title"/>
    <w:basedOn w:val="Normal"/>
    <w:rsid w:val="00715E88"/>
    <w:pPr>
      <w:spacing w:before="360" w:after="120"/>
      <w:ind w:left="1247"/>
    </w:pPr>
    <w:rPr>
      <w:b/>
      <w:bCs/>
      <w:sz w:val="28"/>
      <w:szCs w:val="26"/>
    </w:rPr>
  </w:style>
  <w:style w:type="paragraph" w:styleId="ListParagraph">
    <w:name w:val="List Paragraph"/>
    <w:basedOn w:val="Normal"/>
    <w:uiPriority w:val="34"/>
    <w:qFormat/>
    <w:rsid w:val="00CC766A"/>
    <w:pPr>
      <w:ind w:left="720"/>
      <w:contextualSpacing/>
    </w:pPr>
  </w:style>
  <w:style w:type="character" w:customStyle="1" w:styleId="FootnoteTextChar">
    <w:name w:val="Footnote Text Char"/>
    <w:link w:val="FootnoteText"/>
    <w:semiHidden/>
    <w:qFormat/>
    <w:rsid w:val="00CC766A"/>
    <w:rPr>
      <w:sz w:val="18"/>
      <w:lang w:val="en-GB"/>
    </w:rPr>
  </w:style>
  <w:style w:type="table" w:styleId="TableGrid">
    <w:name w:val="Table Grid"/>
    <w:basedOn w:val="TableNormal"/>
    <w:rsid w:val="00CC7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C766A"/>
    <w:rPr>
      <w:rFonts w:ascii="Segoe UI" w:hAnsi="Segoe UI" w:cs="Segoe UI"/>
      <w:sz w:val="18"/>
      <w:szCs w:val="18"/>
    </w:rPr>
  </w:style>
  <w:style w:type="character" w:customStyle="1" w:styleId="BalloonTextChar">
    <w:name w:val="Balloon Text Char"/>
    <w:basedOn w:val="DefaultParagraphFont"/>
    <w:link w:val="BalloonText"/>
    <w:rsid w:val="00CC766A"/>
    <w:rPr>
      <w:rFonts w:ascii="Segoe UI" w:eastAsia="Calibri" w:hAnsi="Segoe UI" w:cs="Segoe UI"/>
      <w:sz w:val="18"/>
      <w:szCs w:val="18"/>
      <w:lang w:val="en-GB"/>
    </w:rPr>
  </w:style>
  <w:style w:type="character" w:customStyle="1" w:styleId="HeaderChar">
    <w:name w:val="Header Char"/>
    <w:aliases w:val="Header-pool Char"/>
    <w:basedOn w:val="DefaultParagraphFont"/>
    <w:link w:val="Header"/>
    <w:rsid w:val="00455F0E"/>
    <w:rPr>
      <w:rFonts w:eastAsia="Calibri"/>
      <w:b/>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85823">
      <w:bodyDiv w:val="1"/>
      <w:marLeft w:val="0"/>
      <w:marRight w:val="0"/>
      <w:marTop w:val="0"/>
      <w:marBottom w:val="0"/>
      <w:divBdr>
        <w:top w:val="none" w:sz="0" w:space="0" w:color="auto"/>
        <w:left w:val="none" w:sz="0" w:space="0" w:color="auto"/>
        <w:bottom w:val="none" w:sz="0" w:space="0" w:color="auto"/>
        <w:right w:val="none" w:sz="0" w:space="0" w:color="auto"/>
      </w:divBdr>
    </w:div>
    <w:div w:id="3515401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07385585">
      <w:bodyDiv w:val="1"/>
      <w:marLeft w:val="0"/>
      <w:marRight w:val="0"/>
      <w:marTop w:val="0"/>
      <w:marBottom w:val="0"/>
      <w:divBdr>
        <w:top w:val="none" w:sz="0" w:space="0" w:color="auto"/>
        <w:left w:val="none" w:sz="0" w:space="0" w:color="auto"/>
        <w:bottom w:val="none" w:sz="0" w:space="0" w:color="auto"/>
        <w:right w:val="none" w:sz="0" w:space="0" w:color="auto"/>
      </w:divBdr>
    </w:div>
    <w:div w:id="1128158344">
      <w:bodyDiv w:val="1"/>
      <w:marLeft w:val="0"/>
      <w:marRight w:val="0"/>
      <w:marTop w:val="0"/>
      <w:marBottom w:val="0"/>
      <w:divBdr>
        <w:top w:val="none" w:sz="0" w:space="0" w:color="auto"/>
        <w:left w:val="none" w:sz="0" w:space="0" w:color="auto"/>
        <w:bottom w:val="none" w:sz="0" w:space="0" w:color="auto"/>
        <w:right w:val="none" w:sz="0" w:space="0" w:color="auto"/>
      </w:divBdr>
    </w:div>
    <w:div w:id="118567959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2063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docs.unep.org/bitstream/handle/20.500.11822/33807/ARIC%20.pdf?sequence=1&amp;isAllowed=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2834EECE41684AACCF26BD9C8A42B6" ma:contentTypeVersion="11" ma:contentTypeDescription="Create a new document." ma:contentTypeScope="" ma:versionID="847ae6ee50f5cf7c51059f13a3043459">
  <xsd:schema xmlns:xsd="http://www.w3.org/2001/XMLSchema" xmlns:xs="http://www.w3.org/2001/XMLSchema" xmlns:p="http://schemas.microsoft.com/office/2006/metadata/properties" xmlns:ns2="4556797a-c4c6-4bb5-9ceb-f1ec1ae6dd82" xmlns:ns3="641832ca-b52e-4ffa-82f3-e60a68415af7" targetNamespace="http://schemas.microsoft.com/office/2006/metadata/properties" ma:root="true" ma:fieldsID="08f867596e6fd369e3f2bf4ce64c0f6e" ns2:_="" ns3:_="">
    <xsd:import namespace="4556797a-c4c6-4bb5-9ceb-f1ec1ae6dd82"/>
    <xsd:import namespace="641832ca-b52e-4ffa-82f3-e60a68415a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6797a-c4c6-4bb5-9ceb-f1ec1ae6dd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832ca-b52e-4ffa-82f3-e60a68415af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6A2C5-E0BB-4733-8FBD-2F26125D89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D320FB-EACD-47AF-AD94-A0A65A121EEA}">
  <ds:schemaRefs>
    <ds:schemaRef ds:uri="http://schemas.microsoft.com/sharepoint/v3/contenttype/forms"/>
  </ds:schemaRefs>
</ds:datastoreItem>
</file>

<file path=customXml/itemProps3.xml><?xml version="1.0" encoding="utf-8"?>
<ds:datastoreItem xmlns:ds="http://schemas.openxmlformats.org/officeDocument/2006/customXml" ds:itemID="{6419F50D-A355-4AAC-BFB0-4AFEDA781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6797a-c4c6-4bb5-9ceb-f1ec1ae6dd82"/>
    <ds:schemaRef ds:uri="641832ca-b52e-4ffa-82f3-e60a6841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ECC97A-C1D0-4C18-B02D-ECFD2C0C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4646</Words>
  <Characters>27505</Characters>
  <Application>Microsoft Office Word</Application>
  <DocSecurity>0</DocSecurity>
  <Lines>404</Lines>
  <Paragraphs>102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United Nations</Company>
  <LinksUpToDate>false</LinksUpToDate>
  <CharactersWithSpaces>32049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Natalia Sikalova</cp:lastModifiedBy>
  <cp:revision>30</cp:revision>
  <cp:lastPrinted>2017-12-03T12:37:00Z</cp:lastPrinted>
  <dcterms:created xsi:type="dcterms:W3CDTF">2020-12-09T06:59:00Z</dcterms:created>
  <dcterms:modified xsi:type="dcterms:W3CDTF">2020-12-30T08:03:00Z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10/25/2017 1:39:20 PM</vt:lpwstr>
  </property>
  <property fmtid="{D5CDD505-2E9C-101B-9397-08002B2CF9AE}" pid="5" name="OriginalDocID">
    <vt:lpwstr>865e7234-c186-4932-8223-85f5cd2fd5f8</vt:lpwstr>
  </property>
  <property fmtid="{D5CDD505-2E9C-101B-9397-08002B2CF9AE}" pid="6" name="ContentTypeId">
    <vt:lpwstr>0x010100B02834EECE41684AACCF26BD9C8A42B6</vt:lpwstr>
  </property>
</Properties>
</file>