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74679F" w:rsidRPr="0074679F" w14:paraId="75003357" w14:textId="77777777" w:rsidTr="00632C39">
        <w:trPr>
          <w:cantSplit/>
          <w:trHeight w:val="57"/>
          <w:jc w:val="right"/>
        </w:trPr>
        <w:tc>
          <w:tcPr>
            <w:tcW w:w="1519" w:type="dxa"/>
          </w:tcPr>
          <w:p w14:paraId="58C42194" w14:textId="77777777" w:rsidR="0074679F" w:rsidRPr="0074679F" w:rsidRDefault="0074679F" w:rsidP="0074679F">
            <w:pPr>
              <w:tabs>
                <w:tab w:val="clear" w:pos="1814"/>
                <w:tab w:val="clear" w:pos="2381"/>
                <w:tab w:val="clear" w:pos="2948"/>
                <w:tab w:val="clear" w:pos="3515"/>
              </w:tabs>
              <w:rPr>
                <w:rFonts w:ascii="Arial" w:hAnsi="Arial" w:cs="Arial"/>
                <w:b/>
                <w:bCs/>
                <w:noProof/>
                <w:sz w:val="27"/>
                <w:szCs w:val="27"/>
                <w:lang w:val="en-GB"/>
              </w:rPr>
            </w:pPr>
            <w:r w:rsidRPr="0074679F">
              <w:rPr>
                <w:rFonts w:ascii="Arial" w:hAnsi="Arial" w:cs="Arial"/>
                <w:b/>
                <w:bCs/>
                <w:noProof/>
                <w:sz w:val="27"/>
                <w:szCs w:val="27"/>
                <w:lang w:val="en-GB"/>
              </w:rPr>
              <w:t xml:space="preserve">UNITED </w:t>
            </w:r>
            <w:r w:rsidRPr="0074679F">
              <w:rPr>
                <w:rFonts w:ascii="Arial" w:hAnsi="Arial" w:cs="Arial"/>
                <w:b/>
                <w:bCs/>
                <w:noProof/>
                <w:sz w:val="27"/>
                <w:szCs w:val="27"/>
                <w:lang w:val="en-GB"/>
              </w:rPr>
              <w:br/>
              <w:t>NATIONS</w:t>
            </w:r>
          </w:p>
        </w:tc>
        <w:tc>
          <w:tcPr>
            <w:tcW w:w="5224" w:type="dxa"/>
          </w:tcPr>
          <w:p w14:paraId="7748FE02" w14:textId="77777777" w:rsidR="0074679F" w:rsidRPr="0074679F" w:rsidRDefault="0074679F" w:rsidP="0074679F">
            <w:pPr>
              <w:tabs>
                <w:tab w:val="clear" w:pos="1814"/>
                <w:tab w:val="clear" w:pos="2381"/>
                <w:tab w:val="clear" w:pos="2948"/>
                <w:tab w:val="clear" w:pos="3515"/>
              </w:tabs>
              <w:rPr>
                <w:lang w:val="en-GB"/>
              </w:rPr>
            </w:pPr>
          </w:p>
        </w:tc>
        <w:tc>
          <w:tcPr>
            <w:tcW w:w="2753" w:type="dxa"/>
          </w:tcPr>
          <w:p w14:paraId="46458B5C" w14:textId="77777777" w:rsidR="0074679F" w:rsidRPr="0074679F" w:rsidRDefault="0074679F" w:rsidP="0074679F">
            <w:pPr>
              <w:tabs>
                <w:tab w:val="clear" w:pos="1814"/>
                <w:tab w:val="clear" w:pos="2381"/>
                <w:tab w:val="clear" w:pos="2948"/>
                <w:tab w:val="clear" w:pos="3515"/>
              </w:tabs>
              <w:jc w:val="right"/>
              <w:rPr>
                <w:rFonts w:ascii="Arial" w:hAnsi="Arial" w:cs="Arial"/>
                <w:b/>
                <w:bCs/>
                <w:sz w:val="64"/>
                <w:szCs w:val="64"/>
                <w:lang w:val="en-GB"/>
              </w:rPr>
            </w:pPr>
            <w:r w:rsidRPr="0074679F">
              <w:rPr>
                <w:rFonts w:ascii="Arial" w:hAnsi="Arial" w:cs="Arial"/>
                <w:b/>
                <w:bCs/>
                <w:sz w:val="64"/>
                <w:szCs w:val="64"/>
                <w:lang w:val="en-GB"/>
              </w:rPr>
              <w:t>EP</w:t>
            </w:r>
          </w:p>
        </w:tc>
      </w:tr>
      <w:tr w:rsidR="0074679F" w:rsidRPr="0074679F" w14:paraId="28E5E050" w14:textId="77777777" w:rsidTr="00632C39">
        <w:trPr>
          <w:cantSplit/>
          <w:trHeight w:val="57"/>
          <w:jc w:val="right"/>
        </w:trPr>
        <w:tc>
          <w:tcPr>
            <w:tcW w:w="1519" w:type="dxa"/>
            <w:tcBorders>
              <w:bottom w:val="single" w:sz="4" w:space="0" w:color="auto"/>
            </w:tcBorders>
          </w:tcPr>
          <w:p w14:paraId="23BE9887" w14:textId="77777777" w:rsidR="0074679F" w:rsidRPr="0074679F" w:rsidRDefault="0074679F" w:rsidP="0074679F">
            <w:pPr>
              <w:tabs>
                <w:tab w:val="clear" w:pos="1814"/>
                <w:tab w:val="clear" w:pos="2381"/>
                <w:tab w:val="clear" w:pos="2948"/>
                <w:tab w:val="clear" w:pos="3515"/>
              </w:tabs>
              <w:rPr>
                <w:noProof/>
                <w:highlight w:val="cyan"/>
                <w:lang w:val="en-GB"/>
              </w:rPr>
            </w:pPr>
          </w:p>
        </w:tc>
        <w:tc>
          <w:tcPr>
            <w:tcW w:w="5224" w:type="dxa"/>
            <w:tcBorders>
              <w:bottom w:val="single" w:sz="4" w:space="0" w:color="auto"/>
            </w:tcBorders>
          </w:tcPr>
          <w:p w14:paraId="61EE39B3" w14:textId="77777777" w:rsidR="0074679F" w:rsidRPr="0074679F" w:rsidRDefault="0074679F" w:rsidP="0074679F">
            <w:pPr>
              <w:tabs>
                <w:tab w:val="clear" w:pos="1814"/>
                <w:tab w:val="clear" w:pos="2381"/>
                <w:tab w:val="clear" w:pos="2948"/>
                <w:tab w:val="clear" w:pos="3515"/>
              </w:tabs>
              <w:rPr>
                <w:noProof/>
                <w:sz w:val="18"/>
                <w:szCs w:val="18"/>
                <w:lang w:val="en-GB"/>
              </w:rPr>
            </w:pPr>
          </w:p>
        </w:tc>
        <w:tc>
          <w:tcPr>
            <w:tcW w:w="2753" w:type="dxa"/>
            <w:tcBorders>
              <w:bottom w:val="single" w:sz="4" w:space="0" w:color="auto"/>
            </w:tcBorders>
          </w:tcPr>
          <w:p w14:paraId="0B286CE2" w14:textId="77777777" w:rsidR="0074679F" w:rsidRPr="0074679F" w:rsidRDefault="0074679F" w:rsidP="0074679F">
            <w:pPr>
              <w:tabs>
                <w:tab w:val="clear" w:pos="1814"/>
                <w:tab w:val="clear" w:pos="2381"/>
                <w:tab w:val="clear" w:pos="2948"/>
                <w:tab w:val="clear" w:pos="3515"/>
              </w:tabs>
              <w:rPr>
                <w:noProof/>
                <w:sz w:val="18"/>
                <w:szCs w:val="18"/>
                <w:lang w:val="en-GB"/>
              </w:rPr>
            </w:pPr>
            <w:r w:rsidRPr="0074679F">
              <w:rPr>
                <w:b/>
                <w:bCs/>
                <w:sz w:val="28"/>
                <w:lang w:val="en-GB"/>
              </w:rPr>
              <w:t>UNEP</w:t>
            </w:r>
            <w:r w:rsidRPr="0074679F">
              <w:rPr>
                <w:noProof/>
                <w:lang w:val="en-GB"/>
              </w:rPr>
              <w:t>/EA.5/10</w:t>
            </w:r>
          </w:p>
        </w:tc>
      </w:tr>
      <w:tr w:rsidR="0074679F" w:rsidRPr="0027278B" w14:paraId="7F894DA0" w14:textId="77777777" w:rsidTr="00632C39">
        <w:trPr>
          <w:cantSplit/>
          <w:trHeight w:val="57"/>
          <w:jc w:val="right"/>
        </w:trPr>
        <w:tc>
          <w:tcPr>
            <w:tcW w:w="1519" w:type="dxa"/>
            <w:tcBorders>
              <w:top w:val="single" w:sz="4" w:space="0" w:color="auto"/>
              <w:bottom w:val="single" w:sz="24" w:space="0" w:color="auto"/>
            </w:tcBorders>
          </w:tcPr>
          <w:p w14:paraId="15DB181C" w14:textId="69FE968A" w:rsidR="0074679F" w:rsidRPr="0074679F" w:rsidRDefault="0074679F" w:rsidP="0074679F">
            <w:pPr>
              <w:tabs>
                <w:tab w:val="clear" w:pos="1814"/>
                <w:tab w:val="clear" w:pos="2381"/>
                <w:tab w:val="clear" w:pos="2948"/>
                <w:tab w:val="clear" w:pos="3515"/>
              </w:tabs>
              <w:rPr>
                <w:noProof/>
                <w:lang w:val="en-GB"/>
              </w:rPr>
            </w:pPr>
            <w:r w:rsidRPr="0074679F">
              <w:rPr>
                <w:noProof/>
                <w:lang w:val="en-GB"/>
              </w:rPr>
              <w:object w:dxaOrig="1831" w:dyaOrig="1726" w14:anchorId="28A93F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5pt;height:62.05pt" o:ole="" fillcolor="window">
                  <v:imagedata r:id="rId11" o:title=""/>
                </v:shape>
                <o:OLEObject Type="Embed" ProgID="Word.Picture.8" ShapeID="_x0000_i1025" DrawAspect="Content" ObjectID="_1670739132" r:id="rId12"/>
              </w:object>
            </w:r>
            <w:r w:rsidRPr="0074679F">
              <w:rPr>
                <w:noProof/>
                <w:lang w:val="en-GB" w:eastAsia="en-GB"/>
              </w:rPr>
              <w:drawing>
                <wp:inline distT="0" distB="0" distL="0" distR="0" wp14:anchorId="302882CE" wp14:editId="3005CFB8">
                  <wp:extent cx="723265" cy="764540"/>
                  <wp:effectExtent l="0" t="0" r="0" b="0"/>
                  <wp:docPr id="1"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265" cy="76454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1138A2BF" w14:textId="77777777" w:rsidR="0074679F" w:rsidRPr="0074679F" w:rsidRDefault="0074679F" w:rsidP="0074679F">
            <w:pPr>
              <w:tabs>
                <w:tab w:val="clear" w:pos="1814"/>
                <w:tab w:val="clear" w:pos="2381"/>
                <w:tab w:val="clear" w:pos="2948"/>
                <w:tab w:val="clear" w:pos="3515"/>
              </w:tabs>
              <w:spacing w:before="1400" w:after="120"/>
              <w:rPr>
                <w:rFonts w:ascii="Arial" w:hAnsi="Arial" w:cs="Arial"/>
                <w:b/>
                <w:bCs/>
                <w:sz w:val="28"/>
                <w:szCs w:val="28"/>
                <w:lang w:val="en-GB"/>
              </w:rPr>
            </w:pPr>
            <w:r w:rsidRPr="0074679F">
              <w:rPr>
                <w:rFonts w:ascii="Arial" w:hAnsi="Arial" w:cs="Arial"/>
                <w:b/>
                <w:bCs/>
                <w:sz w:val="28"/>
                <w:szCs w:val="28"/>
                <w:lang w:val="en-GB"/>
              </w:rPr>
              <w:t xml:space="preserve">United Nations </w:t>
            </w:r>
            <w:r w:rsidRPr="0074679F">
              <w:rPr>
                <w:rFonts w:ascii="Arial" w:hAnsi="Arial" w:cs="Arial"/>
                <w:b/>
                <w:bCs/>
                <w:sz w:val="28"/>
                <w:szCs w:val="28"/>
                <w:lang w:val="en-GB"/>
              </w:rPr>
              <w:br/>
              <w:t xml:space="preserve">Environment Assembly of the </w:t>
            </w:r>
            <w:r w:rsidRPr="0074679F">
              <w:rPr>
                <w:rFonts w:ascii="Arial" w:hAnsi="Arial" w:cs="Arial"/>
                <w:b/>
                <w:bCs/>
                <w:sz w:val="28"/>
                <w:szCs w:val="28"/>
                <w:lang w:val="en-GB"/>
              </w:rPr>
              <w:br/>
              <w:t>United Nations Environment Programme</w:t>
            </w:r>
          </w:p>
        </w:tc>
        <w:tc>
          <w:tcPr>
            <w:tcW w:w="2753" w:type="dxa"/>
            <w:tcBorders>
              <w:top w:val="single" w:sz="4" w:space="0" w:color="auto"/>
              <w:bottom w:val="single" w:sz="24" w:space="0" w:color="auto"/>
            </w:tcBorders>
          </w:tcPr>
          <w:p w14:paraId="44C8322F" w14:textId="257D1AF9" w:rsidR="0074679F" w:rsidRPr="0074679F" w:rsidRDefault="0074679F" w:rsidP="00E1335D">
            <w:pPr>
              <w:pStyle w:val="Normal-pool"/>
              <w:spacing w:before="120"/>
              <w:rPr>
                <w:rFonts w:eastAsia="SimSun"/>
              </w:rPr>
            </w:pPr>
            <w:r w:rsidRPr="0074679F">
              <w:rPr>
                <w:rFonts w:eastAsia="SimSun"/>
              </w:rPr>
              <w:t xml:space="preserve">Distr.: General </w:t>
            </w:r>
            <w:r w:rsidRPr="0074679F">
              <w:rPr>
                <w:rFonts w:eastAsia="SimSun"/>
              </w:rPr>
              <w:br/>
            </w:r>
            <w:r w:rsidR="00455FEF">
              <w:rPr>
                <w:rFonts w:eastAsia="SimSun"/>
              </w:rPr>
              <w:t>16</w:t>
            </w:r>
            <w:r w:rsidRPr="00F90BC4">
              <w:rPr>
                <w:rFonts w:eastAsia="SimSun"/>
              </w:rPr>
              <w:t xml:space="preserve"> </w:t>
            </w:r>
            <w:r w:rsidR="001379D4" w:rsidRPr="00F90BC4">
              <w:rPr>
                <w:rFonts w:eastAsia="SimSun"/>
              </w:rPr>
              <w:t>November</w:t>
            </w:r>
            <w:r w:rsidRPr="00F90BC4">
              <w:rPr>
                <w:rFonts w:eastAsia="SimSun"/>
              </w:rPr>
              <w:t xml:space="preserve"> 202</w:t>
            </w:r>
            <w:r w:rsidR="001379D4" w:rsidRPr="00F90BC4">
              <w:rPr>
                <w:rFonts w:eastAsia="SimSun"/>
              </w:rPr>
              <w:t>0</w:t>
            </w:r>
          </w:p>
          <w:p w14:paraId="4F3A02C6" w14:textId="77777777" w:rsidR="0074679F" w:rsidRPr="0074679F" w:rsidRDefault="0074679F" w:rsidP="00E1335D">
            <w:pPr>
              <w:pStyle w:val="Normal-pool"/>
              <w:spacing w:before="120"/>
            </w:pPr>
            <w:r w:rsidRPr="0074679F">
              <w:rPr>
                <w:rFonts w:eastAsia="SimSun"/>
              </w:rPr>
              <w:t>Original: English</w:t>
            </w:r>
          </w:p>
        </w:tc>
      </w:tr>
    </w:tbl>
    <w:p w14:paraId="51740250" w14:textId="77777777" w:rsidR="0074679F" w:rsidRPr="0074679F" w:rsidRDefault="0074679F" w:rsidP="0074679F">
      <w:pPr>
        <w:keepNext/>
        <w:keepLines/>
        <w:tabs>
          <w:tab w:val="clear" w:pos="1814"/>
          <w:tab w:val="clear" w:pos="2381"/>
          <w:tab w:val="clear" w:pos="2948"/>
          <w:tab w:val="clear" w:pos="3515"/>
        </w:tabs>
        <w:suppressAutoHyphens/>
        <w:ind w:right="5103"/>
        <w:rPr>
          <w:b/>
          <w:lang w:val="en-GB"/>
        </w:rPr>
      </w:pPr>
      <w:r w:rsidRPr="0074679F">
        <w:rPr>
          <w:b/>
          <w:lang w:val="en-GB"/>
        </w:rPr>
        <w:t xml:space="preserve">United Nations Environment Assembly of the </w:t>
      </w:r>
      <w:r w:rsidRPr="0074679F">
        <w:rPr>
          <w:b/>
          <w:lang w:val="en-GB"/>
        </w:rPr>
        <w:br/>
        <w:t>United Nations Environment Programme</w:t>
      </w:r>
    </w:p>
    <w:p w14:paraId="6A899565" w14:textId="77777777" w:rsidR="0074679F" w:rsidRPr="0074679F" w:rsidRDefault="0074679F" w:rsidP="0074679F">
      <w:pPr>
        <w:keepNext/>
        <w:keepLines/>
        <w:tabs>
          <w:tab w:val="clear" w:pos="1814"/>
          <w:tab w:val="clear" w:pos="2381"/>
          <w:tab w:val="clear" w:pos="2948"/>
          <w:tab w:val="clear" w:pos="3515"/>
        </w:tabs>
        <w:suppressAutoHyphens/>
        <w:ind w:right="5103"/>
        <w:rPr>
          <w:b/>
          <w:lang w:val="en-GB"/>
        </w:rPr>
      </w:pPr>
      <w:r w:rsidRPr="0074679F">
        <w:rPr>
          <w:b/>
          <w:lang w:val="en-GB"/>
        </w:rPr>
        <w:t>Fifth session</w:t>
      </w:r>
    </w:p>
    <w:p w14:paraId="3B3537D5" w14:textId="69F1E737" w:rsidR="0074679F" w:rsidRPr="0074679F" w:rsidRDefault="0074679F" w:rsidP="0074679F">
      <w:pPr>
        <w:keepNext/>
        <w:keepLines/>
        <w:tabs>
          <w:tab w:val="clear" w:pos="1814"/>
          <w:tab w:val="clear" w:pos="2381"/>
          <w:tab w:val="clear" w:pos="2948"/>
          <w:tab w:val="clear" w:pos="3515"/>
        </w:tabs>
        <w:suppressAutoHyphens/>
        <w:ind w:right="5103"/>
        <w:rPr>
          <w:bCs/>
          <w:lang w:val="en-GB"/>
        </w:rPr>
      </w:pPr>
      <w:r w:rsidRPr="0074679F">
        <w:rPr>
          <w:bCs/>
          <w:lang w:val="en-GB"/>
        </w:rPr>
        <w:t>Nairobi</w:t>
      </w:r>
      <w:r w:rsidR="00F51164">
        <w:rPr>
          <w:bCs/>
          <w:lang w:val="en-GB"/>
        </w:rPr>
        <w:t xml:space="preserve"> (online)</w:t>
      </w:r>
      <w:r w:rsidRPr="0074679F">
        <w:rPr>
          <w:bCs/>
          <w:lang w:val="en-GB"/>
        </w:rPr>
        <w:t>, 22</w:t>
      </w:r>
      <w:r w:rsidR="00602F6C" w:rsidRPr="002830B1">
        <w:rPr>
          <w:lang w:val="en-GB"/>
        </w:rPr>
        <w:t>–</w:t>
      </w:r>
      <w:r w:rsidRPr="0074679F">
        <w:rPr>
          <w:bCs/>
          <w:lang w:val="en-GB"/>
        </w:rPr>
        <w:t>26 February 2021</w:t>
      </w:r>
      <w:r w:rsidR="009C77D6" w:rsidRPr="0027278B">
        <w:rPr>
          <w:bCs/>
          <w:szCs w:val="18"/>
          <w:lang w:val="en-US"/>
        </w:rPr>
        <w:footnoteReference w:customMarkFollows="1" w:id="1"/>
        <w:t>*</w:t>
      </w:r>
    </w:p>
    <w:p w14:paraId="5D0622AD" w14:textId="59983B7D" w:rsidR="00867C98" w:rsidRPr="00867C98" w:rsidRDefault="00867C98" w:rsidP="00867C98">
      <w:pPr>
        <w:keepNext/>
        <w:keepLines/>
        <w:tabs>
          <w:tab w:val="clear" w:pos="1814"/>
          <w:tab w:val="clear" w:pos="2381"/>
          <w:tab w:val="clear" w:pos="2948"/>
          <w:tab w:val="clear" w:pos="3515"/>
        </w:tabs>
        <w:suppressAutoHyphens/>
        <w:ind w:right="5103"/>
        <w:rPr>
          <w:lang w:val="en-GB"/>
        </w:rPr>
      </w:pPr>
      <w:r w:rsidRPr="00867C98">
        <w:rPr>
          <w:lang w:val="en-GB"/>
        </w:rPr>
        <w:t>Item 5 of the provisional agenda*</w:t>
      </w:r>
      <w:r w:rsidRPr="00867C98">
        <w:rPr>
          <w:lang w:val="en-GB"/>
        </w:rPr>
        <w:footnoteReference w:customMarkFollows="1" w:id="2"/>
        <w:t>*</w:t>
      </w:r>
    </w:p>
    <w:p w14:paraId="0E2CC35D" w14:textId="4A6F1A5C" w:rsidR="003525DB" w:rsidRPr="001B0458" w:rsidRDefault="003525DB" w:rsidP="001B0458">
      <w:pPr>
        <w:pStyle w:val="AATitle2"/>
      </w:pPr>
      <w:r w:rsidRPr="0027278B">
        <w:t xml:space="preserve">International environmental policy and </w:t>
      </w:r>
      <w:r w:rsidR="001B0458" w:rsidRPr="0027278B">
        <w:br/>
      </w:r>
      <w:r w:rsidRPr="0027278B">
        <w:t>governance issues</w:t>
      </w:r>
    </w:p>
    <w:p w14:paraId="0B68D43F" w14:textId="3304D589" w:rsidR="001379D4" w:rsidRDefault="001379D4" w:rsidP="0074679F">
      <w:pPr>
        <w:keepNext/>
        <w:keepLines/>
        <w:tabs>
          <w:tab w:val="left" w:pos="4082"/>
        </w:tabs>
        <w:suppressAutoHyphens/>
        <w:spacing w:before="320" w:after="240"/>
        <w:ind w:left="1247" w:right="567"/>
        <w:rPr>
          <w:b/>
          <w:sz w:val="28"/>
          <w:szCs w:val="28"/>
          <w:lang w:val="en-GB" w:eastAsia="en-GB"/>
        </w:rPr>
      </w:pPr>
      <w:r>
        <w:rPr>
          <w:b/>
          <w:sz w:val="28"/>
          <w:szCs w:val="28"/>
          <w:lang w:val="en-GB" w:eastAsia="en-GB"/>
        </w:rPr>
        <w:t>P</w:t>
      </w:r>
      <w:r w:rsidR="0074679F" w:rsidRPr="0074679F">
        <w:rPr>
          <w:b/>
          <w:sz w:val="28"/>
          <w:szCs w:val="28"/>
          <w:lang w:val="en-GB" w:eastAsia="en-GB"/>
        </w:rPr>
        <w:t xml:space="preserve">rogress </w:t>
      </w:r>
      <w:r w:rsidRPr="001379D4">
        <w:rPr>
          <w:b/>
          <w:sz w:val="28"/>
          <w:szCs w:val="28"/>
          <w:lang w:val="en-GB" w:eastAsia="en-GB"/>
        </w:rPr>
        <w:t>in the implementation of</w:t>
      </w:r>
      <w:r>
        <w:rPr>
          <w:b/>
          <w:sz w:val="28"/>
          <w:szCs w:val="28"/>
          <w:lang w:val="en-GB" w:eastAsia="en-GB"/>
        </w:rPr>
        <w:t xml:space="preserve"> </w:t>
      </w:r>
      <w:r w:rsidR="0074679F" w:rsidRPr="0074679F">
        <w:rPr>
          <w:b/>
          <w:sz w:val="28"/>
          <w:szCs w:val="28"/>
          <w:lang w:val="en-GB" w:eastAsia="en-GB"/>
        </w:rPr>
        <w:t xml:space="preserve">resolution </w:t>
      </w:r>
      <w:r w:rsidRPr="0074679F">
        <w:rPr>
          <w:b/>
          <w:sz w:val="28"/>
          <w:szCs w:val="28"/>
          <w:lang w:val="en-GB" w:eastAsia="en-GB"/>
        </w:rPr>
        <w:t>4/10</w:t>
      </w:r>
      <w:r>
        <w:rPr>
          <w:b/>
          <w:sz w:val="28"/>
          <w:szCs w:val="28"/>
          <w:lang w:val="en-GB" w:eastAsia="en-GB"/>
        </w:rPr>
        <w:t xml:space="preserve"> </w:t>
      </w:r>
      <w:r w:rsidR="0074679F" w:rsidRPr="0074679F">
        <w:rPr>
          <w:b/>
          <w:sz w:val="28"/>
          <w:szCs w:val="28"/>
          <w:lang w:val="en-GB" w:eastAsia="en-GB"/>
        </w:rPr>
        <w:t xml:space="preserve">on </w:t>
      </w:r>
      <w:r>
        <w:rPr>
          <w:b/>
          <w:sz w:val="28"/>
          <w:szCs w:val="28"/>
          <w:lang w:val="en-GB" w:eastAsia="en-GB"/>
        </w:rPr>
        <w:t>i</w:t>
      </w:r>
      <w:r w:rsidR="0074679F" w:rsidRPr="0074679F">
        <w:rPr>
          <w:b/>
          <w:sz w:val="28"/>
          <w:szCs w:val="28"/>
          <w:lang w:val="en-GB" w:eastAsia="en-GB"/>
        </w:rPr>
        <w:t>nnovation on biodiversity and land degradation</w:t>
      </w:r>
    </w:p>
    <w:p w14:paraId="6C595447" w14:textId="5EB1AEB1" w:rsidR="0074679F" w:rsidRPr="0074679F" w:rsidRDefault="00E1335D" w:rsidP="00E1335D">
      <w:pPr>
        <w:pStyle w:val="CH2"/>
        <w:rPr>
          <w:lang w:eastAsia="en-GB"/>
        </w:rPr>
      </w:pPr>
      <w:r>
        <w:rPr>
          <w:lang w:eastAsia="en-GB"/>
        </w:rPr>
        <w:tab/>
      </w:r>
      <w:r>
        <w:rPr>
          <w:lang w:eastAsia="en-GB"/>
        </w:rPr>
        <w:tab/>
      </w:r>
      <w:r w:rsidR="001379D4">
        <w:rPr>
          <w:lang w:eastAsia="en-GB"/>
        </w:rPr>
        <w:t>Report</w:t>
      </w:r>
      <w:r w:rsidR="001379D4" w:rsidRPr="0074679F">
        <w:rPr>
          <w:lang w:eastAsia="en-GB"/>
        </w:rPr>
        <w:t xml:space="preserve"> of the Executive Director</w:t>
      </w:r>
    </w:p>
    <w:p w14:paraId="3A03066E" w14:textId="77777777" w:rsidR="0074679F" w:rsidRPr="0074679F" w:rsidRDefault="0074679F" w:rsidP="00E1335D">
      <w:pPr>
        <w:pStyle w:val="CH1"/>
        <w:rPr>
          <w:rFonts w:eastAsia="Calibri"/>
        </w:rPr>
      </w:pPr>
      <w:r w:rsidRPr="0074679F">
        <w:rPr>
          <w:rFonts w:eastAsia="Calibri"/>
          <w:w w:val="103"/>
          <w:lang w:eastAsia="en-GB"/>
        </w:rPr>
        <w:tab/>
      </w:r>
      <w:r w:rsidRPr="0074679F">
        <w:rPr>
          <w:rFonts w:eastAsia="Calibri"/>
          <w:w w:val="103"/>
          <w:lang w:eastAsia="en-GB"/>
        </w:rPr>
        <w:tab/>
      </w:r>
      <w:r w:rsidRPr="0074679F">
        <w:rPr>
          <w:rFonts w:eastAsia="Calibri"/>
        </w:rPr>
        <w:t>Introduction</w:t>
      </w:r>
    </w:p>
    <w:p w14:paraId="211A6D53" w14:textId="46A1DD6A" w:rsidR="0074679F" w:rsidRPr="0074679F" w:rsidRDefault="00142847" w:rsidP="00CB57C7">
      <w:pPr>
        <w:pStyle w:val="Normalnumber"/>
      </w:pPr>
      <w:r>
        <w:t>In</w:t>
      </w:r>
      <w:r w:rsidR="0074679F" w:rsidRPr="0074679F">
        <w:t xml:space="preserve"> </w:t>
      </w:r>
      <w:r w:rsidR="00470DB4">
        <w:t xml:space="preserve">its </w:t>
      </w:r>
      <w:r>
        <w:t>r</w:t>
      </w:r>
      <w:r w:rsidR="0074679F" w:rsidRPr="0074679F">
        <w:t>esolution 4</w:t>
      </w:r>
      <w:r w:rsidR="00470DB4">
        <w:t>/</w:t>
      </w:r>
      <w:r w:rsidR="0074679F" w:rsidRPr="0074679F">
        <w:t xml:space="preserve">10 </w:t>
      </w:r>
      <w:r w:rsidR="00B72F4B" w:rsidRPr="00B72F4B">
        <w:t>on innovation on biodiversity and land degradation</w:t>
      </w:r>
      <w:r w:rsidR="00B72F4B">
        <w:t xml:space="preserve">, </w:t>
      </w:r>
      <w:r w:rsidR="0074679F" w:rsidRPr="0074679F">
        <w:t xml:space="preserve">the </w:t>
      </w:r>
      <w:r w:rsidR="00513CFF" w:rsidRPr="001F7820">
        <w:rPr>
          <w:rFonts w:eastAsia="MS Mincho"/>
        </w:rPr>
        <w:t xml:space="preserve">United Nations Environment Assembly </w:t>
      </w:r>
      <w:r w:rsidR="00886C82">
        <w:rPr>
          <w:rFonts w:eastAsia="MS Mincho"/>
        </w:rPr>
        <w:t xml:space="preserve">of the United Nations Environment Programme (UNEP) </w:t>
      </w:r>
      <w:r w:rsidR="00B72F4B" w:rsidRPr="0074679F">
        <w:t>request</w:t>
      </w:r>
      <w:r w:rsidR="00451D2F">
        <w:t>ed</w:t>
      </w:r>
      <w:r w:rsidR="00B72F4B" w:rsidRPr="0074679F">
        <w:t xml:space="preserve"> the Executive Director</w:t>
      </w:r>
      <w:r w:rsidR="00886C82">
        <w:t xml:space="preserve"> of UNEP</w:t>
      </w:r>
      <w:r w:rsidR="00861329">
        <w:t xml:space="preserve">, </w:t>
      </w:r>
      <w:r w:rsidR="0074679F" w:rsidRPr="0074679F">
        <w:t>inter alia</w:t>
      </w:r>
      <w:r w:rsidR="00861329">
        <w:t>,</w:t>
      </w:r>
      <w:r w:rsidR="0074679F" w:rsidRPr="0074679F">
        <w:t xml:space="preserve"> to support the Member States </w:t>
      </w:r>
      <w:r w:rsidR="00886C82">
        <w:t>in</w:t>
      </w:r>
      <w:r w:rsidR="0074679F" w:rsidRPr="0074679F">
        <w:t xml:space="preserve"> develop</w:t>
      </w:r>
      <w:r w:rsidR="00886C82">
        <w:t>ing</w:t>
      </w:r>
      <w:r w:rsidR="0074679F" w:rsidRPr="0074679F">
        <w:t xml:space="preserve"> and implement</w:t>
      </w:r>
      <w:r w:rsidR="00886C82">
        <w:t>ing</w:t>
      </w:r>
      <w:r w:rsidR="0074679F" w:rsidRPr="0074679F">
        <w:t xml:space="preserve"> voluntary targets </w:t>
      </w:r>
      <w:r w:rsidR="00753CDD">
        <w:t>with regard to</w:t>
      </w:r>
      <w:r w:rsidR="0074679F" w:rsidRPr="0074679F">
        <w:t xml:space="preserve"> land degradation neutrality, including the definition of national baselines, targets and associated measures</w:t>
      </w:r>
      <w:r w:rsidR="00753CDD">
        <w:t>,</w:t>
      </w:r>
      <w:r w:rsidR="0074679F" w:rsidRPr="0074679F">
        <w:t xml:space="preserve"> to achieve land degradation neutrality by 2030</w:t>
      </w:r>
      <w:r w:rsidR="00791783">
        <w:t>. It also</w:t>
      </w:r>
      <w:r w:rsidR="00791783" w:rsidRPr="00791783">
        <w:t xml:space="preserve"> requested the Executive Director</w:t>
      </w:r>
      <w:r w:rsidR="00791783">
        <w:t xml:space="preserve"> </w:t>
      </w:r>
      <w:r w:rsidR="002F4F75" w:rsidRPr="002F4F75">
        <w:t>to support Member States in</w:t>
      </w:r>
      <w:r w:rsidR="0074679F" w:rsidRPr="0074679F">
        <w:t xml:space="preserve"> develop</w:t>
      </w:r>
      <w:r w:rsidR="002F4F75">
        <w:t>ing</w:t>
      </w:r>
      <w:r w:rsidR="0074679F" w:rsidRPr="0074679F">
        <w:t xml:space="preserve"> </w:t>
      </w:r>
      <w:r w:rsidR="002F4F75">
        <w:t>national</w:t>
      </w:r>
      <w:r w:rsidR="002F4F75" w:rsidRPr="0074679F">
        <w:t xml:space="preserve"> </w:t>
      </w:r>
      <w:r w:rsidR="0074679F" w:rsidRPr="0074679F">
        <w:t>policies and measures to restore, conserve and sustainably use biological diversity and strengthen ecosystem resilience, functions and services</w:t>
      </w:r>
      <w:r w:rsidR="0008513A">
        <w:t>, both with</w:t>
      </w:r>
      <w:r w:rsidR="0074679F" w:rsidRPr="0074679F">
        <w:t xml:space="preserve">in and outside protected areas, </w:t>
      </w:r>
      <w:r w:rsidR="0008513A">
        <w:t>to</w:t>
      </w:r>
      <w:r w:rsidR="0074679F" w:rsidRPr="0074679F">
        <w:t xml:space="preserve"> support relevant Aichi </w:t>
      </w:r>
      <w:r w:rsidR="00865E9C" w:rsidRPr="00865E9C">
        <w:t>Biodiversity T</w:t>
      </w:r>
      <w:r w:rsidR="0074679F" w:rsidRPr="0074679F">
        <w:t>argets.</w:t>
      </w:r>
    </w:p>
    <w:p w14:paraId="0DE0C7F2" w14:textId="35180A0C" w:rsidR="0074679F" w:rsidRPr="0074679F" w:rsidRDefault="002B3CD1" w:rsidP="00771AE1">
      <w:pPr>
        <w:pStyle w:val="Normalnumber"/>
      </w:pPr>
      <w:r>
        <w:t>In r</w:t>
      </w:r>
      <w:r w:rsidR="0074679F" w:rsidRPr="0074679F">
        <w:t>esolution 4/10</w:t>
      </w:r>
      <w:r>
        <w:t>,</w:t>
      </w:r>
      <w:r w:rsidR="0074679F" w:rsidRPr="0074679F">
        <w:t xml:space="preserve"> </w:t>
      </w:r>
      <w:r w:rsidR="00B50A1F" w:rsidRPr="00843928">
        <w:t>in response to the invitation set out in General Assembly resolution 73/284</w:t>
      </w:r>
      <w:r w:rsidR="00B50A1F">
        <w:t>,</w:t>
      </w:r>
      <w:r w:rsidR="00B50A1F" w:rsidRPr="0074679F">
        <w:t xml:space="preserve"> </w:t>
      </w:r>
      <w:r w:rsidRPr="0074679F">
        <w:t xml:space="preserve">the </w:t>
      </w:r>
      <w:r w:rsidRPr="001F7820">
        <w:rPr>
          <w:rFonts w:eastAsia="MS Mincho"/>
        </w:rPr>
        <w:t>Environment Assembly</w:t>
      </w:r>
      <w:r w:rsidRPr="0074679F">
        <w:t xml:space="preserve"> </w:t>
      </w:r>
      <w:r w:rsidR="009E1067">
        <w:t>further</w:t>
      </w:r>
      <w:r w:rsidR="009E1067" w:rsidRPr="0074679F">
        <w:t xml:space="preserve"> </w:t>
      </w:r>
      <w:r>
        <w:t xml:space="preserve">requested </w:t>
      </w:r>
      <w:r w:rsidR="00843928" w:rsidRPr="0074679F">
        <w:t>the Executive Director</w:t>
      </w:r>
      <w:r w:rsidR="00B50A1F">
        <w:t xml:space="preserve">, </w:t>
      </w:r>
      <w:r w:rsidR="0074679F" w:rsidRPr="0074679F">
        <w:t xml:space="preserve">together with </w:t>
      </w:r>
      <w:r w:rsidR="00624056" w:rsidRPr="00624056">
        <w:t xml:space="preserve">the Food and Agriculture Organization of the United Nations </w:t>
      </w:r>
      <w:r w:rsidR="00624056">
        <w:t>(</w:t>
      </w:r>
      <w:r w:rsidR="0074679F" w:rsidRPr="0074679F">
        <w:t>FAO</w:t>
      </w:r>
      <w:r w:rsidR="00624056">
        <w:t>)</w:t>
      </w:r>
      <w:r w:rsidR="0074679F" w:rsidRPr="0074679F">
        <w:t xml:space="preserve"> and in collaboration with the </w:t>
      </w:r>
      <w:r w:rsidR="00511E03">
        <w:t>s</w:t>
      </w:r>
      <w:r w:rsidR="0074679F" w:rsidRPr="0074679F">
        <w:t xml:space="preserve">ecretariats of the Rio </w:t>
      </w:r>
      <w:r w:rsidR="00591E68">
        <w:t>c</w:t>
      </w:r>
      <w:r w:rsidR="0074679F" w:rsidRPr="0074679F">
        <w:t xml:space="preserve">onventions </w:t>
      </w:r>
      <w:r w:rsidR="009F0E95">
        <w:t xml:space="preserve">and </w:t>
      </w:r>
      <w:r w:rsidR="0074679F" w:rsidRPr="0074679F">
        <w:t>other relevant multilateral environmental agreements and entities of the U</w:t>
      </w:r>
      <w:r w:rsidR="009F0E95">
        <w:t>nited</w:t>
      </w:r>
      <w:r w:rsidR="00771AE1">
        <w:t> </w:t>
      </w:r>
      <w:r w:rsidR="0074679F" w:rsidRPr="0074679F">
        <w:t>N</w:t>
      </w:r>
      <w:r w:rsidR="009F0E95">
        <w:t>ations</w:t>
      </w:r>
      <w:r w:rsidR="0074679F" w:rsidRPr="0074679F">
        <w:t xml:space="preserve"> </w:t>
      </w:r>
      <w:r w:rsidR="009F0E95">
        <w:t>s</w:t>
      </w:r>
      <w:r w:rsidR="0074679F" w:rsidRPr="0074679F">
        <w:t>ystem</w:t>
      </w:r>
      <w:r w:rsidR="009F0E95">
        <w:t>,</w:t>
      </w:r>
      <w:r w:rsidR="0074679F" w:rsidRPr="0074679F">
        <w:t xml:space="preserve"> </w:t>
      </w:r>
      <w:r w:rsidR="00714AAB" w:rsidRPr="0074679F">
        <w:t xml:space="preserve">to lead the implementation of the </w:t>
      </w:r>
      <w:r w:rsidR="00616E82" w:rsidRPr="0074679F">
        <w:t>U</w:t>
      </w:r>
      <w:r w:rsidR="00616E82">
        <w:t xml:space="preserve">nited </w:t>
      </w:r>
      <w:r w:rsidR="00616E82" w:rsidRPr="0074679F">
        <w:t>N</w:t>
      </w:r>
      <w:r w:rsidR="00616E82">
        <w:t>ations</w:t>
      </w:r>
      <w:r w:rsidR="00616E82" w:rsidRPr="0074679F">
        <w:t xml:space="preserve"> </w:t>
      </w:r>
      <w:r w:rsidR="00714AAB" w:rsidRPr="0074679F">
        <w:t xml:space="preserve">Decade </w:t>
      </w:r>
      <w:r w:rsidR="00616E82">
        <w:t>on</w:t>
      </w:r>
      <w:r w:rsidR="00714AAB" w:rsidRPr="0074679F">
        <w:t xml:space="preserve"> </w:t>
      </w:r>
      <w:r w:rsidR="00616E82">
        <w:t>E</w:t>
      </w:r>
      <w:r w:rsidR="00714AAB" w:rsidRPr="0074679F">
        <w:t xml:space="preserve">cosystem </w:t>
      </w:r>
      <w:r w:rsidR="00616E82">
        <w:t>R</w:t>
      </w:r>
      <w:r w:rsidR="00714AAB" w:rsidRPr="0074679F">
        <w:t>estoration</w:t>
      </w:r>
      <w:r w:rsidR="00616E82">
        <w:t xml:space="preserve"> (2021–2030)</w:t>
      </w:r>
      <w:r w:rsidR="00635F5F">
        <w:t xml:space="preserve">. </w:t>
      </w:r>
      <w:r w:rsidR="00A9284F">
        <w:t>Furthermore, i</w:t>
      </w:r>
      <w:r w:rsidR="00635F5F">
        <w:t xml:space="preserve">t requested the </w:t>
      </w:r>
      <w:r w:rsidR="00635F5F" w:rsidRPr="0074679F">
        <w:t>Executive Director</w:t>
      </w:r>
      <w:r w:rsidR="00714AAB" w:rsidRPr="0074679F">
        <w:t xml:space="preserve"> </w:t>
      </w:r>
      <w:r w:rsidR="00640D76">
        <w:t>to</w:t>
      </w:r>
      <w:r w:rsidR="0074679F" w:rsidRPr="0074679F">
        <w:t xml:space="preserve"> support and promote the implementation of the initiative of the </w:t>
      </w:r>
      <w:r w:rsidR="00640D76">
        <w:t>G</w:t>
      </w:r>
      <w:r w:rsidR="0074679F" w:rsidRPr="0074679F">
        <w:t xml:space="preserve">overnment of Egypt to promote a coherent approach for addressing biodiversity loss, climate change and land and ecosystem degradation, in line with </w:t>
      </w:r>
      <w:r w:rsidR="00275E4A" w:rsidRPr="00275E4A">
        <w:t xml:space="preserve">Convention on Biological Diversity </w:t>
      </w:r>
      <w:r w:rsidR="0074679F" w:rsidRPr="0074679F">
        <w:t>decision 14/30</w:t>
      </w:r>
      <w:r w:rsidR="00275E4A" w:rsidRPr="00275E4A">
        <w:t xml:space="preserve"> on cooperation with other conventions, international organizations and initiatives</w:t>
      </w:r>
      <w:r w:rsidR="0074679F" w:rsidRPr="0074679F">
        <w:t xml:space="preserve">. </w:t>
      </w:r>
      <w:r w:rsidR="00DD68EB">
        <w:t>In addition</w:t>
      </w:r>
      <w:r w:rsidR="0074679F" w:rsidRPr="0074679F">
        <w:t xml:space="preserve">, </w:t>
      </w:r>
      <w:r w:rsidR="00DD68EB">
        <w:t xml:space="preserve">it called on the </w:t>
      </w:r>
      <w:r w:rsidR="00DD68EB" w:rsidRPr="0074679F">
        <w:t>Executive Director</w:t>
      </w:r>
      <w:r w:rsidR="0074679F" w:rsidRPr="0074679F">
        <w:t xml:space="preserve"> to contribute, in close cooperation with </w:t>
      </w:r>
      <w:r w:rsidR="00A9721E">
        <w:rPr>
          <w:lang w:val="en-US"/>
        </w:rPr>
        <w:t xml:space="preserve">the secretariat of </w:t>
      </w:r>
      <w:r w:rsidR="0074679F" w:rsidRPr="0074679F">
        <w:t xml:space="preserve">the Convention on Biological Diversity, to the preparations </w:t>
      </w:r>
      <w:r w:rsidR="00C15016">
        <w:t>for</w:t>
      </w:r>
      <w:r w:rsidR="0074679F" w:rsidRPr="0074679F">
        <w:t xml:space="preserve"> the</w:t>
      </w:r>
      <w:r w:rsidR="0062176A" w:rsidRPr="0062176A">
        <w:t xml:space="preserve"> high-level political forum on sustainable development</w:t>
      </w:r>
      <w:r w:rsidR="0062176A">
        <w:t xml:space="preserve"> </w:t>
      </w:r>
      <w:r w:rsidR="0062176A" w:rsidRPr="0062176A">
        <w:t>to be convened by</w:t>
      </w:r>
      <w:r w:rsidR="0074679F" w:rsidRPr="0074679F">
        <w:t xml:space="preserve"> </w:t>
      </w:r>
      <w:r w:rsidR="0062176A">
        <w:t>the</w:t>
      </w:r>
      <w:r w:rsidR="0062176A" w:rsidRPr="0074679F">
        <w:t xml:space="preserve"> </w:t>
      </w:r>
      <w:r w:rsidR="0074679F" w:rsidRPr="0074679F">
        <w:t xml:space="preserve">General Assembly </w:t>
      </w:r>
      <w:r w:rsidR="00CB1D89" w:rsidRPr="00CB1D89">
        <w:t xml:space="preserve">at the level of </w:t>
      </w:r>
      <w:r w:rsidR="0074679F" w:rsidRPr="0074679F">
        <w:t xml:space="preserve">Heads of State </w:t>
      </w:r>
      <w:r w:rsidR="00CB1D89">
        <w:t>and Government</w:t>
      </w:r>
      <w:r w:rsidR="0074679F" w:rsidRPr="0074679F">
        <w:t>.</w:t>
      </w:r>
    </w:p>
    <w:p w14:paraId="03634AA3" w14:textId="6AD8D607" w:rsidR="0074679F" w:rsidRPr="0074679F" w:rsidRDefault="001131A2" w:rsidP="00CB57C7">
      <w:pPr>
        <w:pStyle w:val="Normalnumber"/>
      </w:pPr>
      <w:r>
        <w:lastRenderedPageBreak/>
        <w:t xml:space="preserve">The </w:t>
      </w:r>
      <w:r w:rsidR="0074679F" w:rsidRPr="0074679F">
        <w:t>collaborative action </w:t>
      </w:r>
      <w:r>
        <w:t xml:space="preserve">of </w:t>
      </w:r>
      <w:r w:rsidRPr="0074679F">
        <w:t xml:space="preserve">UNEP </w:t>
      </w:r>
      <w:r w:rsidR="0074679F" w:rsidRPr="0074679F">
        <w:t xml:space="preserve">under the programme of work to respond to the above requests and </w:t>
      </w:r>
      <w:r w:rsidR="00672FF9">
        <w:t xml:space="preserve">to </w:t>
      </w:r>
      <w:r w:rsidR="0074679F" w:rsidRPr="0074679F">
        <w:t xml:space="preserve">restore, conserve and sustainably use biodiversity and strengthen ecosystem resilience focused on the following areas: advancing the global biodiversity agenda, including </w:t>
      </w:r>
      <w:r w:rsidR="00A5685B">
        <w:t xml:space="preserve">by </w:t>
      </w:r>
      <w:r w:rsidR="0074679F" w:rsidRPr="0074679F">
        <w:t xml:space="preserve">supporting the </w:t>
      </w:r>
      <w:r w:rsidR="0017097D">
        <w:t xml:space="preserve">United Nations </w:t>
      </w:r>
      <w:r w:rsidR="00D20276">
        <w:t>S</w:t>
      </w:r>
      <w:r w:rsidR="0074679F" w:rsidRPr="0074679F">
        <w:t>ummit</w:t>
      </w:r>
      <w:r w:rsidR="00BA0732" w:rsidRPr="00BA0732">
        <w:t xml:space="preserve"> </w:t>
      </w:r>
      <w:r w:rsidR="00BA0732">
        <w:t>on B</w:t>
      </w:r>
      <w:r w:rsidR="00BA0732" w:rsidRPr="0074679F">
        <w:t>iodiversity</w:t>
      </w:r>
      <w:r w:rsidR="0074679F" w:rsidRPr="0074679F">
        <w:t>; promoting human-wildlife coexistence</w:t>
      </w:r>
      <w:r w:rsidR="00A5685B">
        <w:t>;</w:t>
      </w:r>
      <w:r w:rsidR="0074679F" w:rsidRPr="0074679F">
        <w:t xml:space="preserve"> expanding innovative financing for restoration and ecosystem-based approaches; </w:t>
      </w:r>
      <w:r w:rsidR="00B322DD">
        <w:t xml:space="preserve">and </w:t>
      </w:r>
      <w:r w:rsidR="0074679F" w:rsidRPr="0074679F">
        <w:t xml:space="preserve">integrating biodiversity and land degradation and desertification priorities in conjunction with supporting the </w:t>
      </w:r>
      <w:r w:rsidR="006354FE" w:rsidRPr="0074679F">
        <w:t>U</w:t>
      </w:r>
      <w:r w:rsidR="006354FE">
        <w:t xml:space="preserve">nited </w:t>
      </w:r>
      <w:r w:rsidR="006354FE" w:rsidRPr="0074679F">
        <w:t>N</w:t>
      </w:r>
      <w:r w:rsidR="006354FE">
        <w:t>ations</w:t>
      </w:r>
      <w:r w:rsidR="0074679F" w:rsidRPr="0074679F">
        <w:t xml:space="preserve"> Decade on Ecosystem Restoration.</w:t>
      </w:r>
    </w:p>
    <w:p w14:paraId="1332F9C7" w14:textId="2560A5C1" w:rsidR="0074679F" w:rsidRPr="0074679F" w:rsidRDefault="0074679F" w:rsidP="00D62040">
      <w:pPr>
        <w:pStyle w:val="CH1"/>
        <w:rPr>
          <w:lang w:eastAsia="en-GB"/>
        </w:rPr>
      </w:pPr>
      <w:r w:rsidRPr="0074679F">
        <w:rPr>
          <w:lang w:eastAsia="en-GB"/>
        </w:rPr>
        <w:tab/>
      </w:r>
      <w:r w:rsidR="00D54301">
        <w:rPr>
          <w:lang w:eastAsia="en-GB"/>
        </w:rPr>
        <w:t>I.</w:t>
      </w:r>
      <w:r w:rsidRPr="0074679F">
        <w:rPr>
          <w:lang w:eastAsia="en-GB"/>
        </w:rPr>
        <w:tab/>
        <w:t xml:space="preserve">Progress </w:t>
      </w:r>
      <w:r w:rsidR="00BD4471">
        <w:rPr>
          <w:lang w:eastAsia="en-GB"/>
        </w:rPr>
        <w:t>i</w:t>
      </w:r>
      <w:r w:rsidRPr="0074679F">
        <w:rPr>
          <w:lang w:eastAsia="en-GB"/>
        </w:rPr>
        <w:t xml:space="preserve">n </w:t>
      </w:r>
      <w:r w:rsidR="00BD4471">
        <w:rPr>
          <w:lang w:eastAsia="en-GB"/>
        </w:rPr>
        <w:t xml:space="preserve">the </w:t>
      </w:r>
      <w:r w:rsidR="0031778B">
        <w:rPr>
          <w:lang w:eastAsia="en-GB"/>
        </w:rPr>
        <w:t>i</w:t>
      </w:r>
      <w:r w:rsidRPr="0074679F">
        <w:rPr>
          <w:lang w:eastAsia="en-GB"/>
        </w:rPr>
        <w:t xml:space="preserve">mplementation of </w:t>
      </w:r>
      <w:r w:rsidR="00D54301">
        <w:rPr>
          <w:lang w:eastAsia="en-GB"/>
        </w:rPr>
        <w:t>r</w:t>
      </w:r>
      <w:r w:rsidRPr="0074679F">
        <w:rPr>
          <w:lang w:eastAsia="en-GB"/>
        </w:rPr>
        <w:t>es</w:t>
      </w:r>
      <w:r w:rsidR="00D54301">
        <w:rPr>
          <w:lang w:eastAsia="en-GB"/>
        </w:rPr>
        <w:t>olution</w:t>
      </w:r>
      <w:r w:rsidRPr="0074679F">
        <w:rPr>
          <w:lang w:eastAsia="en-GB"/>
        </w:rPr>
        <w:t xml:space="preserve"> </w:t>
      </w:r>
      <w:r w:rsidR="00D54301">
        <w:rPr>
          <w:lang w:eastAsia="en-GB"/>
        </w:rPr>
        <w:t>4/</w:t>
      </w:r>
      <w:r w:rsidRPr="0074679F">
        <w:rPr>
          <w:lang w:eastAsia="en-GB"/>
        </w:rPr>
        <w:t xml:space="preserve">10 </w:t>
      </w:r>
    </w:p>
    <w:p w14:paraId="25A5015D" w14:textId="77A2CBFE" w:rsidR="0074679F" w:rsidRPr="008A0D37" w:rsidRDefault="0074679F" w:rsidP="00771AE1">
      <w:pPr>
        <w:pStyle w:val="CH2"/>
        <w:rPr>
          <w:lang w:eastAsia="en-GB"/>
        </w:rPr>
      </w:pPr>
      <w:r w:rsidRPr="0074679F">
        <w:rPr>
          <w:lang w:eastAsia="en-GB"/>
        </w:rPr>
        <w:tab/>
      </w:r>
      <w:r w:rsidR="00120D84" w:rsidRPr="008A0D37">
        <w:rPr>
          <w:lang w:eastAsia="en-GB"/>
        </w:rPr>
        <w:t>A.</w:t>
      </w:r>
      <w:r w:rsidRPr="008A0D37">
        <w:rPr>
          <w:lang w:eastAsia="en-GB"/>
        </w:rPr>
        <w:tab/>
      </w:r>
      <w:r w:rsidR="003D17EB" w:rsidRPr="008A0D37">
        <w:rPr>
          <w:lang w:eastAsia="en-GB"/>
        </w:rPr>
        <w:t>A</w:t>
      </w:r>
      <w:r w:rsidRPr="008A0D37">
        <w:rPr>
          <w:lang w:eastAsia="en-GB"/>
        </w:rPr>
        <w:t>dvanc</w:t>
      </w:r>
      <w:r w:rsidR="003D17EB" w:rsidRPr="008A0D37">
        <w:rPr>
          <w:lang w:eastAsia="en-GB"/>
        </w:rPr>
        <w:t>ing</w:t>
      </w:r>
      <w:r w:rsidRPr="008A0D37">
        <w:rPr>
          <w:lang w:eastAsia="en-GB"/>
        </w:rPr>
        <w:t xml:space="preserve"> the global biodiversity agenda</w:t>
      </w:r>
    </w:p>
    <w:p w14:paraId="46321DDC" w14:textId="4ED52A6D" w:rsidR="0074679F" w:rsidRPr="0074679F" w:rsidRDefault="0074679F" w:rsidP="00E56F81">
      <w:pPr>
        <w:pStyle w:val="Normalnumber"/>
      </w:pPr>
      <w:r w:rsidRPr="0074679F">
        <w:t xml:space="preserve">With financial support from the Global Environment Facility (GEF), UNEP and </w:t>
      </w:r>
      <w:r w:rsidR="00B1144E">
        <w:t xml:space="preserve">the </w:t>
      </w:r>
      <w:r w:rsidRPr="0074679F">
        <w:t>United</w:t>
      </w:r>
      <w:r w:rsidR="00B5238C">
        <w:t> </w:t>
      </w:r>
      <w:r w:rsidRPr="0074679F">
        <w:t xml:space="preserve">Nations Development Programme (UNDP) provided technical assistance to 137 </w:t>
      </w:r>
      <w:r w:rsidR="00B1144E">
        <w:t>M</w:t>
      </w:r>
      <w:r w:rsidRPr="0074679F">
        <w:t xml:space="preserve">ember </w:t>
      </w:r>
      <w:r w:rsidR="00B1144E">
        <w:t>S</w:t>
      </w:r>
      <w:r w:rsidRPr="0074679F">
        <w:t xml:space="preserve">tates, resulting in the submission of the </w:t>
      </w:r>
      <w:r w:rsidR="00B322DD">
        <w:t>six</w:t>
      </w:r>
      <w:r w:rsidRPr="0074679F">
        <w:t>th national biodiversi</w:t>
      </w:r>
      <w:r w:rsidR="00B322DD">
        <w:t>t</w:t>
      </w:r>
      <w:r w:rsidRPr="0074679F">
        <w:t>y reports</w:t>
      </w:r>
      <w:r w:rsidR="00562B13">
        <w:t>, which</w:t>
      </w:r>
      <w:r w:rsidRPr="0074679F">
        <w:t xml:space="preserve"> inform progress on achieving the Aichi Biodiversity Targets. Compared to the </w:t>
      </w:r>
      <w:r w:rsidR="00E4306D">
        <w:t>fif</w:t>
      </w:r>
      <w:r w:rsidRPr="0074679F">
        <w:t>th national reports, on average, a more consistent and accurate use of biodiversity indicators was recorded, as w</w:t>
      </w:r>
      <w:r w:rsidR="00916677">
        <w:t>as</w:t>
      </w:r>
      <w:r w:rsidRPr="0074679F">
        <w:t xml:space="preserve"> the inclusion of </w:t>
      </w:r>
      <w:r w:rsidR="0083661D">
        <w:t xml:space="preserve">double </w:t>
      </w:r>
      <w:r w:rsidRPr="0074679F">
        <w:t xml:space="preserve">to </w:t>
      </w:r>
      <w:r w:rsidR="0083661D">
        <w:t>triple the amount of</w:t>
      </w:r>
      <w:r w:rsidRPr="0074679F">
        <w:t xml:space="preserve"> spatial data to improve </w:t>
      </w:r>
      <w:r w:rsidR="00541303">
        <w:t xml:space="preserve">the </w:t>
      </w:r>
      <w:r w:rsidRPr="0074679F">
        <w:t>analysis and use of data in decision-making.</w:t>
      </w:r>
    </w:p>
    <w:p w14:paraId="0BB048EE" w14:textId="23F4D636" w:rsidR="0074679F" w:rsidRPr="0074679F" w:rsidRDefault="0074679F" w:rsidP="00E56F81">
      <w:pPr>
        <w:pStyle w:val="Normalnumber"/>
      </w:pPr>
      <w:r w:rsidRPr="0074679F">
        <w:t xml:space="preserve">UNEP supported the </w:t>
      </w:r>
      <w:r w:rsidR="0012160C">
        <w:t>s</w:t>
      </w:r>
      <w:r w:rsidRPr="0074679F">
        <w:t>ecretariat o</w:t>
      </w:r>
      <w:r w:rsidR="00A60D0A">
        <w:t>f</w:t>
      </w:r>
      <w:r w:rsidRPr="0074679F">
        <w:t xml:space="preserve"> the Convention on Biological Diversity </w:t>
      </w:r>
      <w:r w:rsidR="00F8564D">
        <w:t>in making</w:t>
      </w:r>
      <w:r w:rsidRPr="0074679F">
        <w:t xml:space="preserve"> progress on a </w:t>
      </w:r>
      <w:r w:rsidR="00C17308">
        <w:t>p</w:t>
      </w:r>
      <w:r w:rsidRPr="0074679F">
        <w:t>ost</w:t>
      </w:r>
      <w:r w:rsidR="00C17308">
        <w:t>-</w:t>
      </w:r>
      <w:r w:rsidRPr="0074679F">
        <w:t xml:space="preserve">2020 </w:t>
      </w:r>
      <w:r w:rsidR="00B57A5E">
        <w:t>g</w:t>
      </w:r>
      <w:r w:rsidRPr="0074679F">
        <w:t xml:space="preserve">lobal </w:t>
      </w:r>
      <w:r w:rsidR="00B57A5E">
        <w:t>b</w:t>
      </w:r>
      <w:r w:rsidRPr="0074679F">
        <w:t xml:space="preserve">iodiversity </w:t>
      </w:r>
      <w:r w:rsidR="00B57A5E">
        <w:t>f</w:t>
      </w:r>
      <w:r w:rsidRPr="0074679F">
        <w:t xml:space="preserve">ramework, despite </w:t>
      </w:r>
      <w:r w:rsidR="00F8564D">
        <w:t xml:space="preserve">the </w:t>
      </w:r>
      <w:r w:rsidRPr="0074679F">
        <w:t xml:space="preserve">significant challenges presented by the </w:t>
      </w:r>
      <w:r w:rsidR="0002090B">
        <w:rPr>
          <w:rFonts w:eastAsia="Arial Unicode MS"/>
          <w:bdr w:val="nil"/>
          <w:lang w:eastAsia="en-GB"/>
        </w:rPr>
        <w:t>coronavirus disease (</w:t>
      </w:r>
      <w:r w:rsidRPr="0074679F">
        <w:t>C</w:t>
      </w:r>
      <w:r w:rsidR="0002090B" w:rsidRPr="0074679F">
        <w:t>OVID</w:t>
      </w:r>
      <w:r w:rsidRPr="0074679F">
        <w:t>-19</w:t>
      </w:r>
      <w:r w:rsidR="0002090B">
        <w:t>)</w:t>
      </w:r>
      <w:r w:rsidRPr="0074679F">
        <w:t xml:space="preserve"> pandemic. At the invitation of </w:t>
      </w:r>
      <w:r w:rsidR="00B1144E">
        <w:t>Member States</w:t>
      </w:r>
      <w:r w:rsidRPr="0074679F">
        <w:t xml:space="preserve">, UNEP facilitated national dialogues to enhance better understanding of the framework. UNEP, </w:t>
      </w:r>
      <w:r w:rsidR="00DC0419">
        <w:t xml:space="preserve">the </w:t>
      </w:r>
      <w:r w:rsidRPr="0074679F">
        <w:t>UNEP</w:t>
      </w:r>
      <w:r w:rsidR="00DC0419">
        <w:t xml:space="preserve"> </w:t>
      </w:r>
      <w:r w:rsidRPr="0074679F">
        <w:t>World Conservation Monitoring Centr</w:t>
      </w:r>
      <w:r w:rsidR="00DE480C">
        <w:t>e</w:t>
      </w:r>
      <w:r w:rsidRPr="0074679F">
        <w:t xml:space="preserve"> and UNDP also developed a document for the </w:t>
      </w:r>
      <w:r w:rsidR="00FD5475" w:rsidRPr="0074679F">
        <w:t>Convention on Biological Diversity</w:t>
      </w:r>
      <w:r w:rsidRPr="0074679F">
        <w:t xml:space="preserve"> Subsidiary Body on Implementation </w:t>
      </w:r>
      <w:r w:rsidR="00590B84">
        <w:t xml:space="preserve">containing </w:t>
      </w:r>
      <w:r w:rsidR="00D04A5E" w:rsidRPr="0074679F">
        <w:t xml:space="preserve">information </w:t>
      </w:r>
      <w:r w:rsidRPr="0074679F">
        <w:t xml:space="preserve">on support </w:t>
      </w:r>
      <w:r w:rsidR="009355DE">
        <w:t xml:space="preserve">available from the </w:t>
      </w:r>
      <w:r w:rsidR="009355DE" w:rsidRPr="0074679F">
        <w:t>U</w:t>
      </w:r>
      <w:r w:rsidR="009355DE">
        <w:t xml:space="preserve">nited </w:t>
      </w:r>
      <w:r w:rsidR="009355DE" w:rsidRPr="0074679F">
        <w:t>N</w:t>
      </w:r>
      <w:r w:rsidR="009355DE">
        <w:t>ations</w:t>
      </w:r>
      <w:r w:rsidR="009355DE" w:rsidRPr="0074679F">
        <w:t xml:space="preserve"> </w:t>
      </w:r>
      <w:r w:rsidRPr="0074679F">
        <w:t xml:space="preserve">for future implementation of the framework. </w:t>
      </w:r>
      <w:r w:rsidR="00DE480C">
        <w:t xml:space="preserve">The </w:t>
      </w:r>
      <w:r w:rsidR="00DC0419">
        <w:t xml:space="preserve">UNEP </w:t>
      </w:r>
      <w:r w:rsidR="00DE480C" w:rsidRPr="0074679F">
        <w:t>World Conservation Monitoring Centr</w:t>
      </w:r>
      <w:r w:rsidR="00DE480C">
        <w:t>e</w:t>
      </w:r>
      <w:r w:rsidR="00DE480C" w:rsidRPr="0074679F">
        <w:t xml:space="preserve"> </w:t>
      </w:r>
      <w:r w:rsidRPr="0074679F">
        <w:t xml:space="preserve">supported the </w:t>
      </w:r>
      <w:r w:rsidR="00FD5475" w:rsidRPr="0074679F">
        <w:t>Convention on Biological Diversity</w:t>
      </w:r>
      <w:r w:rsidRPr="0074679F">
        <w:t xml:space="preserve"> in processing the peer review feedback on the proposed monitoring framework for the post</w:t>
      </w:r>
      <w:r w:rsidR="00B57A5E">
        <w:t>-</w:t>
      </w:r>
      <w:r w:rsidRPr="0074679F">
        <w:t xml:space="preserve">2020 global biodiversity framework and </w:t>
      </w:r>
      <w:r w:rsidR="00CA59D9">
        <w:t xml:space="preserve">in </w:t>
      </w:r>
      <w:r w:rsidRPr="0074679F">
        <w:t xml:space="preserve">assessing the feasibility of </w:t>
      </w:r>
      <w:r w:rsidR="00DE480C">
        <w:t xml:space="preserve">the </w:t>
      </w:r>
      <w:r w:rsidRPr="0074679F">
        <w:t>suggested indicators</w:t>
      </w:r>
      <w:r w:rsidR="00DE480C">
        <w:t>.</w:t>
      </w:r>
    </w:p>
    <w:p w14:paraId="04EA9B4C" w14:textId="5B27630D" w:rsidR="0074679F" w:rsidRPr="0074679F" w:rsidRDefault="0074679F" w:rsidP="00E56F81">
      <w:pPr>
        <w:pStyle w:val="Normalnumber"/>
        <w:rPr>
          <w:rFonts w:eastAsia="Arial Unicode MS"/>
          <w:bdr w:val="nil"/>
          <w:lang w:eastAsia="en-GB"/>
        </w:rPr>
      </w:pPr>
      <w:r w:rsidRPr="0074679F">
        <w:rPr>
          <w:rFonts w:eastAsia="Arial Unicode MS"/>
          <w:bdr w:val="nil"/>
          <w:lang w:eastAsia="en-GB"/>
        </w:rPr>
        <w:t xml:space="preserve">UNEP supported the United Nations </w:t>
      </w:r>
      <w:r w:rsidR="00BA0732" w:rsidRPr="0074679F">
        <w:rPr>
          <w:rFonts w:eastAsia="Arial Unicode MS"/>
          <w:bdr w:val="nil"/>
          <w:lang w:eastAsia="en-GB"/>
        </w:rPr>
        <w:t xml:space="preserve">Summit </w:t>
      </w:r>
      <w:r w:rsidR="00BA0732">
        <w:rPr>
          <w:rFonts w:eastAsia="Arial Unicode MS"/>
          <w:bdr w:val="nil"/>
          <w:lang w:eastAsia="en-GB"/>
        </w:rPr>
        <w:t xml:space="preserve">on </w:t>
      </w:r>
      <w:r w:rsidRPr="0074679F">
        <w:rPr>
          <w:rFonts w:eastAsia="Arial Unicode MS"/>
          <w:bdr w:val="nil"/>
          <w:lang w:eastAsia="en-GB"/>
        </w:rPr>
        <w:t xml:space="preserve">Biodiversity, held </w:t>
      </w:r>
      <w:r w:rsidR="005A4B61" w:rsidRPr="0074679F">
        <w:rPr>
          <w:rFonts w:eastAsia="Arial Unicode MS"/>
          <w:bdr w:val="nil"/>
          <w:lang w:eastAsia="en-GB"/>
        </w:rPr>
        <w:t>in September 2020</w:t>
      </w:r>
      <w:r w:rsidR="005A4B61">
        <w:rPr>
          <w:rFonts w:eastAsia="Arial Unicode MS"/>
          <w:bdr w:val="nil"/>
          <w:lang w:eastAsia="en-GB"/>
        </w:rPr>
        <w:t xml:space="preserve"> </w:t>
      </w:r>
      <w:r w:rsidRPr="0074679F">
        <w:rPr>
          <w:rFonts w:eastAsia="Arial Unicode MS"/>
          <w:bdr w:val="nil"/>
          <w:lang w:eastAsia="en-GB"/>
        </w:rPr>
        <w:t xml:space="preserve">on the margins of the </w:t>
      </w:r>
      <w:r w:rsidR="00AD5B2E" w:rsidRPr="0074679F">
        <w:rPr>
          <w:rFonts w:eastAsia="Arial Unicode MS"/>
          <w:bdr w:val="nil"/>
          <w:lang w:eastAsia="en-GB"/>
        </w:rPr>
        <w:t xml:space="preserve">general debate </w:t>
      </w:r>
      <w:r w:rsidR="00AD5B2E">
        <w:rPr>
          <w:rFonts w:eastAsia="Arial Unicode MS"/>
          <w:bdr w:val="nil"/>
          <w:lang w:eastAsia="en-GB"/>
        </w:rPr>
        <w:t xml:space="preserve">at the </w:t>
      </w:r>
      <w:r w:rsidR="00394DF0">
        <w:rPr>
          <w:rFonts w:eastAsia="Arial Unicode MS"/>
          <w:bdr w:val="nil"/>
          <w:lang w:eastAsia="en-GB"/>
        </w:rPr>
        <w:t>s</w:t>
      </w:r>
      <w:r w:rsidR="00394DF0" w:rsidRPr="00394DF0">
        <w:rPr>
          <w:rFonts w:eastAsia="Arial Unicode MS"/>
          <w:bdr w:val="nil"/>
          <w:lang w:eastAsia="en-GB"/>
        </w:rPr>
        <w:t>eventy-fifth</w:t>
      </w:r>
      <w:r w:rsidR="00394DF0">
        <w:rPr>
          <w:rFonts w:eastAsia="Arial Unicode MS"/>
          <w:bdr w:val="nil"/>
          <w:lang w:eastAsia="en-GB"/>
        </w:rPr>
        <w:t xml:space="preserve"> session of the</w:t>
      </w:r>
      <w:r w:rsidR="00AD5B2E" w:rsidRPr="0074679F" w:rsidDel="006354FE">
        <w:rPr>
          <w:rFonts w:eastAsia="Arial Unicode MS"/>
          <w:bdr w:val="nil"/>
          <w:lang w:eastAsia="en-GB"/>
        </w:rPr>
        <w:t xml:space="preserve"> </w:t>
      </w:r>
      <w:r w:rsidRPr="0074679F">
        <w:rPr>
          <w:rFonts w:eastAsia="Arial Unicode MS"/>
          <w:bdr w:val="nil"/>
          <w:lang w:eastAsia="en-GB"/>
        </w:rPr>
        <w:t>General Assembly</w:t>
      </w:r>
      <w:r w:rsidR="00402F69">
        <w:rPr>
          <w:rFonts w:eastAsia="Arial Unicode MS"/>
          <w:bdr w:val="nil"/>
          <w:lang w:eastAsia="en-GB"/>
        </w:rPr>
        <w:t>. It</w:t>
      </w:r>
      <w:r w:rsidRPr="0074679F">
        <w:rPr>
          <w:rFonts w:eastAsia="Arial Unicode MS"/>
          <w:bdr w:val="nil"/>
          <w:lang w:eastAsia="en-GB"/>
        </w:rPr>
        <w:t xml:space="preserve"> resulted</w:t>
      </w:r>
      <w:r w:rsidR="00710926">
        <w:rPr>
          <w:rFonts w:eastAsia="Arial Unicode MS"/>
          <w:bdr w:val="nil"/>
          <w:lang w:eastAsia="en-GB"/>
        </w:rPr>
        <w:t>, inter alia,</w:t>
      </w:r>
      <w:r w:rsidRPr="0074679F">
        <w:rPr>
          <w:rFonts w:eastAsia="Arial Unicode MS"/>
          <w:bdr w:val="nil"/>
          <w:lang w:eastAsia="en-GB"/>
        </w:rPr>
        <w:t xml:space="preserve"> in 70 </w:t>
      </w:r>
      <w:r w:rsidR="00B1144E">
        <w:rPr>
          <w:rFonts w:eastAsia="Arial Unicode MS"/>
          <w:bdr w:val="nil"/>
          <w:lang w:eastAsia="en-GB"/>
        </w:rPr>
        <w:t>Member States</w:t>
      </w:r>
      <w:r w:rsidRPr="0074679F">
        <w:rPr>
          <w:rFonts w:eastAsia="Arial Unicode MS"/>
          <w:bdr w:val="nil"/>
          <w:lang w:eastAsia="en-GB"/>
        </w:rPr>
        <w:t xml:space="preserve"> signing </w:t>
      </w:r>
      <w:r w:rsidR="00F32416">
        <w:rPr>
          <w:rFonts w:eastAsia="Arial Unicode MS"/>
          <w:bdr w:val="nil"/>
          <w:lang w:eastAsia="en-GB"/>
        </w:rPr>
        <w:t>the</w:t>
      </w:r>
      <w:r w:rsidRPr="0074679F">
        <w:rPr>
          <w:rFonts w:eastAsia="Arial Unicode MS"/>
          <w:bdr w:val="nil"/>
          <w:lang w:eastAsia="en-GB"/>
        </w:rPr>
        <w:t xml:space="preserve"> </w:t>
      </w:r>
      <w:r w:rsidR="00F32416">
        <w:rPr>
          <w:rFonts w:eastAsia="Arial Unicode MS"/>
          <w:bdr w:val="nil"/>
          <w:lang w:eastAsia="en-GB"/>
        </w:rPr>
        <w:t>“</w:t>
      </w:r>
      <w:r w:rsidRPr="0074679F">
        <w:rPr>
          <w:rFonts w:eastAsia="Arial Unicode MS"/>
          <w:bdr w:val="nil"/>
          <w:lang w:eastAsia="en-GB"/>
        </w:rPr>
        <w:t>Leaders</w:t>
      </w:r>
      <w:r w:rsidR="00F32416">
        <w:rPr>
          <w:rFonts w:eastAsia="Arial Unicode MS"/>
          <w:bdr w:val="nil"/>
          <w:lang w:eastAsia="en-GB"/>
        </w:rPr>
        <w:t>’</w:t>
      </w:r>
      <w:r w:rsidRPr="0074679F">
        <w:rPr>
          <w:rFonts w:eastAsia="Arial Unicode MS"/>
          <w:bdr w:val="nil"/>
          <w:lang w:eastAsia="en-GB"/>
        </w:rPr>
        <w:t xml:space="preserve"> Pledge for Nature</w:t>
      </w:r>
      <w:r w:rsidR="00F32416">
        <w:rPr>
          <w:rFonts w:eastAsia="Arial Unicode MS"/>
          <w:bdr w:val="nil"/>
          <w:lang w:eastAsia="en-GB"/>
        </w:rPr>
        <w:t>”</w:t>
      </w:r>
      <w:r w:rsidRPr="0074679F">
        <w:rPr>
          <w:rFonts w:eastAsia="Arial Unicode MS"/>
          <w:bdr w:val="nil"/>
          <w:lang w:eastAsia="en-GB"/>
        </w:rPr>
        <w:t xml:space="preserve"> to </w:t>
      </w:r>
      <w:r w:rsidR="00394DF0">
        <w:rPr>
          <w:rFonts w:eastAsia="Arial Unicode MS"/>
          <w:bdr w:val="nil"/>
          <w:lang w:eastAsia="en-GB"/>
        </w:rPr>
        <w:t>step</w:t>
      </w:r>
      <w:r w:rsidRPr="0074679F">
        <w:rPr>
          <w:rFonts w:eastAsia="Arial Unicode MS"/>
          <w:bdr w:val="nil"/>
          <w:lang w:eastAsia="en-GB"/>
        </w:rPr>
        <w:t xml:space="preserve"> up action to address drivers of biodiversity loss</w:t>
      </w:r>
      <w:r w:rsidR="00394DF0">
        <w:rPr>
          <w:rFonts w:eastAsia="Arial Unicode MS"/>
          <w:bdr w:val="nil"/>
          <w:lang w:eastAsia="en-GB"/>
        </w:rPr>
        <w:t>.</w:t>
      </w:r>
    </w:p>
    <w:p w14:paraId="37545501" w14:textId="3E8410D9" w:rsidR="0074679F" w:rsidRPr="0074679F" w:rsidRDefault="0074679F" w:rsidP="00E56F81">
      <w:pPr>
        <w:pStyle w:val="Normalnumber"/>
        <w:rPr>
          <w:rFonts w:eastAsia="Arial Unicode MS"/>
          <w:bdr w:val="nil"/>
          <w:lang w:eastAsia="en-GB"/>
        </w:rPr>
      </w:pPr>
      <w:r w:rsidRPr="0074679F">
        <w:rPr>
          <w:rFonts w:eastAsia="Arial Unicode MS"/>
          <w:bdr w:val="nil"/>
          <w:lang w:eastAsia="en-GB"/>
        </w:rPr>
        <w:t xml:space="preserve">UNEP continued to work closely with other </w:t>
      </w:r>
      <w:r w:rsidR="006354FE" w:rsidRPr="0074679F">
        <w:t>U</w:t>
      </w:r>
      <w:r w:rsidR="006354FE">
        <w:t xml:space="preserve">nited </w:t>
      </w:r>
      <w:r w:rsidR="006354FE" w:rsidRPr="0074679F">
        <w:t>N</w:t>
      </w:r>
      <w:r w:rsidR="006354FE">
        <w:t>ations</w:t>
      </w:r>
      <w:r w:rsidRPr="0074679F">
        <w:rPr>
          <w:rFonts w:eastAsia="Arial Unicode MS"/>
          <w:bdr w:val="nil"/>
          <w:lang w:eastAsia="en-GB"/>
        </w:rPr>
        <w:t xml:space="preserve"> </w:t>
      </w:r>
      <w:r w:rsidR="00361F76">
        <w:rPr>
          <w:rFonts w:eastAsia="Arial Unicode MS"/>
          <w:bdr w:val="nil"/>
          <w:lang w:eastAsia="en-GB"/>
        </w:rPr>
        <w:t>entities</w:t>
      </w:r>
      <w:r w:rsidRPr="0074679F">
        <w:rPr>
          <w:rFonts w:eastAsia="Arial Unicode MS"/>
          <w:bdr w:val="nil"/>
          <w:lang w:eastAsia="en-GB"/>
        </w:rPr>
        <w:t xml:space="preserve">, </w:t>
      </w:r>
      <w:r w:rsidR="00B1144E">
        <w:rPr>
          <w:rFonts w:eastAsia="Arial Unicode MS"/>
          <w:bdr w:val="nil"/>
          <w:lang w:eastAsia="en-GB"/>
        </w:rPr>
        <w:t>Member States</w:t>
      </w:r>
      <w:r w:rsidRPr="0074679F">
        <w:rPr>
          <w:rFonts w:eastAsia="Arial Unicode MS"/>
          <w:bdr w:val="nil"/>
          <w:lang w:eastAsia="en-GB"/>
        </w:rPr>
        <w:t xml:space="preserve"> and partners to advance synergies across multilateral environmental agreements. With the support </w:t>
      </w:r>
      <w:r w:rsidR="005F38B8">
        <w:rPr>
          <w:rFonts w:eastAsia="Arial Unicode MS"/>
          <w:bdr w:val="nil"/>
          <w:lang w:eastAsia="en-GB"/>
        </w:rPr>
        <w:t xml:space="preserve">of </w:t>
      </w:r>
      <w:r w:rsidRPr="0074679F">
        <w:rPr>
          <w:rFonts w:eastAsia="Arial Unicode MS"/>
          <w:bdr w:val="nil"/>
          <w:lang w:eastAsia="en-GB"/>
        </w:rPr>
        <w:t>and host</w:t>
      </w:r>
      <w:r w:rsidR="005F38B8">
        <w:rPr>
          <w:rFonts w:eastAsia="Arial Unicode MS"/>
          <w:bdr w:val="nil"/>
          <w:lang w:eastAsia="en-GB"/>
        </w:rPr>
        <w:t>ed</w:t>
      </w:r>
      <w:r w:rsidRPr="0074679F">
        <w:rPr>
          <w:rFonts w:eastAsia="Arial Unicode MS"/>
          <w:bdr w:val="nil"/>
          <w:lang w:eastAsia="en-GB"/>
        </w:rPr>
        <w:t xml:space="preserve"> </w:t>
      </w:r>
      <w:r w:rsidR="005F38B8">
        <w:rPr>
          <w:rFonts w:eastAsia="Arial Unicode MS"/>
          <w:bdr w:val="nil"/>
          <w:lang w:eastAsia="en-GB"/>
        </w:rPr>
        <w:t>by</w:t>
      </w:r>
      <w:r w:rsidRPr="0074679F">
        <w:rPr>
          <w:rFonts w:eastAsia="Arial Unicode MS"/>
          <w:bdr w:val="nil"/>
          <w:lang w:eastAsia="en-GB"/>
        </w:rPr>
        <w:t xml:space="preserve"> the Government of Switzerland, UNEP facilitated technical workshops across </w:t>
      </w:r>
      <w:r w:rsidR="005F38B8" w:rsidRPr="0074679F">
        <w:rPr>
          <w:rFonts w:eastAsia="Arial Unicode MS"/>
          <w:bdr w:val="nil"/>
          <w:lang w:eastAsia="en-GB"/>
        </w:rPr>
        <w:t>multilateral environmental agreements</w:t>
      </w:r>
      <w:r w:rsidRPr="0074679F">
        <w:rPr>
          <w:rFonts w:eastAsia="Arial Unicode MS"/>
          <w:bdr w:val="nil"/>
          <w:lang w:eastAsia="en-GB"/>
        </w:rPr>
        <w:t xml:space="preserve"> in biodiversity, chemicals and waste and </w:t>
      </w:r>
      <w:r w:rsidR="00E224C8">
        <w:rPr>
          <w:rFonts w:eastAsia="Arial Unicode MS"/>
          <w:bdr w:val="nil"/>
          <w:lang w:eastAsia="en-GB"/>
        </w:rPr>
        <w:t xml:space="preserve">the </w:t>
      </w:r>
      <w:r w:rsidRPr="0074679F">
        <w:rPr>
          <w:rFonts w:eastAsia="Arial Unicode MS"/>
          <w:bdr w:val="nil"/>
          <w:lang w:eastAsia="en-GB"/>
        </w:rPr>
        <w:t xml:space="preserve">Rio </w:t>
      </w:r>
      <w:r w:rsidR="0086333E">
        <w:rPr>
          <w:rFonts w:eastAsia="Arial Unicode MS"/>
          <w:bdr w:val="nil"/>
          <w:lang w:eastAsia="en-GB"/>
        </w:rPr>
        <w:t>c</w:t>
      </w:r>
      <w:r w:rsidRPr="0074679F">
        <w:rPr>
          <w:rFonts w:eastAsia="Arial Unicode MS"/>
          <w:bdr w:val="nil"/>
          <w:lang w:eastAsia="en-GB"/>
        </w:rPr>
        <w:t>onventions to identify concrete elements that could be included to improve the post-2020 global biodiversity framework</w:t>
      </w:r>
      <w:r w:rsidR="00E224C8">
        <w:rPr>
          <w:rFonts w:eastAsia="Arial Unicode MS"/>
          <w:bdr w:val="nil"/>
          <w:lang w:eastAsia="en-GB"/>
        </w:rPr>
        <w:t>,</w:t>
      </w:r>
      <w:r w:rsidRPr="0074679F">
        <w:rPr>
          <w:rFonts w:eastAsia="Arial Unicode MS"/>
          <w:bdr w:val="nil"/>
          <w:lang w:eastAsia="en-GB"/>
        </w:rPr>
        <w:t xml:space="preserve"> while also integrating biodiversity elements in</w:t>
      </w:r>
      <w:r w:rsidR="00361F76">
        <w:rPr>
          <w:rFonts w:eastAsia="Arial Unicode MS"/>
          <w:bdr w:val="nil"/>
          <w:lang w:eastAsia="en-GB"/>
        </w:rPr>
        <w:t>to</w:t>
      </w:r>
      <w:r w:rsidRPr="0074679F">
        <w:rPr>
          <w:rFonts w:eastAsia="Arial Unicode MS"/>
          <w:bdr w:val="nil"/>
          <w:lang w:eastAsia="en-GB"/>
        </w:rPr>
        <w:t xml:space="preserve"> other conventions. In addition, actions to </w:t>
      </w:r>
      <w:r w:rsidR="00035250">
        <w:rPr>
          <w:rFonts w:eastAsia="Arial Unicode MS"/>
          <w:bdr w:val="nil"/>
          <w:lang w:eastAsia="en-GB"/>
        </w:rPr>
        <w:t xml:space="preserve">improve the </w:t>
      </w:r>
      <w:r w:rsidRPr="0074679F">
        <w:rPr>
          <w:rFonts w:eastAsia="Arial Unicode MS"/>
          <w:bdr w:val="nil"/>
          <w:lang w:eastAsia="en-GB"/>
        </w:rPr>
        <w:t>coordinat</w:t>
      </w:r>
      <w:r w:rsidR="00035250">
        <w:rPr>
          <w:rFonts w:eastAsia="Arial Unicode MS"/>
          <w:bdr w:val="nil"/>
          <w:lang w:eastAsia="en-GB"/>
        </w:rPr>
        <w:t>ion of</w:t>
      </w:r>
      <w:r w:rsidRPr="0074679F">
        <w:rPr>
          <w:rFonts w:eastAsia="Arial Unicode MS"/>
          <w:bdr w:val="nil"/>
          <w:lang w:eastAsia="en-GB"/>
        </w:rPr>
        <w:t xml:space="preserve"> the monitoring and review of implementation were identified.</w:t>
      </w:r>
    </w:p>
    <w:p w14:paraId="782AA313" w14:textId="16D0ECFA" w:rsidR="0074679F" w:rsidRPr="0074679F" w:rsidRDefault="0074679F" w:rsidP="000E7480">
      <w:pPr>
        <w:pStyle w:val="Normalnumber"/>
        <w:rPr>
          <w:rFonts w:eastAsia="Arial Unicode MS"/>
          <w:bdr w:val="nil"/>
          <w:lang w:eastAsia="en-GB"/>
        </w:rPr>
      </w:pPr>
      <w:r w:rsidRPr="0074679F">
        <w:rPr>
          <w:rFonts w:eastAsia="Arial Unicode MS"/>
          <w:bdr w:val="nil"/>
          <w:lang w:eastAsia="en-GB"/>
        </w:rPr>
        <w:t xml:space="preserve">With the support </w:t>
      </w:r>
      <w:r w:rsidR="00035250">
        <w:rPr>
          <w:rFonts w:eastAsia="Arial Unicode MS"/>
          <w:bdr w:val="nil"/>
          <w:lang w:eastAsia="en-GB"/>
        </w:rPr>
        <w:t>o</w:t>
      </w:r>
      <w:r w:rsidRPr="0074679F">
        <w:rPr>
          <w:rFonts w:eastAsia="Arial Unicode MS"/>
          <w:bdr w:val="nil"/>
          <w:lang w:eastAsia="en-GB"/>
        </w:rPr>
        <w:t xml:space="preserve">f the Government of Switzerland and the European Union, UNEP developed the Data Reporting Tool for </w:t>
      </w:r>
      <w:r w:rsidR="005F38B8" w:rsidRPr="0074679F">
        <w:rPr>
          <w:rFonts w:eastAsia="Arial Unicode MS"/>
          <w:bdr w:val="nil"/>
          <w:lang w:eastAsia="en-GB"/>
        </w:rPr>
        <w:t>multilateral environmental agreements</w:t>
      </w:r>
      <w:r w:rsidR="00477A96">
        <w:rPr>
          <w:rFonts w:eastAsia="Arial Unicode MS"/>
          <w:bdr w:val="nil"/>
          <w:lang w:eastAsia="en-GB"/>
        </w:rPr>
        <w:t>.</w:t>
      </w:r>
      <w:r w:rsidRPr="0074679F">
        <w:rPr>
          <w:rFonts w:eastAsia="Arial Unicode MS"/>
          <w:bdr w:val="nil"/>
          <w:lang w:eastAsia="en-GB"/>
        </w:rPr>
        <w:t xml:space="preserve"> </w:t>
      </w:r>
      <w:r w:rsidR="00477A96">
        <w:rPr>
          <w:rFonts w:eastAsia="Arial Unicode MS"/>
          <w:bdr w:val="nil"/>
          <w:lang w:eastAsia="en-GB"/>
        </w:rPr>
        <w:t>It</w:t>
      </w:r>
      <w:r w:rsidRPr="0074679F">
        <w:rPr>
          <w:rFonts w:eastAsia="Arial Unicode MS"/>
          <w:bdr w:val="nil"/>
          <w:lang w:eastAsia="en-GB"/>
        </w:rPr>
        <w:t xml:space="preserve"> provides private and secure national working spaces for </w:t>
      </w:r>
      <w:r w:rsidR="00644EF9">
        <w:rPr>
          <w:rFonts w:eastAsia="Arial Unicode MS"/>
          <w:bdr w:val="nil"/>
          <w:lang w:eastAsia="en-GB"/>
        </w:rPr>
        <w:t>p</w:t>
      </w:r>
      <w:r w:rsidRPr="0074679F">
        <w:rPr>
          <w:rFonts w:eastAsia="Arial Unicode MS"/>
          <w:bdr w:val="nil"/>
          <w:lang w:eastAsia="en-GB"/>
        </w:rPr>
        <w:t>arties to effectively share data and identify monitoring and reporting synergies for national reporting across all biodiversity-related conventions.</w:t>
      </w:r>
    </w:p>
    <w:p w14:paraId="37CEB087" w14:textId="49C5ACF6" w:rsidR="0074679F" w:rsidRPr="00886C82" w:rsidRDefault="00632C39" w:rsidP="00632C39">
      <w:pPr>
        <w:pStyle w:val="CH2"/>
      </w:pPr>
      <w:r>
        <w:tab/>
      </w:r>
      <w:r w:rsidR="000346BC" w:rsidRPr="00886C82">
        <w:t>B.</w:t>
      </w:r>
      <w:r w:rsidR="00E56F81" w:rsidRPr="00886C82">
        <w:tab/>
      </w:r>
      <w:r w:rsidR="00DA01B2" w:rsidRPr="00886C82">
        <w:t>Promoting</w:t>
      </w:r>
      <w:r w:rsidR="0074679F" w:rsidRPr="00886C82">
        <w:t xml:space="preserve"> human-wildlife coexistence</w:t>
      </w:r>
    </w:p>
    <w:p w14:paraId="0F5708B5" w14:textId="35269714" w:rsidR="0074679F" w:rsidRPr="008F2FCF" w:rsidRDefault="0074679F" w:rsidP="00E56F81">
      <w:pPr>
        <w:pStyle w:val="Normalnumber"/>
        <w:tabs>
          <w:tab w:val="num" w:pos="624"/>
        </w:tabs>
        <w:rPr>
          <w:rFonts w:eastAsia="Arial Unicode MS"/>
          <w:bdr w:val="nil"/>
          <w:lang w:eastAsia="en-GB"/>
        </w:rPr>
      </w:pPr>
      <w:r w:rsidRPr="007A2543">
        <w:rPr>
          <w:rFonts w:eastAsia="Arial Unicode MS"/>
          <w:bdr w:val="nil"/>
          <w:lang w:eastAsia="en-GB"/>
        </w:rPr>
        <w:t xml:space="preserve">UNEP, along with </w:t>
      </w:r>
      <w:r w:rsidR="00CB79C0" w:rsidRPr="00195784">
        <w:rPr>
          <w:rFonts w:eastAsia="Arial Unicode MS"/>
          <w:bdr w:val="nil"/>
          <w:lang w:eastAsia="en-GB"/>
        </w:rPr>
        <w:t xml:space="preserve">the </w:t>
      </w:r>
      <w:r w:rsidR="00CB79C0" w:rsidRPr="007A2543">
        <w:rPr>
          <w:rFonts w:eastAsia="Arial Unicode MS"/>
          <w:bdr w:val="nil"/>
          <w:lang w:eastAsia="en-GB"/>
        </w:rPr>
        <w:t>Government of Zimbabwe</w:t>
      </w:r>
      <w:r w:rsidR="00CB79C0">
        <w:rPr>
          <w:rFonts w:eastAsia="Arial Unicode MS"/>
          <w:bdr w:val="nil"/>
          <w:lang w:eastAsia="en-GB"/>
        </w:rPr>
        <w:t xml:space="preserve"> and </w:t>
      </w:r>
      <w:r w:rsidRPr="007A2543">
        <w:rPr>
          <w:rFonts w:eastAsia="Arial Unicode MS"/>
          <w:bdr w:val="nil"/>
          <w:lang w:eastAsia="en-GB"/>
        </w:rPr>
        <w:t>the African Union</w:t>
      </w:r>
      <w:r w:rsidR="00644EF9" w:rsidRPr="00886C82">
        <w:rPr>
          <w:rFonts w:eastAsia="Arial Unicode MS"/>
          <w:bdr w:val="nil"/>
          <w:lang w:eastAsia="en-GB"/>
        </w:rPr>
        <w:t>,</w:t>
      </w:r>
      <w:r w:rsidRPr="007A2543">
        <w:rPr>
          <w:rFonts w:eastAsia="Arial Unicode MS"/>
          <w:bdr w:val="nil"/>
          <w:lang w:eastAsia="en-GB"/>
        </w:rPr>
        <w:t xml:space="preserve"> hosted the inaugural</w:t>
      </w:r>
      <w:r w:rsidRPr="00E56F81">
        <w:rPr>
          <w:rFonts w:eastAsia="Arial Unicode MS"/>
          <w:bdr w:val="nil"/>
          <w:lang w:eastAsia="en-GB"/>
        </w:rPr>
        <w:t xml:space="preserve"> Africa Wildlife </w:t>
      </w:r>
      <w:r w:rsidRPr="0074679F">
        <w:rPr>
          <w:rFonts w:eastAsia="Arial Unicode MS"/>
          <w:bdr w:val="nil"/>
          <w:lang w:eastAsia="en-GB"/>
        </w:rPr>
        <w:t>Economy Summit in June 2019.</w:t>
      </w:r>
      <w:r w:rsidR="00EF202F">
        <w:rPr>
          <w:rFonts w:eastAsia="Arial Unicode MS"/>
          <w:bdr w:val="nil"/>
          <w:lang w:eastAsia="en-GB"/>
        </w:rPr>
        <w:t xml:space="preserve"> </w:t>
      </w:r>
      <w:r w:rsidRPr="0074679F">
        <w:rPr>
          <w:rFonts w:eastAsia="Arial Unicode MS"/>
          <w:bdr w:val="nil"/>
          <w:lang w:eastAsia="en-GB"/>
        </w:rPr>
        <w:t xml:space="preserve">Attended by </w:t>
      </w:r>
      <w:r w:rsidR="004A7584">
        <w:rPr>
          <w:rFonts w:eastAsia="Arial Unicode MS"/>
          <w:bdr w:val="nil"/>
          <w:lang w:eastAsia="en-GB"/>
        </w:rPr>
        <w:t>five</w:t>
      </w:r>
      <w:r w:rsidRPr="0074679F">
        <w:rPr>
          <w:rFonts w:eastAsia="Arial Unicode MS"/>
          <w:bdr w:val="nil"/>
          <w:lang w:eastAsia="en-GB"/>
        </w:rPr>
        <w:t xml:space="preserve"> </w:t>
      </w:r>
      <w:r w:rsidR="001E6FB3">
        <w:rPr>
          <w:rFonts w:eastAsia="Arial Unicode MS"/>
          <w:bdr w:val="nil"/>
          <w:lang w:eastAsia="en-GB"/>
        </w:rPr>
        <w:t>H</w:t>
      </w:r>
      <w:r w:rsidRPr="0074679F">
        <w:rPr>
          <w:rFonts w:eastAsia="Arial Unicode MS"/>
          <w:bdr w:val="nil"/>
          <w:lang w:eastAsia="en-GB"/>
        </w:rPr>
        <w:t xml:space="preserve">eads of </w:t>
      </w:r>
      <w:r w:rsidR="001E6FB3">
        <w:rPr>
          <w:rFonts w:eastAsia="Arial Unicode MS"/>
          <w:bdr w:val="nil"/>
          <w:lang w:eastAsia="en-GB"/>
        </w:rPr>
        <w:t>S</w:t>
      </w:r>
      <w:r w:rsidRPr="0074679F">
        <w:rPr>
          <w:rFonts w:eastAsia="Arial Unicode MS"/>
          <w:bdr w:val="nil"/>
          <w:lang w:eastAsia="en-GB"/>
        </w:rPr>
        <w:t xml:space="preserve">tate, 14 </w:t>
      </w:r>
      <w:r w:rsidR="001D4B9C">
        <w:rPr>
          <w:rFonts w:eastAsia="Arial Unicode MS"/>
          <w:bdr w:val="nil"/>
          <w:lang w:eastAsia="en-GB"/>
        </w:rPr>
        <w:t>m</w:t>
      </w:r>
      <w:r w:rsidRPr="0074679F">
        <w:rPr>
          <w:rFonts w:eastAsia="Arial Unicode MS"/>
          <w:bdr w:val="nil"/>
          <w:lang w:eastAsia="en-GB"/>
        </w:rPr>
        <w:t xml:space="preserve">inisters and </w:t>
      </w:r>
      <w:r w:rsidR="001D4B9C">
        <w:rPr>
          <w:rFonts w:eastAsia="Arial Unicode MS"/>
          <w:bdr w:val="nil"/>
          <w:lang w:eastAsia="en-GB"/>
        </w:rPr>
        <w:t xml:space="preserve">representatives of </w:t>
      </w:r>
      <w:r w:rsidRPr="0074679F">
        <w:rPr>
          <w:rFonts w:eastAsia="Arial Unicode MS"/>
          <w:bdr w:val="nil"/>
          <w:lang w:eastAsia="en-GB"/>
        </w:rPr>
        <w:t xml:space="preserve">30 countries, the </w:t>
      </w:r>
      <w:r w:rsidR="001D4B9C">
        <w:rPr>
          <w:rFonts w:eastAsia="Arial Unicode MS"/>
          <w:bdr w:val="nil"/>
          <w:lang w:eastAsia="en-GB"/>
        </w:rPr>
        <w:t>S</w:t>
      </w:r>
      <w:r w:rsidRPr="0074679F">
        <w:rPr>
          <w:rFonts w:eastAsia="Arial Unicode MS"/>
          <w:bdr w:val="nil"/>
          <w:lang w:eastAsia="en-GB"/>
        </w:rPr>
        <w:t>ummit strengthened understanding of actions needed to overcome barriers to public and private investment in biodiversity</w:t>
      </w:r>
      <w:r w:rsidR="00204D67">
        <w:rPr>
          <w:rFonts w:eastAsia="Arial Unicode MS"/>
          <w:bdr w:val="nil"/>
          <w:lang w:eastAsia="en-GB"/>
        </w:rPr>
        <w:t>-</w:t>
      </w:r>
      <w:r w:rsidRPr="0074679F">
        <w:rPr>
          <w:rFonts w:eastAsia="Arial Unicode MS"/>
          <w:bdr w:val="nil"/>
          <w:lang w:eastAsia="en-GB"/>
        </w:rPr>
        <w:t>centred economies.</w:t>
      </w:r>
      <w:r w:rsidR="00EF202F">
        <w:rPr>
          <w:rFonts w:eastAsia="Arial Unicode MS"/>
          <w:bdr w:val="nil"/>
          <w:lang w:eastAsia="en-GB"/>
        </w:rPr>
        <w:t xml:space="preserve"> </w:t>
      </w:r>
      <w:r w:rsidRPr="0074679F">
        <w:rPr>
          <w:rFonts w:eastAsia="Arial Unicode MS"/>
          <w:bdr w:val="nil"/>
          <w:lang w:eastAsia="en-GB"/>
        </w:rPr>
        <w:t xml:space="preserve">A declaration was made by community leaders from 13 countries to support an equitable wildlife economy. Building on the political momentum and technical exchanges of the Summit, focused policy dialogues on </w:t>
      </w:r>
      <w:r w:rsidRPr="006776CD">
        <w:rPr>
          <w:rFonts w:eastAsia="Arial Unicode MS"/>
          <w:bdr w:val="nil"/>
          <w:lang w:eastAsia="en-GB"/>
        </w:rPr>
        <w:t xml:space="preserve">the </w:t>
      </w:r>
      <w:r w:rsidR="006776CD">
        <w:rPr>
          <w:rFonts w:eastAsia="Arial Unicode MS"/>
          <w:bdr w:val="nil"/>
          <w:lang w:eastAsia="en-GB"/>
        </w:rPr>
        <w:t>b</w:t>
      </w:r>
      <w:r w:rsidRPr="006776CD">
        <w:rPr>
          <w:rFonts w:eastAsia="Arial Unicode MS"/>
          <w:bdr w:val="nil"/>
          <w:lang w:eastAsia="en-GB"/>
        </w:rPr>
        <w:t xml:space="preserve">iodiversity </w:t>
      </w:r>
      <w:r w:rsidR="006776CD">
        <w:rPr>
          <w:rFonts w:eastAsia="Arial Unicode MS"/>
          <w:bdr w:val="nil"/>
          <w:lang w:eastAsia="en-GB"/>
        </w:rPr>
        <w:t>e</w:t>
      </w:r>
      <w:r w:rsidRPr="006776CD">
        <w:rPr>
          <w:rFonts w:eastAsia="Arial Unicode MS"/>
          <w:bdr w:val="nil"/>
          <w:lang w:eastAsia="en-GB"/>
        </w:rPr>
        <w:t xml:space="preserve">conomy </w:t>
      </w:r>
      <w:r w:rsidR="0004616F">
        <w:rPr>
          <w:rFonts w:eastAsia="Arial Unicode MS"/>
          <w:bdr w:val="nil"/>
          <w:lang w:eastAsia="en-GB"/>
        </w:rPr>
        <w:t xml:space="preserve">were </w:t>
      </w:r>
      <w:r w:rsidR="0004616F" w:rsidRPr="0074679F">
        <w:rPr>
          <w:rFonts w:eastAsia="Arial Unicode MS"/>
          <w:bdr w:val="nil"/>
          <w:lang w:eastAsia="en-GB"/>
        </w:rPr>
        <w:t>held</w:t>
      </w:r>
      <w:r w:rsidR="0004616F" w:rsidRPr="006776CD">
        <w:rPr>
          <w:rFonts w:eastAsia="Arial Unicode MS"/>
          <w:bdr w:val="nil"/>
          <w:lang w:eastAsia="en-GB"/>
        </w:rPr>
        <w:t xml:space="preserve"> </w:t>
      </w:r>
      <w:r w:rsidRPr="006776CD">
        <w:rPr>
          <w:rFonts w:eastAsia="Arial Unicode MS"/>
          <w:bdr w:val="nil"/>
          <w:lang w:eastAsia="en-GB"/>
        </w:rPr>
        <w:t xml:space="preserve">at the </w:t>
      </w:r>
      <w:r w:rsidR="0004616F" w:rsidRPr="006776CD">
        <w:rPr>
          <w:rFonts w:eastAsia="Arial Unicode MS"/>
          <w:bdr w:val="nil"/>
          <w:lang w:eastAsia="en-GB"/>
        </w:rPr>
        <w:t xml:space="preserve">seventeenth </w:t>
      </w:r>
      <w:r w:rsidR="0004616F" w:rsidRPr="0074679F">
        <w:rPr>
          <w:rFonts w:eastAsia="Arial Unicode MS"/>
          <w:bdr w:val="nil"/>
          <w:lang w:eastAsia="en-GB"/>
        </w:rPr>
        <w:t>African Ministerial Conference on the Environment</w:t>
      </w:r>
      <w:r w:rsidRPr="006776CD">
        <w:rPr>
          <w:rFonts w:eastAsia="Arial Unicode MS"/>
          <w:bdr w:val="nil"/>
          <w:lang w:eastAsia="en-GB"/>
        </w:rPr>
        <w:t xml:space="preserve">, with support from UNEP and the Southern African Development Community, to develop a regional </w:t>
      </w:r>
      <w:r w:rsidR="008F2FCF">
        <w:rPr>
          <w:rFonts w:eastAsia="Arial Unicode MS"/>
          <w:bdr w:val="nil"/>
          <w:lang w:eastAsia="en-GB"/>
        </w:rPr>
        <w:t>b</w:t>
      </w:r>
      <w:r w:rsidRPr="006776CD">
        <w:rPr>
          <w:rFonts w:eastAsia="Arial Unicode MS"/>
          <w:bdr w:val="nil"/>
          <w:lang w:eastAsia="en-GB"/>
        </w:rPr>
        <w:t xml:space="preserve">iodiversity </w:t>
      </w:r>
      <w:r w:rsidR="008F2FCF">
        <w:rPr>
          <w:rFonts w:eastAsia="Arial Unicode MS"/>
          <w:bdr w:val="nil"/>
          <w:lang w:eastAsia="en-GB"/>
        </w:rPr>
        <w:t>e</w:t>
      </w:r>
      <w:r w:rsidRPr="006776CD">
        <w:rPr>
          <w:rFonts w:eastAsia="Arial Unicode MS"/>
          <w:bdr w:val="nil"/>
          <w:lang w:eastAsia="en-GB"/>
        </w:rPr>
        <w:t xml:space="preserve">conomy </w:t>
      </w:r>
      <w:r w:rsidR="008F2FCF">
        <w:rPr>
          <w:rFonts w:eastAsia="Arial Unicode MS"/>
          <w:bdr w:val="nil"/>
          <w:lang w:eastAsia="en-GB"/>
        </w:rPr>
        <w:t>s</w:t>
      </w:r>
      <w:r w:rsidRPr="006776CD">
        <w:rPr>
          <w:rFonts w:eastAsia="Arial Unicode MS"/>
          <w:bdr w:val="nil"/>
          <w:lang w:eastAsia="en-GB"/>
        </w:rPr>
        <w:t>trateg</w:t>
      </w:r>
      <w:r w:rsidRPr="0004616F">
        <w:rPr>
          <w:rFonts w:eastAsia="Arial Unicode MS"/>
          <w:bdr w:val="nil"/>
          <w:lang w:eastAsia="en-GB"/>
        </w:rPr>
        <w:t xml:space="preserve">y. UNEP continued </w:t>
      </w:r>
      <w:r w:rsidR="008F2FCF">
        <w:rPr>
          <w:rFonts w:eastAsia="Arial Unicode MS"/>
          <w:bdr w:val="nil"/>
          <w:lang w:eastAsia="en-GB"/>
        </w:rPr>
        <w:t xml:space="preserve">to provide </w:t>
      </w:r>
      <w:r w:rsidRPr="0004616F">
        <w:rPr>
          <w:rFonts w:eastAsia="Arial Unicode MS"/>
          <w:bdr w:val="nil"/>
          <w:lang w:eastAsia="en-GB"/>
        </w:rPr>
        <w:t xml:space="preserve">technical assistance to targeted </w:t>
      </w:r>
      <w:r w:rsidR="00B1144E" w:rsidRPr="004F4A62">
        <w:rPr>
          <w:rFonts w:eastAsia="Arial Unicode MS"/>
          <w:bdr w:val="nil"/>
          <w:lang w:eastAsia="en-GB"/>
        </w:rPr>
        <w:t>Member States</w:t>
      </w:r>
      <w:r w:rsidRPr="004F4A62">
        <w:rPr>
          <w:rFonts w:eastAsia="Arial Unicode MS"/>
          <w:bdr w:val="nil"/>
          <w:lang w:eastAsia="en-GB"/>
        </w:rPr>
        <w:t>, such as Kenya and South Africa, to advance national</w:t>
      </w:r>
      <w:r w:rsidR="007E4764">
        <w:rPr>
          <w:rFonts w:eastAsia="Arial Unicode MS"/>
          <w:bdr w:val="nil"/>
          <w:lang w:eastAsia="en-GB"/>
        </w:rPr>
        <w:t>-</w:t>
      </w:r>
      <w:r w:rsidRPr="004F4A62">
        <w:rPr>
          <w:rFonts w:eastAsia="Arial Unicode MS"/>
          <w:bdr w:val="nil"/>
          <w:lang w:eastAsia="en-GB"/>
        </w:rPr>
        <w:t>level objectives for expanding equitable wildlife economy opportunities.</w:t>
      </w:r>
    </w:p>
    <w:p w14:paraId="18F5BD2E" w14:textId="675711E8" w:rsidR="0074679F" w:rsidRPr="00E56F81" w:rsidRDefault="0074679F" w:rsidP="00E56F81">
      <w:pPr>
        <w:pStyle w:val="Normalnumber"/>
        <w:tabs>
          <w:tab w:val="num" w:pos="624"/>
        </w:tabs>
        <w:rPr>
          <w:rFonts w:eastAsia="Arial Unicode MS"/>
          <w:bdr w:val="nil"/>
          <w:lang w:eastAsia="en-GB"/>
        </w:rPr>
      </w:pPr>
      <w:r w:rsidRPr="00E56F81">
        <w:rPr>
          <w:rFonts w:eastAsia="Arial Unicode MS"/>
          <w:bdr w:val="nil"/>
          <w:lang w:eastAsia="en-GB"/>
        </w:rPr>
        <w:t xml:space="preserve">With support from the European Union, UNEP expanded work on </w:t>
      </w:r>
      <w:r w:rsidR="002B053F">
        <w:rPr>
          <w:rFonts w:eastAsia="Arial Unicode MS"/>
          <w:bdr w:val="nil"/>
          <w:lang w:eastAsia="en-GB"/>
        </w:rPr>
        <w:t xml:space="preserve">the </w:t>
      </w:r>
      <w:r w:rsidRPr="00E56F81">
        <w:rPr>
          <w:rFonts w:eastAsia="Arial Unicode MS"/>
          <w:bdr w:val="nil"/>
          <w:lang w:eastAsia="en-GB"/>
        </w:rPr>
        <w:t>wildlife</w:t>
      </w:r>
      <w:r w:rsidR="002B053F">
        <w:rPr>
          <w:rFonts w:eastAsia="Arial Unicode MS"/>
          <w:bdr w:val="nil"/>
          <w:lang w:eastAsia="en-GB"/>
        </w:rPr>
        <w:t xml:space="preserve"> and </w:t>
      </w:r>
      <w:r w:rsidRPr="00E56F81">
        <w:rPr>
          <w:rFonts w:eastAsia="Arial Unicode MS"/>
          <w:bdr w:val="nil"/>
          <w:lang w:eastAsia="en-GB"/>
        </w:rPr>
        <w:t xml:space="preserve">biodiversity economy and integrated land management in the Kavango Zambezi Transfrontier Conservation Area in Southern Africa, which is home to </w:t>
      </w:r>
      <w:r w:rsidR="00B75A3A">
        <w:rPr>
          <w:rFonts w:eastAsia="Arial Unicode MS"/>
          <w:bdr w:val="nil"/>
          <w:lang w:eastAsia="en-GB"/>
        </w:rPr>
        <w:t xml:space="preserve">the </w:t>
      </w:r>
      <w:r w:rsidRPr="00E56F81">
        <w:rPr>
          <w:rFonts w:eastAsia="Arial Unicode MS"/>
          <w:bdr w:val="nil"/>
          <w:lang w:eastAsia="en-GB"/>
        </w:rPr>
        <w:t xml:space="preserve">largest populations of African elephants </w:t>
      </w:r>
      <w:r w:rsidR="00B75A3A">
        <w:rPr>
          <w:rFonts w:eastAsia="Arial Unicode MS"/>
          <w:bdr w:val="nil"/>
          <w:lang w:eastAsia="en-GB"/>
        </w:rPr>
        <w:t xml:space="preserve">in </w:t>
      </w:r>
      <w:r w:rsidR="00B75A3A" w:rsidRPr="00E56F81">
        <w:rPr>
          <w:rFonts w:eastAsia="Arial Unicode MS"/>
          <w:bdr w:val="nil"/>
          <w:lang w:eastAsia="en-GB"/>
        </w:rPr>
        <w:t xml:space="preserve">Africa </w:t>
      </w:r>
      <w:r w:rsidRPr="00E56F81">
        <w:rPr>
          <w:rFonts w:eastAsia="Arial Unicode MS"/>
          <w:bdr w:val="nil"/>
          <w:lang w:eastAsia="en-GB"/>
        </w:rPr>
        <w:t xml:space="preserve">and </w:t>
      </w:r>
      <w:r w:rsidRPr="00E56F81">
        <w:rPr>
          <w:rFonts w:eastAsia="Arial Unicode MS"/>
          <w:bdr w:val="nil"/>
          <w:lang w:eastAsia="en-GB"/>
        </w:rPr>
        <w:lastRenderedPageBreak/>
        <w:t>significant populations of rhino</w:t>
      </w:r>
      <w:r w:rsidR="006D586A">
        <w:rPr>
          <w:rFonts w:eastAsia="Arial Unicode MS"/>
          <w:bdr w:val="nil"/>
          <w:lang w:eastAsia="en-GB"/>
        </w:rPr>
        <w:t>ceros</w:t>
      </w:r>
      <w:r w:rsidRPr="00E56F81">
        <w:rPr>
          <w:rFonts w:eastAsia="Arial Unicode MS"/>
          <w:bdr w:val="nil"/>
          <w:lang w:eastAsia="en-GB"/>
        </w:rPr>
        <w:t>, wild dog</w:t>
      </w:r>
      <w:r w:rsidR="001D65AB">
        <w:rPr>
          <w:rFonts w:eastAsia="Arial Unicode MS"/>
          <w:bdr w:val="nil"/>
          <w:lang w:eastAsia="en-GB"/>
        </w:rPr>
        <w:t>s</w:t>
      </w:r>
      <w:r w:rsidRPr="00E56F81">
        <w:rPr>
          <w:rFonts w:eastAsia="Arial Unicode MS"/>
          <w:bdr w:val="nil"/>
          <w:lang w:eastAsia="en-GB"/>
        </w:rPr>
        <w:t>, lion</w:t>
      </w:r>
      <w:r w:rsidR="001D65AB">
        <w:rPr>
          <w:rFonts w:eastAsia="Arial Unicode MS"/>
          <w:bdr w:val="nil"/>
          <w:lang w:eastAsia="en-GB"/>
        </w:rPr>
        <w:t>s</w:t>
      </w:r>
      <w:r w:rsidRPr="00E56F81">
        <w:rPr>
          <w:rFonts w:eastAsia="Arial Unicode MS"/>
          <w:bdr w:val="nil"/>
          <w:lang w:eastAsia="en-GB"/>
        </w:rPr>
        <w:t xml:space="preserve"> and other threatened species</w:t>
      </w:r>
      <w:r w:rsidR="00A7625E">
        <w:rPr>
          <w:rFonts w:eastAsia="Arial Unicode MS"/>
          <w:bdr w:val="nil"/>
          <w:lang w:eastAsia="en-GB"/>
        </w:rPr>
        <w:t>,</w:t>
      </w:r>
      <w:r w:rsidRPr="00E56F81">
        <w:rPr>
          <w:rFonts w:eastAsia="Arial Unicode MS"/>
          <w:bdr w:val="nil"/>
          <w:lang w:eastAsia="en-GB"/>
        </w:rPr>
        <w:t xml:space="preserve"> and the Sangha Trinational </w:t>
      </w:r>
      <w:r w:rsidR="00ED3A76">
        <w:rPr>
          <w:rFonts w:eastAsia="Arial Unicode MS"/>
          <w:bdr w:val="nil"/>
          <w:lang w:eastAsia="en-GB"/>
        </w:rPr>
        <w:t>t</w:t>
      </w:r>
      <w:r w:rsidRPr="00E56F81">
        <w:rPr>
          <w:rFonts w:eastAsia="Arial Unicode MS"/>
          <w:bdr w:val="nil"/>
          <w:lang w:eastAsia="en-GB"/>
        </w:rPr>
        <w:t xml:space="preserve">ransfrontier </w:t>
      </w:r>
      <w:r w:rsidR="00ED3A76">
        <w:rPr>
          <w:rFonts w:eastAsia="Arial Unicode MS"/>
          <w:bdr w:val="nil"/>
          <w:lang w:eastAsia="en-GB"/>
        </w:rPr>
        <w:t>c</w:t>
      </w:r>
      <w:r w:rsidRPr="00E56F81">
        <w:rPr>
          <w:rFonts w:eastAsia="Arial Unicode MS"/>
          <w:bdr w:val="nil"/>
          <w:lang w:eastAsia="en-GB"/>
        </w:rPr>
        <w:t xml:space="preserve">onservation area in the Congo Basin, </w:t>
      </w:r>
      <w:r w:rsidR="000A6E72">
        <w:rPr>
          <w:rFonts w:eastAsia="Arial Unicode MS"/>
          <w:bdr w:val="nil"/>
          <w:lang w:eastAsia="en-GB"/>
        </w:rPr>
        <w:t xml:space="preserve">which is </w:t>
      </w:r>
      <w:r w:rsidRPr="00E56F81">
        <w:rPr>
          <w:rFonts w:eastAsia="Arial Unicode MS"/>
          <w:bdr w:val="nil"/>
          <w:lang w:eastAsia="en-GB"/>
        </w:rPr>
        <w:t>home to critical forest elephant and great ape populations.</w:t>
      </w:r>
      <w:r w:rsidR="00EF202F">
        <w:rPr>
          <w:rFonts w:eastAsia="Arial Unicode MS"/>
          <w:bdr w:val="nil"/>
          <w:lang w:eastAsia="en-GB"/>
        </w:rPr>
        <w:t xml:space="preserve"> </w:t>
      </w:r>
      <w:r w:rsidRPr="00E56F81">
        <w:rPr>
          <w:rFonts w:eastAsia="Arial Unicode MS"/>
          <w:bdr w:val="nil"/>
          <w:lang w:eastAsia="en-GB"/>
        </w:rPr>
        <w:t xml:space="preserve">In the </w:t>
      </w:r>
      <w:r w:rsidR="002A371F" w:rsidRPr="00E56F81">
        <w:rPr>
          <w:rFonts w:eastAsia="Arial Unicode MS"/>
          <w:bdr w:val="nil"/>
          <w:lang w:eastAsia="en-GB"/>
        </w:rPr>
        <w:t>Kavango Zambezi Transfrontier Conservation Area</w:t>
      </w:r>
      <w:r w:rsidRPr="00E56F81">
        <w:rPr>
          <w:rFonts w:eastAsia="Arial Unicode MS"/>
          <w:bdr w:val="nil"/>
          <w:lang w:eastAsia="en-GB"/>
        </w:rPr>
        <w:t>, a dynamic cross-sectoral model of natural and human-induced processes was developed based on local stakeholder knowledge. The model serves as a context-specific management tool to conduct scenario analyses in support of improved sectoral policies and integrated land use planning in critical wildlife areas.</w:t>
      </w:r>
    </w:p>
    <w:p w14:paraId="266754BF" w14:textId="338FC448" w:rsidR="0074679F" w:rsidRPr="0074679F" w:rsidRDefault="0074679F" w:rsidP="00E56F81">
      <w:pPr>
        <w:pStyle w:val="Normalnumber"/>
        <w:tabs>
          <w:tab w:val="num" w:pos="624"/>
        </w:tabs>
        <w:rPr>
          <w:color w:val="000000"/>
          <w:lang w:val="en-US"/>
        </w:rPr>
      </w:pPr>
      <w:r w:rsidRPr="0074679F">
        <w:rPr>
          <w:color w:val="000000"/>
          <w:lang w:val="en-US"/>
        </w:rPr>
        <w:t xml:space="preserve">As human-wildlife coexistence is intricately tied to the threat of </w:t>
      </w:r>
      <w:r w:rsidR="00EC02A7">
        <w:rPr>
          <w:color w:val="000000"/>
          <w:lang w:val="en-US"/>
        </w:rPr>
        <w:t xml:space="preserve">the </w:t>
      </w:r>
      <w:r w:rsidRPr="0074679F">
        <w:rPr>
          <w:color w:val="000000"/>
          <w:lang w:val="en-US"/>
        </w:rPr>
        <w:t>increasing emergence of zoonotic diseases, UNEP partnered with the International Livestock Research Institute to undertake a rapid scientific assessment and develop policy recommendations in the report</w:t>
      </w:r>
      <w:r w:rsidRPr="0074679F">
        <w:rPr>
          <w:i/>
          <w:iCs/>
          <w:color w:val="000000"/>
          <w:lang w:val="en-US"/>
        </w:rPr>
        <w:t xml:space="preserve"> </w:t>
      </w:r>
      <w:hyperlink r:id="rId14">
        <w:r w:rsidRPr="0074679F">
          <w:rPr>
            <w:i/>
            <w:iCs/>
            <w:color w:val="000000"/>
            <w:lang w:val="en-US"/>
          </w:rPr>
          <w:t xml:space="preserve">Preventing the </w:t>
        </w:r>
        <w:r w:rsidR="00FE1DD6">
          <w:rPr>
            <w:i/>
            <w:iCs/>
            <w:color w:val="000000"/>
            <w:lang w:val="en-US"/>
          </w:rPr>
          <w:t>N</w:t>
        </w:r>
        <w:r w:rsidRPr="0074679F">
          <w:rPr>
            <w:i/>
            <w:iCs/>
            <w:color w:val="000000"/>
            <w:lang w:val="en-US"/>
          </w:rPr>
          <w:t xml:space="preserve">ext </w:t>
        </w:r>
        <w:r w:rsidR="00FE1DD6">
          <w:rPr>
            <w:i/>
            <w:iCs/>
            <w:color w:val="000000"/>
            <w:lang w:val="en-US"/>
          </w:rPr>
          <w:t>P</w:t>
        </w:r>
        <w:r w:rsidRPr="0074679F">
          <w:rPr>
            <w:i/>
            <w:iCs/>
            <w:color w:val="000000"/>
            <w:lang w:val="en-US"/>
          </w:rPr>
          <w:t xml:space="preserve">andemic: Zoonotic </w:t>
        </w:r>
        <w:r w:rsidR="00C03F20">
          <w:rPr>
            <w:i/>
            <w:iCs/>
            <w:color w:val="000000"/>
            <w:lang w:val="en-US"/>
          </w:rPr>
          <w:t>D</w:t>
        </w:r>
        <w:r w:rsidRPr="0074679F">
          <w:rPr>
            <w:i/>
            <w:iCs/>
            <w:color w:val="000000"/>
            <w:lang w:val="en-US"/>
          </w:rPr>
          <w:t xml:space="preserve">iseases and </w:t>
        </w:r>
        <w:r w:rsidR="00DC5299">
          <w:rPr>
            <w:i/>
            <w:iCs/>
            <w:color w:val="000000"/>
            <w:lang w:val="en-US"/>
          </w:rPr>
          <w:t>H</w:t>
        </w:r>
        <w:r w:rsidRPr="0074679F">
          <w:rPr>
            <w:i/>
            <w:iCs/>
            <w:color w:val="000000"/>
            <w:lang w:val="en-US"/>
          </w:rPr>
          <w:t xml:space="preserve">ow to </w:t>
        </w:r>
        <w:r w:rsidR="00DC5299">
          <w:rPr>
            <w:i/>
            <w:iCs/>
            <w:color w:val="000000"/>
            <w:lang w:val="en-US"/>
          </w:rPr>
          <w:t>B</w:t>
        </w:r>
        <w:r w:rsidRPr="0074679F">
          <w:rPr>
            <w:i/>
            <w:iCs/>
            <w:color w:val="000000"/>
            <w:lang w:val="en-US"/>
          </w:rPr>
          <w:t xml:space="preserve">reak the </w:t>
        </w:r>
        <w:r w:rsidR="00DC5299">
          <w:rPr>
            <w:i/>
            <w:iCs/>
            <w:color w:val="000000"/>
            <w:lang w:val="en-US"/>
          </w:rPr>
          <w:t>C</w:t>
        </w:r>
        <w:r w:rsidRPr="0074679F">
          <w:rPr>
            <w:i/>
            <w:iCs/>
            <w:color w:val="000000"/>
            <w:lang w:val="en-US"/>
          </w:rPr>
          <w:t xml:space="preserve">hain of </w:t>
        </w:r>
        <w:r w:rsidR="00DC5299">
          <w:rPr>
            <w:i/>
            <w:iCs/>
            <w:color w:val="000000"/>
            <w:lang w:val="en-US"/>
          </w:rPr>
          <w:t>T</w:t>
        </w:r>
        <w:r w:rsidRPr="0074679F">
          <w:rPr>
            <w:i/>
            <w:iCs/>
            <w:color w:val="000000"/>
            <w:lang w:val="en-US"/>
          </w:rPr>
          <w:t>ransmission</w:t>
        </w:r>
      </w:hyperlink>
      <w:r w:rsidR="00204D67">
        <w:rPr>
          <w:i/>
          <w:iCs/>
          <w:color w:val="000000"/>
          <w:lang w:val="en-US"/>
        </w:rPr>
        <w:t>.</w:t>
      </w:r>
      <w:r w:rsidRPr="0074679F">
        <w:rPr>
          <w:i/>
          <w:iCs/>
          <w:color w:val="000000"/>
          <w:lang w:val="en-US"/>
        </w:rPr>
        <w:t xml:space="preserve"> </w:t>
      </w:r>
      <w:r w:rsidRPr="0074679F">
        <w:rPr>
          <w:color w:val="000000"/>
          <w:lang w:val="en-US"/>
        </w:rPr>
        <w:t xml:space="preserve">The report, </w:t>
      </w:r>
      <w:r w:rsidR="00E47FE9">
        <w:rPr>
          <w:color w:val="000000"/>
          <w:lang w:val="en-US"/>
        </w:rPr>
        <w:t xml:space="preserve">which had been </w:t>
      </w:r>
      <w:r w:rsidRPr="0074679F">
        <w:rPr>
          <w:color w:val="000000"/>
          <w:lang w:val="en-US"/>
        </w:rPr>
        <w:t xml:space="preserve">downloaded around 12,000 times by October 2020, </w:t>
      </w:r>
      <w:r w:rsidR="00E47FE9">
        <w:rPr>
          <w:color w:val="000000"/>
          <w:lang w:val="en-US"/>
        </w:rPr>
        <w:t>i</w:t>
      </w:r>
      <w:r w:rsidRPr="0074679F">
        <w:rPr>
          <w:color w:val="000000"/>
          <w:lang w:val="en-US"/>
        </w:rPr>
        <w:t xml:space="preserve">s accompanied by an ongoing campaign to raise awareness and support policy dialogues with key </w:t>
      </w:r>
      <w:r w:rsidR="00B1144E">
        <w:rPr>
          <w:color w:val="000000"/>
          <w:lang w:val="en-US"/>
        </w:rPr>
        <w:t>Member States</w:t>
      </w:r>
      <w:r w:rsidRPr="0074679F">
        <w:rPr>
          <w:color w:val="000000"/>
          <w:lang w:val="en-US"/>
        </w:rPr>
        <w:t xml:space="preserve"> and other partners to better understand the environment</w:t>
      </w:r>
      <w:r w:rsidR="00EA35E3">
        <w:rPr>
          <w:color w:val="000000"/>
          <w:lang w:val="en-US"/>
        </w:rPr>
        <w:t>al</w:t>
      </w:r>
      <w:r w:rsidRPr="0074679F">
        <w:rPr>
          <w:color w:val="000000"/>
          <w:lang w:val="en-US"/>
        </w:rPr>
        <w:t xml:space="preserve"> dimensions of zoonotic diseases.</w:t>
      </w:r>
    </w:p>
    <w:p w14:paraId="38A12106" w14:textId="4A7F814B" w:rsidR="0074679F" w:rsidRPr="00886C82" w:rsidRDefault="00771AE1" w:rsidP="00771AE1">
      <w:pPr>
        <w:pStyle w:val="CH2"/>
        <w:rPr>
          <w:lang w:eastAsia="en-GB"/>
        </w:rPr>
      </w:pPr>
      <w:r>
        <w:rPr>
          <w:lang w:eastAsia="en-GB"/>
        </w:rPr>
        <w:tab/>
      </w:r>
      <w:r w:rsidR="00C00F56" w:rsidRPr="00886C82">
        <w:rPr>
          <w:lang w:eastAsia="en-GB"/>
        </w:rPr>
        <w:t>C.</w:t>
      </w:r>
      <w:r w:rsidR="00C00F56" w:rsidRPr="00886C82">
        <w:rPr>
          <w:lang w:eastAsia="en-GB"/>
        </w:rPr>
        <w:tab/>
      </w:r>
      <w:r w:rsidR="00DA01B2" w:rsidRPr="00886C82">
        <w:rPr>
          <w:lang w:eastAsia="en-GB"/>
        </w:rPr>
        <w:t>E</w:t>
      </w:r>
      <w:r w:rsidR="0074679F" w:rsidRPr="00886C82">
        <w:rPr>
          <w:lang w:eastAsia="en-GB"/>
        </w:rPr>
        <w:t>xpand</w:t>
      </w:r>
      <w:r w:rsidR="00DA01B2" w:rsidRPr="00886C82">
        <w:rPr>
          <w:lang w:eastAsia="en-GB"/>
        </w:rPr>
        <w:t>i</w:t>
      </w:r>
      <w:r w:rsidR="00DA01B2" w:rsidRPr="008A0D37">
        <w:rPr>
          <w:lang w:eastAsia="en-GB"/>
        </w:rPr>
        <w:t>ng</w:t>
      </w:r>
      <w:r w:rsidR="0074679F" w:rsidRPr="00886C82">
        <w:rPr>
          <w:lang w:eastAsia="en-GB"/>
        </w:rPr>
        <w:t xml:space="preserve"> innovative financing for restoration and ecosystem-based approaches</w:t>
      </w:r>
    </w:p>
    <w:p w14:paraId="05D66A32" w14:textId="148A44B2" w:rsidR="0074679F" w:rsidRPr="00E56F81" w:rsidRDefault="0074679F" w:rsidP="00E56F81">
      <w:pPr>
        <w:pStyle w:val="Normalnumber"/>
        <w:tabs>
          <w:tab w:val="num" w:pos="624"/>
        </w:tabs>
        <w:rPr>
          <w:rFonts w:eastAsia="Arial Unicode MS"/>
          <w:bdr w:val="nil"/>
          <w:lang w:eastAsia="en-GB"/>
        </w:rPr>
      </w:pPr>
      <w:r w:rsidRPr="00E56F81">
        <w:rPr>
          <w:rFonts w:eastAsia="Arial Unicode MS"/>
          <w:bdr w:val="nil"/>
          <w:lang w:eastAsia="en-GB"/>
        </w:rPr>
        <w:t>UNEP supported the development of several new funding mechanisms</w:t>
      </w:r>
      <w:r w:rsidR="00AB5FB4">
        <w:rPr>
          <w:rFonts w:eastAsia="Arial Unicode MS"/>
          <w:bdr w:val="nil"/>
          <w:lang w:eastAsia="en-GB"/>
        </w:rPr>
        <w:t>,</w:t>
      </w:r>
      <w:r w:rsidRPr="00E56F81">
        <w:rPr>
          <w:rFonts w:eastAsia="Arial Unicode MS"/>
          <w:bdr w:val="nil"/>
          <w:lang w:eastAsia="en-GB"/>
        </w:rPr>
        <w:t xml:space="preserve"> including the Tropical Landscapes Finance Facility in Indonesia in partnership with BNP Paribas, ADM Capital and </w:t>
      </w:r>
      <w:r w:rsidR="00395226">
        <w:rPr>
          <w:rFonts w:eastAsia="Arial Unicode MS"/>
          <w:bdr w:val="nil"/>
          <w:lang w:eastAsia="en-GB"/>
        </w:rPr>
        <w:t xml:space="preserve">the </w:t>
      </w:r>
      <w:r w:rsidR="00395226" w:rsidRPr="00395226">
        <w:rPr>
          <w:rFonts w:eastAsia="Arial Unicode MS"/>
          <w:bdr w:val="nil"/>
          <w:lang w:eastAsia="en-GB"/>
        </w:rPr>
        <w:t>World Agroforestry Centre</w:t>
      </w:r>
      <w:r w:rsidRPr="00E56F81">
        <w:rPr>
          <w:rFonts w:eastAsia="Arial Unicode MS"/>
          <w:bdr w:val="nil"/>
          <w:lang w:eastAsia="en-GB"/>
        </w:rPr>
        <w:t>.</w:t>
      </w:r>
      <w:r w:rsidR="00EF202F">
        <w:rPr>
          <w:rFonts w:eastAsia="Arial Unicode MS"/>
          <w:bdr w:val="nil"/>
          <w:lang w:eastAsia="en-GB"/>
        </w:rPr>
        <w:t xml:space="preserve"> </w:t>
      </w:r>
      <w:r w:rsidRPr="00E56F81">
        <w:rPr>
          <w:rFonts w:eastAsia="Arial Unicode MS"/>
          <w:bdr w:val="nil"/>
          <w:lang w:eastAsia="en-GB"/>
        </w:rPr>
        <w:t xml:space="preserve">For example, the </w:t>
      </w:r>
      <w:r w:rsidR="00FC6945">
        <w:rPr>
          <w:rFonts w:eastAsia="Arial Unicode MS"/>
          <w:bdr w:val="nil"/>
          <w:lang w:eastAsia="en-GB"/>
        </w:rPr>
        <w:t>$</w:t>
      </w:r>
      <w:r w:rsidRPr="00E56F81">
        <w:rPr>
          <w:rFonts w:eastAsia="Arial Unicode MS"/>
          <w:bdr w:val="nil"/>
          <w:lang w:eastAsia="en-GB"/>
        </w:rPr>
        <w:t xml:space="preserve">95 million </w:t>
      </w:r>
      <w:r w:rsidR="00430F74">
        <w:rPr>
          <w:rFonts w:eastAsia="Arial Unicode MS"/>
          <w:bdr w:val="nil"/>
          <w:lang w:eastAsia="en-GB"/>
        </w:rPr>
        <w:t>“</w:t>
      </w:r>
      <w:r w:rsidRPr="00E56F81">
        <w:rPr>
          <w:rFonts w:eastAsia="Arial Unicode MS"/>
          <w:bdr w:val="nil"/>
          <w:lang w:eastAsia="en-GB"/>
        </w:rPr>
        <w:t>landscape bond</w:t>
      </w:r>
      <w:r w:rsidR="00430F74">
        <w:rPr>
          <w:rFonts w:eastAsia="Arial Unicode MS"/>
          <w:bdr w:val="nil"/>
          <w:lang w:eastAsia="en-GB"/>
        </w:rPr>
        <w:t>”</w:t>
      </w:r>
      <w:r w:rsidRPr="00E56F81">
        <w:rPr>
          <w:rFonts w:eastAsia="Arial Unicode MS"/>
          <w:bdr w:val="nil"/>
          <w:lang w:eastAsia="en-GB"/>
        </w:rPr>
        <w:t xml:space="preserve"> finances a sustainable natural rubber plantation that includes dedicated forest restoration and protection areas</w:t>
      </w:r>
      <w:r w:rsidR="00CA14D7">
        <w:rPr>
          <w:rFonts w:eastAsia="Arial Unicode MS"/>
          <w:bdr w:val="nil"/>
          <w:lang w:eastAsia="en-GB"/>
        </w:rPr>
        <w:t>,</w:t>
      </w:r>
      <w:r w:rsidRPr="00E56F81">
        <w:rPr>
          <w:rFonts w:eastAsia="Arial Unicode MS"/>
          <w:bdr w:val="nil"/>
          <w:lang w:eastAsia="en-GB"/>
        </w:rPr>
        <w:t xml:space="preserve"> as well as smallholder rubber initiatives that generate income and support rural livelihoods.</w:t>
      </w:r>
    </w:p>
    <w:p w14:paraId="6AF74E3E" w14:textId="087609BB" w:rsidR="0074679F" w:rsidRPr="00C00F56" w:rsidRDefault="0074679F" w:rsidP="00E56F81">
      <w:pPr>
        <w:pStyle w:val="Normalnumber"/>
        <w:tabs>
          <w:tab w:val="num" w:pos="624"/>
        </w:tabs>
        <w:rPr>
          <w:rFonts w:eastAsia="Arial Unicode MS"/>
          <w:bdr w:val="nil"/>
          <w:lang w:eastAsia="en-GB"/>
        </w:rPr>
      </w:pPr>
      <w:r w:rsidRPr="00C00F56">
        <w:rPr>
          <w:rFonts w:eastAsia="Arial Unicode MS"/>
          <w:bdr w:val="nil"/>
          <w:lang w:eastAsia="en-GB"/>
        </w:rPr>
        <w:t xml:space="preserve">UNEP supported the establishment of the </w:t>
      </w:r>
      <w:hyperlink r:id="rId15">
        <w:r w:rsidRPr="00C00F56">
          <w:rPr>
            <w:rFonts w:eastAsia="Arial Unicode MS"/>
            <w:bdr w:val="nil"/>
            <w:lang w:eastAsia="en-GB"/>
          </w:rPr>
          <w:t>AGRI3 Fund</w:t>
        </w:r>
      </w:hyperlink>
      <w:r w:rsidRPr="00C00F56">
        <w:rPr>
          <w:rFonts w:eastAsia="Arial Unicode MS"/>
          <w:bdr w:val="nil"/>
          <w:lang w:eastAsia="en-GB"/>
        </w:rPr>
        <w:t xml:space="preserve"> together with Rabobank, </w:t>
      </w:r>
      <w:r w:rsidR="00771AE1">
        <w:rPr>
          <w:rFonts w:eastAsia="Arial Unicode MS"/>
          <w:bdr w:val="nil"/>
          <w:lang w:eastAsia="en-GB"/>
        </w:rPr>
        <w:br/>
      </w:r>
      <w:r w:rsidRPr="00C00F56">
        <w:rPr>
          <w:rFonts w:eastAsia="Arial Unicode MS"/>
          <w:bdr w:val="nil"/>
          <w:lang w:eastAsia="en-GB"/>
        </w:rPr>
        <w:t>Mirova</w:t>
      </w:r>
      <w:r w:rsidR="000565B4">
        <w:rPr>
          <w:rFonts w:eastAsia="Arial Unicode MS"/>
          <w:bdr w:val="nil"/>
          <w:lang w:eastAsia="en-GB"/>
        </w:rPr>
        <w:t>-</w:t>
      </w:r>
      <w:r w:rsidRPr="00C00F56">
        <w:rPr>
          <w:rFonts w:eastAsia="Arial Unicode MS"/>
          <w:bdr w:val="nil"/>
          <w:lang w:eastAsia="en-GB"/>
        </w:rPr>
        <w:t>Althelia and IDH</w:t>
      </w:r>
      <w:r w:rsidR="007A34FF">
        <w:rPr>
          <w:rFonts w:eastAsia="Arial Unicode MS"/>
          <w:bdr w:val="nil"/>
          <w:lang w:eastAsia="en-GB"/>
        </w:rPr>
        <w:t>–</w:t>
      </w:r>
      <w:r w:rsidRPr="00C00F56">
        <w:rPr>
          <w:rFonts w:eastAsia="Arial Unicode MS"/>
          <w:bdr w:val="nil"/>
          <w:lang w:eastAsia="en-GB"/>
        </w:rPr>
        <w:t>The Sustainable Trade Initiative</w:t>
      </w:r>
      <w:r w:rsidR="00354B28">
        <w:rPr>
          <w:rFonts w:eastAsia="Arial Unicode MS"/>
          <w:bdr w:val="nil"/>
          <w:lang w:eastAsia="en-GB"/>
        </w:rPr>
        <w:t>.</w:t>
      </w:r>
      <w:r w:rsidRPr="00C00F56">
        <w:rPr>
          <w:rFonts w:eastAsia="Arial Unicode MS"/>
          <w:bdr w:val="nil"/>
          <w:lang w:eastAsia="en-GB"/>
        </w:rPr>
        <w:t xml:space="preserve"> </w:t>
      </w:r>
      <w:r w:rsidR="00354B28">
        <w:rPr>
          <w:rFonts w:eastAsia="Arial Unicode MS"/>
          <w:bdr w:val="nil"/>
          <w:lang w:eastAsia="en-GB"/>
        </w:rPr>
        <w:t>T</w:t>
      </w:r>
      <w:r w:rsidR="00354B28" w:rsidRPr="00C00F56">
        <w:rPr>
          <w:rFonts w:eastAsia="Arial Unicode MS"/>
          <w:bdr w:val="nil"/>
          <w:lang w:eastAsia="en-GB"/>
        </w:rPr>
        <w:t xml:space="preserve">he </w:t>
      </w:r>
      <w:hyperlink r:id="rId16">
        <w:r w:rsidR="00354B28" w:rsidRPr="00C00F56">
          <w:rPr>
            <w:rFonts w:eastAsia="Arial Unicode MS"/>
            <w:bdr w:val="nil"/>
            <w:lang w:eastAsia="en-GB"/>
          </w:rPr>
          <w:t>AGRI3 Fund</w:t>
        </w:r>
      </w:hyperlink>
      <w:r w:rsidR="00354B28">
        <w:rPr>
          <w:rFonts w:eastAsia="Arial Unicode MS"/>
          <w:bdr w:val="nil"/>
          <w:lang w:eastAsia="en-GB"/>
        </w:rPr>
        <w:t xml:space="preserve"> </w:t>
      </w:r>
      <w:r w:rsidRPr="00C00F56">
        <w:rPr>
          <w:rFonts w:eastAsia="Arial Unicode MS"/>
          <w:bdr w:val="nil"/>
          <w:lang w:eastAsia="en-GB"/>
        </w:rPr>
        <w:t xml:space="preserve">is a blended </w:t>
      </w:r>
      <w:r w:rsidR="00771AE1">
        <w:rPr>
          <w:rFonts w:eastAsia="Arial Unicode MS"/>
          <w:bdr w:val="nil"/>
          <w:lang w:eastAsia="en-GB"/>
        </w:rPr>
        <w:br/>
      </w:r>
      <w:r w:rsidRPr="00C00F56">
        <w:rPr>
          <w:rFonts w:eastAsia="Arial Unicode MS"/>
          <w:bdr w:val="nil"/>
          <w:lang w:eastAsia="en-GB"/>
        </w:rPr>
        <w:t xml:space="preserve">public-private fund </w:t>
      </w:r>
      <w:r w:rsidR="006C46D1">
        <w:rPr>
          <w:rFonts w:eastAsia="Arial Unicode MS"/>
          <w:bdr w:val="nil"/>
          <w:lang w:eastAsia="en-GB"/>
        </w:rPr>
        <w:t xml:space="preserve">established </w:t>
      </w:r>
      <w:r w:rsidRPr="00C00F56">
        <w:rPr>
          <w:rFonts w:eastAsia="Arial Unicode MS"/>
          <w:bdr w:val="nil"/>
          <w:lang w:eastAsia="en-GB"/>
        </w:rPr>
        <w:t>to finance projects t</w:t>
      </w:r>
      <w:r w:rsidR="006C144B">
        <w:rPr>
          <w:rFonts w:eastAsia="Arial Unicode MS"/>
          <w:bdr w:val="nil"/>
          <w:lang w:eastAsia="en-GB"/>
        </w:rPr>
        <w:t>o</w:t>
      </w:r>
      <w:r w:rsidRPr="00C00F56">
        <w:rPr>
          <w:rFonts w:eastAsia="Arial Unicode MS"/>
          <w:bdr w:val="nil"/>
          <w:lang w:eastAsia="en-GB"/>
        </w:rPr>
        <w:t xml:space="preserve"> protect or restore forests, improve sustainable agriculture and improve rural livelihoods. Currently, the </w:t>
      </w:r>
      <w:r w:rsidR="006C46D1">
        <w:rPr>
          <w:rFonts w:eastAsia="Arial Unicode MS"/>
          <w:bdr w:val="nil"/>
          <w:lang w:eastAsia="en-GB"/>
        </w:rPr>
        <w:t>F</w:t>
      </w:r>
      <w:r w:rsidRPr="00C00F56">
        <w:rPr>
          <w:rFonts w:eastAsia="Arial Unicode MS"/>
          <w:bdr w:val="nil"/>
          <w:lang w:eastAsia="en-GB"/>
        </w:rPr>
        <w:t xml:space="preserve">und has committed </w:t>
      </w:r>
      <w:r w:rsidR="00592010">
        <w:rPr>
          <w:rFonts w:eastAsia="Arial Unicode MS"/>
          <w:bdr w:val="nil"/>
          <w:lang w:eastAsia="en-GB"/>
        </w:rPr>
        <w:t>$</w:t>
      </w:r>
      <w:r w:rsidRPr="00C00F56">
        <w:rPr>
          <w:rFonts w:eastAsia="Arial Unicode MS"/>
          <w:bdr w:val="nil"/>
          <w:lang w:eastAsia="en-GB"/>
        </w:rPr>
        <w:t xml:space="preserve">90 million </w:t>
      </w:r>
      <w:r w:rsidR="001B28AA" w:rsidRPr="00C00F56">
        <w:rPr>
          <w:rFonts w:eastAsia="Arial Unicode MS"/>
          <w:bdr w:val="nil"/>
          <w:lang w:eastAsia="en-GB"/>
        </w:rPr>
        <w:t xml:space="preserve">of capital </w:t>
      </w:r>
      <w:r w:rsidRPr="00C00F56">
        <w:rPr>
          <w:rFonts w:eastAsia="Arial Unicode MS"/>
          <w:bdr w:val="nil"/>
          <w:lang w:eastAsia="en-GB"/>
        </w:rPr>
        <w:t>(</w:t>
      </w:r>
      <w:r w:rsidR="00C30CEE">
        <w:rPr>
          <w:rFonts w:eastAsia="Arial Unicode MS"/>
          <w:bdr w:val="nil"/>
          <w:lang w:eastAsia="en-GB"/>
        </w:rPr>
        <w:t xml:space="preserve">the </w:t>
      </w:r>
      <w:r w:rsidRPr="00C00F56">
        <w:rPr>
          <w:rFonts w:eastAsia="Arial Unicode MS"/>
          <w:bdr w:val="nil"/>
          <w:lang w:eastAsia="en-GB"/>
        </w:rPr>
        <w:t xml:space="preserve">target is </w:t>
      </w:r>
      <w:r w:rsidR="00592010">
        <w:rPr>
          <w:rFonts w:eastAsia="Arial Unicode MS"/>
          <w:bdr w:val="nil"/>
          <w:lang w:eastAsia="en-GB"/>
        </w:rPr>
        <w:t>$</w:t>
      </w:r>
      <w:r w:rsidRPr="00C00F56">
        <w:rPr>
          <w:rFonts w:eastAsia="Arial Unicode MS"/>
          <w:bdr w:val="nil"/>
          <w:lang w:eastAsia="en-GB"/>
        </w:rPr>
        <w:t xml:space="preserve">150 million) from the </w:t>
      </w:r>
      <w:hyperlink r:id="rId17">
        <w:r w:rsidRPr="00C00F56">
          <w:rPr>
            <w:rFonts w:eastAsia="Arial Unicode MS"/>
            <w:bdr w:val="nil"/>
            <w:lang w:eastAsia="en-GB"/>
          </w:rPr>
          <w:t>Government</w:t>
        </w:r>
        <w:r w:rsidR="0058545F">
          <w:rPr>
            <w:rFonts w:eastAsia="Arial Unicode MS"/>
            <w:bdr w:val="nil"/>
            <w:lang w:eastAsia="en-GB"/>
          </w:rPr>
          <w:t xml:space="preserve"> of the Netherlands</w:t>
        </w:r>
        <w:r w:rsidRPr="00C00F56">
          <w:rPr>
            <w:rFonts w:eastAsia="Arial Unicode MS"/>
            <w:bdr w:val="nil"/>
            <w:lang w:eastAsia="en-GB"/>
          </w:rPr>
          <w:t>, Rabobank</w:t>
        </w:r>
      </w:hyperlink>
      <w:r w:rsidRPr="00C00F56">
        <w:rPr>
          <w:rFonts w:eastAsia="Arial Unicode MS"/>
          <w:bdr w:val="nil"/>
          <w:lang w:eastAsia="en-GB"/>
        </w:rPr>
        <w:t xml:space="preserve"> and </w:t>
      </w:r>
      <w:hyperlink r:id="rId18">
        <w:r w:rsidRPr="00C00F56">
          <w:rPr>
            <w:rFonts w:eastAsia="Arial Unicode MS"/>
            <w:bdr w:val="nil"/>
            <w:lang w:eastAsia="en-GB"/>
          </w:rPr>
          <w:t>GEF</w:t>
        </w:r>
      </w:hyperlink>
      <w:r w:rsidRPr="00C00F56">
        <w:rPr>
          <w:rFonts w:eastAsia="Arial Unicode MS"/>
          <w:bdr w:val="nil"/>
          <w:lang w:eastAsia="en-GB"/>
        </w:rPr>
        <w:t xml:space="preserve">. The </w:t>
      </w:r>
      <w:r w:rsidR="0043116E">
        <w:rPr>
          <w:rFonts w:eastAsia="Arial Unicode MS"/>
          <w:bdr w:val="nil"/>
          <w:lang w:eastAsia="en-GB"/>
        </w:rPr>
        <w:t>F</w:t>
      </w:r>
      <w:r w:rsidRPr="00C00F56">
        <w:rPr>
          <w:rFonts w:eastAsia="Arial Unicode MS"/>
          <w:bdr w:val="nil"/>
          <w:lang w:eastAsia="en-GB"/>
        </w:rPr>
        <w:t xml:space="preserve">und is important to meet the </w:t>
      </w:r>
      <w:hyperlink r:id="rId19">
        <w:r w:rsidR="00592010">
          <w:rPr>
            <w:rFonts w:eastAsia="Arial Unicode MS"/>
            <w:bdr w:val="nil"/>
            <w:lang w:eastAsia="en-GB"/>
          </w:rPr>
          <w:t>$</w:t>
        </w:r>
        <w:r w:rsidRPr="00C00F56">
          <w:rPr>
            <w:rFonts w:eastAsia="Arial Unicode MS"/>
            <w:bdr w:val="nil"/>
            <w:lang w:eastAsia="en-GB"/>
          </w:rPr>
          <w:t>1 billion</w:t>
        </w:r>
      </w:hyperlink>
      <w:r w:rsidRPr="00C00F56">
        <w:rPr>
          <w:rFonts w:eastAsia="Arial Unicode MS"/>
          <w:bdr w:val="nil"/>
          <w:lang w:eastAsia="en-GB"/>
        </w:rPr>
        <w:t xml:space="preserve"> objective that Rabobank and UNEP have set in terms of financing deforestation-free commodity production and other forms of sustainable land use.</w:t>
      </w:r>
    </w:p>
    <w:p w14:paraId="04618CED" w14:textId="33DFBF03" w:rsidR="0074679F" w:rsidRPr="0074679F" w:rsidRDefault="0074679F" w:rsidP="00E56F81">
      <w:pPr>
        <w:pStyle w:val="Normalnumber"/>
        <w:rPr>
          <w:bdr w:val="nil"/>
          <w:lang w:eastAsia="en-GB"/>
        </w:rPr>
      </w:pPr>
      <w:r w:rsidRPr="00C00F56">
        <w:rPr>
          <w:rFonts w:eastAsia="Arial Unicode MS"/>
          <w:bdr w:val="nil"/>
          <w:lang w:eastAsia="en-GB"/>
        </w:rPr>
        <w:t xml:space="preserve">UNEP partnered with the </w:t>
      </w:r>
      <w:hyperlink r:id="rId20">
        <w:r w:rsidRPr="00C00F56">
          <w:rPr>
            <w:rFonts w:eastAsia="Arial Unicode MS"/>
            <w:bdr w:val="nil"/>
            <w:lang w:eastAsia="en-GB"/>
          </w:rPr>
          <w:t>&amp;Green Fund</w:t>
        </w:r>
      </w:hyperlink>
      <w:r w:rsidRPr="00C00F56">
        <w:rPr>
          <w:rFonts w:eastAsia="Arial Unicode MS"/>
          <w:bdr w:val="nil"/>
          <w:lang w:eastAsia="en-GB"/>
        </w:rPr>
        <w:t xml:space="preserve">, </w:t>
      </w:r>
      <w:r w:rsidR="0068149B">
        <w:rPr>
          <w:rFonts w:eastAsia="Arial Unicode MS"/>
          <w:bdr w:val="nil"/>
          <w:lang w:eastAsia="en-GB"/>
        </w:rPr>
        <w:t xml:space="preserve">with </w:t>
      </w:r>
      <w:r w:rsidRPr="00C00F56">
        <w:rPr>
          <w:rFonts w:eastAsia="Arial Unicode MS"/>
          <w:bdr w:val="nil"/>
          <w:lang w:eastAsia="en-GB"/>
        </w:rPr>
        <w:t xml:space="preserve">capital </w:t>
      </w:r>
      <w:r w:rsidR="0068149B">
        <w:rPr>
          <w:rFonts w:eastAsia="Arial Unicode MS"/>
          <w:bdr w:val="nil"/>
          <w:lang w:eastAsia="en-GB"/>
        </w:rPr>
        <w:t>from</w:t>
      </w:r>
      <w:r w:rsidRPr="00C00F56">
        <w:rPr>
          <w:rFonts w:eastAsia="Arial Unicode MS"/>
          <w:bdr w:val="nil"/>
          <w:lang w:eastAsia="en-GB"/>
        </w:rPr>
        <w:t xml:space="preserve"> the Government</w:t>
      </w:r>
      <w:r w:rsidR="00475D11" w:rsidRPr="00475D11">
        <w:rPr>
          <w:rFonts w:eastAsia="Arial Unicode MS"/>
          <w:bdr w:val="nil"/>
          <w:lang w:eastAsia="en-GB"/>
        </w:rPr>
        <w:t xml:space="preserve"> </w:t>
      </w:r>
      <w:r w:rsidR="00475D11">
        <w:rPr>
          <w:rFonts w:eastAsia="Arial Unicode MS"/>
          <w:bdr w:val="nil"/>
          <w:lang w:eastAsia="en-GB"/>
        </w:rPr>
        <w:t xml:space="preserve">of </w:t>
      </w:r>
      <w:r w:rsidR="00475D11" w:rsidRPr="00C00F56">
        <w:rPr>
          <w:rFonts w:eastAsia="Arial Unicode MS"/>
          <w:bdr w:val="nil"/>
          <w:lang w:eastAsia="en-GB"/>
        </w:rPr>
        <w:t>Norw</w:t>
      </w:r>
      <w:r w:rsidR="00475D11">
        <w:rPr>
          <w:rFonts w:eastAsia="Arial Unicode MS"/>
          <w:bdr w:val="nil"/>
          <w:lang w:eastAsia="en-GB"/>
        </w:rPr>
        <w:t>ay</w:t>
      </w:r>
      <w:r w:rsidRPr="00C00F56">
        <w:rPr>
          <w:rFonts w:eastAsia="Arial Unicode MS"/>
          <w:bdr w:val="nil"/>
          <w:lang w:eastAsia="en-GB"/>
        </w:rPr>
        <w:t xml:space="preserve">, Unilever and GEF (through UNEP). Over the past year, &amp;Green </w:t>
      </w:r>
      <w:r w:rsidR="00DE61FC">
        <w:rPr>
          <w:rFonts w:eastAsia="Arial Unicode MS"/>
          <w:bdr w:val="nil"/>
          <w:lang w:eastAsia="en-GB"/>
        </w:rPr>
        <w:t xml:space="preserve">has </w:t>
      </w:r>
      <w:r w:rsidRPr="00C00F56">
        <w:rPr>
          <w:rFonts w:eastAsia="Arial Unicode MS"/>
          <w:bdr w:val="nil"/>
          <w:lang w:eastAsia="en-GB"/>
        </w:rPr>
        <w:t>invested in innovative transactions in sustainable rubber production and sustainable palm</w:t>
      </w:r>
      <w:r w:rsidRPr="0074679F">
        <w:rPr>
          <w:bdr w:val="nil"/>
          <w:lang w:eastAsia="en-GB"/>
        </w:rPr>
        <w:t xml:space="preserve"> oil in Indonesia</w:t>
      </w:r>
      <w:r w:rsidR="00DE61FC">
        <w:rPr>
          <w:bdr w:val="nil"/>
          <w:lang w:eastAsia="en-GB"/>
        </w:rPr>
        <w:t>, and</w:t>
      </w:r>
      <w:r w:rsidRPr="0074679F">
        <w:rPr>
          <w:bdr w:val="nil"/>
          <w:lang w:eastAsia="en-GB"/>
        </w:rPr>
        <w:t xml:space="preserve"> </w:t>
      </w:r>
      <w:r w:rsidR="00DE61FC">
        <w:rPr>
          <w:bdr w:val="nil"/>
          <w:lang w:eastAsia="en-GB"/>
        </w:rPr>
        <w:t xml:space="preserve">in </w:t>
      </w:r>
      <w:r w:rsidRPr="0074679F">
        <w:rPr>
          <w:bdr w:val="nil"/>
          <w:lang w:eastAsia="en-GB"/>
        </w:rPr>
        <w:t>a sustainable integrated soy</w:t>
      </w:r>
      <w:r w:rsidR="00DE61FC">
        <w:rPr>
          <w:bdr w:val="nil"/>
          <w:lang w:eastAsia="en-GB"/>
        </w:rPr>
        <w:t xml:space="preserve"> and </w:t>
      </w:r>
      <w:r w:rsidRPr="0074679F">
        <w:rPr>
          <w:bdr w:val="nil"/>
          <w:lang w:eastAsia="en-GB"/>
        </w:rPr>
        <w:t>cattle farm in Brazil to advance sustainable agriculture and food systems.</w:t>
      </w:r>
    </w:p>
    <w:p w14:paraId="09FDC005" w14:textId="21B8905D" w:rsidR="0074679F" w:rsidRPr="0074679F" w:rsidRDefault="0074679F" w:rsidP="00E56F81">
      <w:pPr>
        <w:pStyle w:val="Normalnumber"/>
        <w:rPr>
          <w:bdr w:val="nil"/>
          <w:lang w:eastAsia="en-GB"/>
        </w:rPr>
      </w:pPr>
      <w:r w:rsidRPr="0074679F">
        <w:rPr>
          <w:bdr w:val="nil"/>
          <w:lang w:eastAsia="en-GB"/>
        </w:rPr>
        <w:t xml:space="preserve">With support from Germany and Luxembourg, the Restoration Seed Capital Facility was established to promote private investment in forest landscape restoration. The new </w:t>
      </w:r>
      <w:r w:rsidR="008A3A66">
        <w:rPr>
          <w:bdr w:val="nil"/>
          <w:lang w:eastAsia="en-GB"/>
        </w:rPr>
        <w:t>F</w:t>
      </w:r>
      <w:r w:rsidR="00022BB7">
        <w:rPr>
          <w:bdr w:val="nil"/>
          <w:lang w:eastAsia="en-GB"/>
        </w:rPr>
        <w:t>acility</w:t>
      </w:r>
      <w:r w:rsidRPr="0074679F">
        <w:rPr>
          <w:bdr w:val="nil"/>
          <w:lang w:eastAsia="en-GB"/>
        </w:rPr>
        <w:t xml:space="preserve"> </w:t>
      </w:r>
      <w:r w:rsidR="00EB2B5B">
        <w:rPr>
          <w:bdr w:val="nil"/>
          <w:lang w:eastAsia="en-GB"/>
        </w:rPr>
        <w:t xml:space="preserve">is </w:t>
      </w:r>
      <w:r w:rsidRPr="0074679F">
        <w:rPr>
          <w:bdr w:val="nil"/>
          <w:lang w:eastAsia="en-GB"/>
        </w:rPr>
        <w:t>also provid</w:t>
      </w:r>
      <w:r w:rsidR="00EB2B5B">
        <w:rPr>
          <w:bdr w:val="nil"/>
          <w:lang w:eastAsia="en-GB"/>
        </w:rPr>
        <w:t>ing</w:t>
      </w:r>
      <w:r w:rsidRPr="0074679F">
        <w:rPr>
          <w:bdr w:val="nil"/>
          <w:lang w:eastAsia="en-GB"/>
        </w:rPr>
        <w:t xml:space="preserve"> technical support to fund managers and investment advisers on a cost-sharing basis to expand a sustainable project pipeline, with initial projects launching in 2021.</w:t>
      </w:r>
    </w:p>
    <w:p w14:paraId="60081363" w14:textId="40871461" w:rsidR="0074679F" w:rsidRPr="0074679F" w:rsidRDefault="0074679F" w:rsidP="00E56F81">
      <w:pPr>
        <w:pStyle w:val="Normalnumber"/>
        <w:rPr>
          <w:bdr w:val="nil"/>
          <w:lang w:eastAsia="en-GB"/>
        </w:rPr>
      </w:pPr>
      <w:r w:rsidRPr="0074679F">
        <w:rPr>
          <w:bdr w:val="nil"/>
          <w:lang w:eastAsia="en-GB"/>
        </w:rPr>
        <w:t>Analysis was initiated to capture the lessons learned from UNEP</w:t>
      </w:r>
      <w:r w:rsidR="0049754A">
        <w:rPr>
          <w:bdr w:val="nil"/>
          <w:lang w:eastAsia="en-GB"/>
        </w:rPr>
        <w:t>-</w:t>
      </w:r>
      <w:r w:rsidRPr="0074679F">
        <w:rPr>
          <w:bdr w:val="nil"/>
          <w:lang w:eastAsia="en-GB"/>
        </w:rPr>
        <w:t>supported finance facilities that support restoration and other nature-based solutions.</w:t>
      </w:r>
    </w:p>
    <w:p w14:paraId="1B557A35" w14:textId="5CD7CD88" w:rsidR="0074679F" w:rsidRPr="008A0D37" w:rsidRDefault="00E56F81" w:rsidP="00E56F81">
      <w:pPr>
        <w:pStyle w:val="CH2"/>
        <w:rPr>
          <w:lang w:eastAsia="en-GB"/>
        </w:rPr>
      </w:pPr>
      <w:r>
        <w:rPr>
          <w:lang w:eastAsia="en-GB"/>
        </w:rPr>
        <w:tab/>
      </w:r>
      <w:r w:rsidR="00C00F56" w:rsidRPr="008A0D37">
        <w:rPr>
          <w:lang w:eastAsia="en-GB"/>
        </w:rPr>
        <w:t>D.</w:t>
      </w:r>
      <w:r w:rsidRPr="008A0D37">
        <w:rPr>
          <w:lang w:eastAsia="en-GB"/>
        </w:rPr>
        <w:tab/>
      </w:r>
      <w:r w:rsidR="00DA01B2" w:rsidRPr="00886C82">
        <w:rPr>
          <w:lang w:eastAsia="en-GB"/>
        </w:rPr>
        <w:t>I</w:t>
      </w:r>
      <w:r w:rsidR="0074679F" w:rsidRPr="008A0D37">
        <w:rPr>
          <w:lang w:eastAsia="en-GB"/>
        </w:rPr>
        <w:t>ntegrat</w:t>
      </w:r>
      <w:r w:rsidR="00DA01B2" w:rsidRPr="00886C82">
        <w:rPr>
          <w:lang w:eastAsia="en-GB"/>
        </w:rPr>
        <w:t>ing</w:t>
      </w:r>
      <w:r w:rsidR="0074679F" w:rsidRPr="008A0D37">
        <w:rPr>
          <w:lang w:eastAsia="en-GB"/>
        </w:rPr>
        <w:t xml:space="preserve"> biodiversity and land degradation and desertification priorities</w:t>
      </w:r>
    </w:p>
    <w:p w14:paraId="19E44D76" w14:textId="4AB7F7DC" w:rsidR="0074679F" w:rsidRPr="00E56F81" w:rsidRDefault="0074679F" w:rsidP="00E56F81">
      <w:pPr>
        <w:pStyle w:val="Normalnumber"/>
        <w:rPr>
          <w:bdr w:val="nil"/>
          <w:lang w:eastAsia="en-GB"/>
        </w:rPr>
      </w:pPr>
      <w:r w:rsidRPr="00E56F81">
        <w:rPr>
          <w:bdr w:val="nil"/>
          <w:lang w:eastAsia="en-GB"/>
        </w:rPr>
        <w:t>UNEP developed a U</w:t>
      </w:r>
      <w:r w:rsidR="00141D85">
        <w:rPr>
          <w:bdr w:val="nil"/>
          <w:lang w:eastAsia="en-GB"/>
        </w:rPr>
        <w:t xml:space="preserve">nited </w:t>
      </w:r>
      <w:r w:rsidRPr="00E56F81">
        <w:rPr>
          <w:bdr w:val="nil"/>
          <w:lang w:eastAsia="en-GB"/>
        </w:rPr>
        <w:t>N</w:t>
      </w:r>
      <w:r w:rsidR="00141D85">
        <w:rPr>
          <w:bdr w:val="nil"/>
          <w:lang w:eastAsia="en-GB"/>
        </w:rPr>
        <w:t>ations</w:t>
      </w:r>
      <w:r w:rsidRPr="00E56F81">
        <w:rPr>
          <w:bdr w:val="nil"/>
          <w:lang w:eastAsia="en-GB"/>
        </w:rPr>
        <w:t xml:space="preserve">-wide action plan to deliver the Great Green Wall </w:t>
      </w:r>
      <w:r w:rsidR="00E93240" w:rsidRPr="00E93240">
        <w:rPr>
          <w:bdr w:val="nil"/>
          <w:lang w:eastAsia="en-GB"/>
        </w:rPr>
        <w:t xml:space="preserve">for the Sahara and the Sahel </w:t>
      </w:r>
      <w:r w:rsidRPr="00E56F81">
        <w:rPr>
          <w:bdr w:val="nil"/>
          <w:lang w:eastAsia="en-GB"/>
        </w:rPr>
        <w:t>Initiative, which will restore 100 million hectares of degraded land</w:t>
      </w:r>
      <w:r w:rsidR="00E93240">
        <w:rPr>
          <w:bdr w:val="nil"/>
          <w:lang w:eastAsia="en-GB"/>
        </w:rPr>
        <w:t>,</w:t>
      </w:r>
      <w:r w:rsidRPr="00E56F81">
        <w:rPr>
          <w:bdr w:val="nil"/>
          <w:lang w:eastAsia="en-GB"/>
        </w:rPr>
        <w:t xml:space="preserve"> sequester 250 million tons of </w:t>
      </w:r>
      <w:r w:rsidR="00E02F4B">
        <w:rPr>
          <w:bdr w:val="nil"/>
          <w:lang w:eastAsia="en-GB"/>
        </w:rPr>
        <w:t>carbon dioxide</w:t>
      </w:r>
      <w:r w:rsidRPr="00E56F81">
        <w:rPr>
          <w:bdr w:val="nil"/>
          <w:lang w:eastAsia="en-GB"/>
        </w:rPr>
        <w:t xml:space="preserve"> and create 10 million green jobs. In partnership with the World Bank, UNEP supported a fragility analysis in the Sahel. Additional and ongoing technical assistance improved understanding and linkages between </w:t>
      </w:r>
      <w:r w:rsidR="00991D64">
        <w:rPr>
          <w:bdr w:val="nil"/>
          <w:lang w:eastAsia="en-GB"/>
        </w:rPr>
        <w:t xml:space="preserve">the </w:t>
      </w:r>
      <w:r w:rsidRPr="00E56F81">
        <w:rPr>
          <w:bdr w:val="nil"/>
          <w:lang w:eastAsia="en-GB"/>
        </w:rPr>
        <w:t xml:space="preserve">environment and conflict </w:t>
      </w:r>
      <w:r w:rsidR="00991D64">
        <w:rPr>
          <w:bdr w:val="nil"/>
          <w:lang w:eastAsia="en-GB"/>
        </w:rPr>
        <w:t xml:space="preserve">in </w:t>
      </w:r>
      <w:r w:rsidRPr="00E56F81">
        <w:rPr>
          <w:bdr w:val="nil"/>
          <w:lang w:eastAsia="en-GB"/>
        </w:rPr>
        <w:t>the region, with various products in development.</w:t>
      </w:r>
    </w:p>
    <w:p w14:paraId="4D0DE207" w14:textId="6C1E48C7" w:rsidR="0074679F" w:rsidRPr="0074679F" w:rsidRDefault="003D1AD5" w:rsidP="00E56F81">
      <w:pPr>
        <w:pStyle w:val="Normalnumber"/>
        <w:rPr>
          <w:rFonts w:eastAsia="Arial Unicode MS"/>
          <w:color w:val="000000"/>
          <w:bdr w:val="nil"/>
          <w:lang w:val="en-US" w:eastAsia="en-GB"/>
        </w:rPr>
      </w:pPr>
      <w:r>
        <w:rPr>
          <w:rFonts w:eastAsia="Arial Unicode MS"/>
          <w:bdr w:val="nil"/>
          <w:lang w:val="en-ZA" w:eastAsia="en-GB"/>
        </w:rPr>
        <w:t>In a</w:t>
      </w:r>
      <w:r w:rsidR="0074679F" w:rsidRPr="0074679F">
        <w:rPr>
          <w:rFonts w:eastAsia="Arial Unicode MS"/>
          <w:bdr w:val="nil"/>
          <w:lang w:val="en-ZA" w:eastAsia="en-GB"/>
        </w:rPr>
        <w:t>ddition, a</w:t>
      </w:r>
      <w:r w:rsidR="0074679F" w:rsidRPr="0074679F">
        <w:rPr>
          <w:rFonts w:eastAsia="Arial Unicode MS"/>
          <w:color w:val="000000"/>
          <w:bdr w:val="nil"/>
          <w:lang w:val="en-US" w:eastAsia="en-GB"/>
        </w:rPr>
        <w:t xml:space="preserve"> draft proposal for the designation of 2026 as </w:t>
      </w:r>
      <w:r w:rsidR="00991D64">
        <w:rPr>
          <w:rFonts w:eastAsia="Arial Unicode MS"/>
          <w:color w:val="000000"/>
          <w:bdr w:val="nil"/>
          <w:lang w:val="en-US" w:eastAsia="en-GB"/>
        </w:rPr>
        <w:t xml:space="preserve">the </w:t>
      </w:r>
      <w:r w:rsidR="006D2239">
        <w:rPr>
          <w:rFonts w:eastAsia="Arial Unicode MS"/>
          <w:color w:val="000000"/>
          <w:bdr w:val="nil"/>
          <w:lang w:val="en-US" w:eastAsia="en-GB"/>
        </w:rPr>
        <w:t>i</w:t>
      </w:r>
      <w:r w:rsidR="0074679F" w:rsidRPr="0074679F">
        <w:rPr>
          <w:rFonts w:eastAsia="Arial Unicode MS"/>
          <w:color w:val="000000"/>
          <w:bdr w:val="nil"/>
          <w:lang w:val="en-US" w:eastAsia="en-GB"/>
        </w:rPr>
        <w:t xml:space="preserve">nternational </w:t>
      </w:r>
      <w:r w:rsidR="006D2239">
        <w:rPr>
          <w:rFonts w:eastAsia="Arial Unicode MS"/>
          <w:color w:val="000000"/>
          <w:bdr w:val="nil"/>
          <w:lang w:val="en-US" w:eastAsia="en-GB"/>
        </w:rPr>
        <w:t>y</w:t>
      </w:r>
      <w:r w:rsidR="0074679F" w:rsidRPr="0074679F">
        <w:rPr>
          <w:rFonts w:eastAsia="Arial Unicode MS"/>
          <w:color w:val="000000"/>
          <w:bdr w:val="nil"/>
          <w:lang w:val="en-US" w:eastAsia="en-GB"/>
        </w:rPr>
        <w:t xml:space="preserve">ear of </w:t>
      </w:r>
      <w:r w:rsidR="0087141B">
        <w:rPr>
          <w:rFonts w:eastAsia="Arial Unicode MS"/>
          <w:color w:val="000000"/>
          <w:bdr w:val="nil"/>
          <w:lang w:val="en-US" w:eastAsia="en-GB"/>
        </w:rPr>
        <w:t>r</w:t>
      </w:r>
      <w:r w:rsidR="0074679F" w:rsidRPr="0074679F">
        <w:rPr>
          <w:rFonts w:eastAsia="Arial Unicode MS"/>
          <w:color w:val="000000"/>
          <w:bdr w:val="nil"/>
          <w:lang w:val="en-US" w:eastAsia="en-GB"/>
        </w:rPr>
        <w:t xml:space="preserve">angelands and </w:t>
      </w:r>
      <w:r w:rsidR="0087141B">
        <w:rPr>
          <w:rFonts w:eastAsia="Arial Unicode MS"/>
          <w:color w:val="000000"/>
          <w:bdr w:val="nil"/>
          <w:lang w:val="en-US" w:eastAsia="en-GB"/>
        </w:rPr>
        <w:t>p</w:t>
      </w:r>
      <w:r w:rsidR="0074679F" w:rsidRPr="0074679F">
        <w:rPr>
          <w:rFonts w:eastAsia="Arial Unicode MS"/>
          <w:color w:val="000000"/>
          <w:bdr w:val="nil"/>
          <w:lang w:val="en-US" w:eastAsia="en-GB"/>
        </w:rPr>
        <w:t>astoralism was submitted with support from UNEP and other partners</w:t>
      </w:r>
      <w:r w:rsidR="00BF0540">
        <w:rPr>
          <w:rFonts w:eastAsia="Arial Unicode MS"/>
          <w:color w:val="000000"/>
          <w:bdr w:val="nil"/>
          <w:lang w:val="en-US" w:eastAsia="en-GB"/>
        </w:rPr>
        <w:t>,</w:t>
      </w:r>
      <w:r w:rsidR="0074679F" w:rsidRPr="0074679F">
        <w:rPr>
          <w:rFonts w:eastAsia="Arial Unicode MS"/>
          <w:color w:val="000000"/>
          <w:bdr w:val="nil"/>
          <w:lang w:val="en-US" w:eastAsia="en-GB"/>
        </w:rPr>
        <w:t xml:space="preserve"> such as </w:t>
      </w:r>
      <w:r w:rsidR="0087141B">
        <w:rPr>
          <w:rFonts w:eastAsia="Arial Unicode MS"/>
          <w:color w:val="000000"/>
          <w:bdr w:val="nil"/>
          <w:lang w:val="en-US" w:eastAsia="en-GB"/>
        </w:rPr>
        <w:t xml:space="preserve">the </w:t>
      </w:r>
      <w:r w:rsidR="0074679F" w:rsidRPr="00886C82">
        <w:rPr>
          <w:rFonts w:eastAsia="Arial Unicode MS"/>
          <w:bdr w:val="nil"/>
          <w:lang w:val="en-US" w:eastAsia="en-GB"/>
        </w:rPr>
        <w:t xml:space="preserve">International Livestock Research Institute, </w:t>
      </w:r>
      <w:r w:rsidR="003D17D2">
        <w:rPr>
          <w:rFonts w:eastAsia="Arial Unicode MS"/>
          <w:bdr w:val="nil"/>
          <w:lang w:val="en-US" w:eastAsia="en-GB"/>
        </w:rPr>
        <w:t>t</w:t>
      </w:r>
      <w:r w:rsidR="0074679F" w:rsidRPr="00886C82">
        <w:rPr>
          <w:rFonts w:eastAsia="Arial Unicode MS"/>
          <w:bdr w:val="nil"/>
          <w:lang w:val="en-US" w:eastAsia="en-GB"/>
        </w:rPr>
        <w:t>he International Union for Conservation of Nature</w:t>
      </w:r>
      <w:r w:rsidR="003D17D2">
        <w:rPr>
          <w:rFonts w:eastAsia="Arial Unicode MS"/>
          <w:bdr w:val="nil"/>
          <w:lang w:val="en-US" w:eastAsia="en-GB"/>
        </w:rPr>
        <w:t xml:space="preserve"> </w:t>
      </w:r>
      <w:r w:rsidR="003D17D2" w:rsidRPr="003D17D2">
        <w:rPr>
          <w:rFonts w:eastAsia="Arial Unicode MS"/>
          <w:bdr w:val="nil"/>
          <w:lang w:val="en-US" w:eastAsia="en-GB"/>
        </w:rPr>
        <w:t>and Natural Resources</w:t>
      </w:r>
      <w:r w:rsidR="0074679F" w:rsidRPr="0074679F">
        <w:rPr>
          <w:rFonts w:eastAsia="Arial Unicode MS"/>
          <w:bdr w:val="nil"/>
          <w:lang w:val="en-US" w:eastAsia="en-GB"/>
        </w:rPr>
        <w:t xml:space="preserve">, </w:t>
      </w:r>
      <w:r w:rsidR="0074679F" w:rsidRPr="00886C82">
        <w:rPr>
          <w:rFonts w:eastAsia="Arial Unicode MS"/>
          <w:bdr w:val="nil"/>
          <w:lang w:val="en-US" w:eastAsia="en-GB"/>
        </w:rPr>
        <w:t>FAO</w:t>
      </w:r>
      <w:r w:rsidR="0074679F" w:rsidRPr="001B0B33">
        <w:rPr>
          <w:rFonts w:eastAsia="Arial Unicode MS"/>
          <w:bdr w:val="nil"/>
          <w:lang w:val="en-US" w:eastAsia="en-GB"/>
        </w:rPr>
        <w:t xml:space="preserve">, the </w:t>
      </w:r>
      <w:r w:rsidR="0074679F" w:rsidRPr="00886C82">
        <w:rPr>
          <w:rFonts w:eastAsia="Arial Unicode MS"/>
          <w:bdr w:val="nil"/>
          <w:lang w:val="en-US" w:eastAsia="en-GB"/>
        </w:rPr>
        <w:t>International Center for Agricultural Research in the Dry Areas</w:t>
      </w:r>
      <w:r w:rsidR="0074679F" w:rsidRPr="001B0B33">
        <w:rPr>
          <w:rFonts w:eastAsia="Arial Unicode MS"/>
          <w:bdr w:val="nil"/>
          <w:lang w:val="en-US" w:eastAsia="en-GB"/>
        </w:rPr>
        <w:t xml:space="preserve"> </w:t>
      </w:r>
      <w:r w:rsidR="0074679F" w:rsidRPr="00886C82">
        <w:rPr>
          <w:rFonts w:eastAsia="Arial Unicode MS"/>
          <w:bdr w:val="nil"/>
          <w:lang w:val="en-US" w:eastAsia="en-GB"/>
        </w:rPr>
        <w:t>and the International Land Coalition</w:t>
      </w:r>
      <w:r w:rsidR="0074679F" w:rsidRPr="0074679F">
        <w:rPr>
          <w:rFonts w:eastAsia="Arial Unicode MS"/>
          <w:color w:val="000000"/>
          <w:bdr w:val="nil"/>
          <w:lang w:val="en-US" w:eastAsia="en-GB"/>
        </w:rPr>
        <w:t xml:space="preserve">, to mobilize additional actions for these issues, and to contribute to the </w:t>
      </w:r>
      <w:r w:rsidR="004B75D8">
        <w:rPr>
          <w:rFonts w:eastAsia="Arial Unicode MS"/>
          <w:bdr w:val="nil"/>
          <w:lang w:eastAsia="en-GB"/>
        </w:rPr>
        <w:t>g</w:t>
      </w:r>
      <w:r w:rsidR="0074679F" w:rsidRPr="0074679F">
        <w:rPr>
          <w:rFonts w:eastAsia="Arial Unicode MS"/>
          <w:bdr w:val="nil"/>
          <w:lang w:eastAsia="en-GB"/>
        </w:rPr>
        <w:t>lobal restoration agenda.</w:t>
      </w:r>
    </w:p>
    <w:p w14:paraId="5C2F2B3B" w14:textId="46509E38" w:rsidR="0074679F" w:rsidRPr="00E56F81" w:rsidRDefault="0074679F" w:rsidP="00E56F81">
      <w:pPr>
        <w:pStyle w:val="Normalnumber"/>
        <w:rPr>
          <w:bdr w:val="nil"/>
          <w:lang w:eastAsia="en-GB"/>
        </w:rPr>
      </w:pPr>
      <w:r w:rsidRPr="00E56F81">
        <w:rPr>
          <w:bdr w:val="nil"/>
          <w:lang w:eastAsia="en-GB"/>
        </w:rPr>
        <w:t xml:space="preserve">At the national level, UNEP provided technical assistance and resource mobilization resulting in new Global Climate </w:t>
      </w:r>
      <w:r w:rsidR="00862543">
        <w:rPr>
          <w:bdr w:val="nil"/>
          <w:lang w:eastAsia="en-GB"/>
        </w:rPr>
        <w:t xml:space="preserve">Partnership </w:t>
      </w:r>
      <w:r w:rsidRPr="00E56F81">
        <w:rPr>
          <w:bdr w:val="nil"/>
          <w:lang w:eastAsia="en-GB"/>
        </w:rPr>
        <w:t xml:space="preserve">Fund support to stop desertification in Mauritania. In partnership with FAO and the Global Soil </w:t>
      </w:r>
      <w:r w:rsidR="002A404E">
        <w:rPr>
          <w:bdr w:val="nil"/>
          <w:lang w:eastAsia="en-GB"/>
        </w:rPr>
        <w:t>P</w:t>
      </w:r>
      <w:r w:rsidRPr="00E56F81">
        <w:rPr>
          <w:bdr w:val="nil"/>
          <w:lang w:eastAsia="en-GB"/>
        </w:rPr>
        <w:t>artnership</w:t>
      </w:r>
      <w:r w:rsidR="00486055" w:rsidRPr="00486055">
        <w:rPr>
          <w:bdr w:val="nil"/>
          <w:lang w:eastAsia="en-GB"/>
        </w:rPr>
        <w:t xml:space="preserve"> for Food Security and Climate Change Adaptation and </w:t>
      </w:r>
      <w:r w:rsidR="00486055" w:rsidRPr="00486055">
        <w:rPr>
          <w:bdr w:val="nil"/>
          <w:lang w:eastAsia="en-GB"/>
        </w:rPr>
        <w:lastRenderedPageBreak/>
        <w:t>Mitigation</w:t>
      </w:r>
      <w:r w:rsidRPr="00E56F81">
        <w:rPr>
          <w:bdr w:val="nil"/>
          <w:lang w:eastAsia="en-GB"/>
        </w:rPr>
        <w:t xml:space="preserve">, technical work </w:t>
      </w:r>
      <w:r w:rsidR="00886C82">
        <w:rPr>
          <w:bdr w:val="nil"/>
          <w:lang w:eastAsia="en-GB"/>
        </w:rPr>
        <w:t>began</w:t>
      </w:r>
      <w:r w:rsidRPr="00E56F81">
        <w:rPr>
          <w:bdr w:val="nil"/>
          <w:lang w:eastAsia="en-GB"/>
        </w:rPr>
        <w:t xml:space="preserve"> on a global soil pollution report that will be launched during </w:t>
      </w:r>
      <w:r w:rsidR="00CB20F7" w:rsidRPr="00CB20F7">
        <w:rPr>
          <w:bdr w:val="nil"/>
          <w:lang w:eastAsia="en-GB"/>
        </w:rPr>
        <w:t>the fifth session of the Environment Assembly</w:t>
      </w:r>
      <w:r w:rsidRPr="00E56F81">
        <w:rPr>
          <w:bdr w:val="nil"/>
          <w:lang w:eastAsia="en-GB"/>
        </w:rPr>
        <w:t>.</w:t>
      </w:r>
    </w:p>
    <w:p w14:paraId="7484ADE6" w14:textId="02323218" w:rsidR="0074679F" w:rsidRPr="008A0D37" w:rsidRDefault="00E56F81" w:rsidP="00E56F81">
      <w:pPr>
        <w:pStyle w:val="CH2"/>
        <w:rPr>
          <w:lang w:eastAsia="en-GB"/>
        </w:rPr>
      </w:pPr>
      <w:r>
        <w:rPr>
          <w:lang w:eastAsia="en-GB"/>
        </w:rPr>
        <w:tab/>
      </w:r>
      <w:r w:rsidR="00C00F56" w:rsidRPr="008A0D37">
        <w:rPr>
          <w:lang w:eastAsia="en-GB"/>
        </w:rPr>
        <w:t>E.</w:t>
      </w:r>
      <w:r w:rsidRPr="008A0D37">
        <w:rPr>
          <w:lang w:eastAsia="en-GB"/>
        </w:rPr>
        <w:tab/>
      </w:r>
      <w:r w:rsidR="008F1D5D" w:rsidRPr="00886C82">
        <w:rPr>
          <w:lang w:eastAsia="en-GB"/>
        </w:rPr>
        <w:t>S</w:t>
      </w:r>
      <w:r w:rsidR="0074679F" w:rsidRPr="008A0D37">
        <w:rPr>
          <w:lang w:eastAsia="en-GB"/>
        </w:rPr>
        <w:t>upport</w:t>
      </w:r>
      <w:r w:rsidR="008F1D5D" w:rsidRPr="00886C82">
        <w:rPr>
          <w:lang w:eastAsia="en-GB"/>
        </w:rPr>
        <w:t>ing</w:t>
      </w:r>
      <w:r w:rsidR="0074679F" w:rsidRPr="008A0D37">
        <w:rPr>
          <w:lang w:eastAsia="en-GB"/>
        </w:rPr>
        <w:t xml:space="preserve"> the U</w:t>
      </w:r>
      <w:r w:rsidR="008F1D5D" w:rsidRPr="00886C82">
        <w:rPr>
          <w:lang w:eastAsia="en-GB"/>
        </w:rPr>
        <w:t xml:space="preserve">nited </w:t>
      </w:r>
      <w:r w:rsidR="0074679F" w:rsidRPr="008A0D37">
        <w:rPr>
          <w:lang w:eastAsia="en-GB"/>
        </w:rPr>
        <w:t>N</w:t>
      </w:r>
      <w:r w:rsidR="008F1D5D" w:rsidRPr="00886C82">
        <w:rPr>
          <w:lang w:eastAsia="en-GB"/>
        </w:rPr>
        <w:t>ations</w:t>
      </w:r>
      <w:r w:rsidR="0074679F" w:rsidRPr="008A0D37">
        <w:rPr>
          <w:lang w:eastAsia="en-GB"/>
        </w:rPr>
        <w:t xml:space="preserve"> Decade on Ecosystem Restoration</w:t>
      </w:r>
    </w:p>
    <w:p w14:paraId="083F2817" w14:textId="4C176CA4" w:rsidR="0074679F" w:rsidRPr="0074679F" w:rsidRDefault="0074679F" w:rsidP="00C83464">
      <w:pPr>
        <w:pStyle w:val="Normalnumber"/>
        <w:rPr>
          <w:rFonts w:eastAsia="Arial Unicode MS"/>
          <w:bdr w:val="nil"/>
          <w:lang w:eastAsia="en-GB"/>
        </w:rPr>
      </w:pPr>
      <w:r w:rsidRPr="0074679F">
        <w:rPr>
          <w:rFonts w:eastAsia="Arial Unicode MS"/>
          <w:bdr w:val="nil"/>
          <w:lang w:eastAsia="en-GB"/>
        </w:rPr>
        <w:t xml:space="preserve">A strategy to guide </w:t>
      </w:r>
      <w:r w:rsidR="007F2B31">
        <w:rPr>
          <w:rFonts w:eastAsia="Arial Unicode MS"/>
          <w:bdr w:val="nil"/>
          <w:lang w:eastAsia="en-GB"/>
        </w:rPr>
        <w:t xml:space="preserve">the </w:t>
      </w:r>
      <w:r w:rsidRPr="0074679F">
        <w:rPr>
          <w:rFonts w:eastAsia="Arial Unicode MS"/>
          <w:bdr w:val="nil"/>
          <w:lang w:eastAsia="en-GB"/>
        </w:rPr>
        <w:t xml:space="preserve">implementation </w:t>
      </w:r>
      <w:r w:rsidR="00A21A94">
        <w:rPr>
          <w:rFonts w:eastAsia="Arial Unicode MS"/>
          <w:bdr w:val="nil"/>
          <w:lang w:eastAsia="en-GB"/>
        </w:rPr>
        <w:t xml:space="preserve">of </w:t>
      </w:r>
      <w:r w:rsidR="00A21A94" w:rsidRPr="00A21A94">
        <w:rPr>
          <w:rFonts w:eastAsia="Arial Unicode MS"/>
          <w:bdr w:val="nil"/>
          <w:lang w:eastAsia="en-GB"/>
        </w:rPr>
        <w:t xml:space="preserve">the United Nations Decade on Ecosystem Restoration </w:t>
      </w:r>
      <w:r w:rsidRPr="0074679F">
        <w:rPr>
          <w:rFonts w:eastAsia="Arial Unicode MS"/>
          <w:bdr w:val="nil"/>
          <w:lang w:eastAsia="en-GB"/>
        </w:rPr>
        <w:t xml:space="preserve">was prepared through an open and inclusive consultative process, as exemplified by the more than 2,000 comments received from all over the world. Together with the Decade brand and identity, the strategy was launched in September 2020. </w:t>
      </w:r>
    </w:p>
    <w:p w14:paraId="466D4426" w14:textId="625B7FBF" w:rsidR="0074679F" w:rsidRPr="00E56F81" w:rsidRDefault="0074679F" w:rsidP="00C83464">
      <w:pPr>
        <w:pStyle w:val="Normalnumber"/>
        <w:rPr>
          <w:rFonts w:eastAsia="Arial Unicode MS"/>
          <w:bdr w:val="nil"/>
          <w:lang w:eastAsia="en-GB"/>
        </w:rPr>
      </w:pPr>
      <w:r w:rsidRPr="00E56F81">
        <w:rPr>
          <w:rFonts w:eastAsia="Arial Unicode MS"/>
          <w:bdr w:val="nil"/>
          <w:lang w:eastAsia="en-GB"/>
        </w:rPr>
        <w:t xml:space="preserve">The interactive and engaging </w:t>
      </w:r>
      <w:r w:rsidR="00BE7E37" w:rsidRPr="00E56F81">
        <w:rPr>
          <w:rFonts w:eastAsia="Arial Unicode MS"/>
          <w:bdr w:val="nil"/>
          <w:lang w:eastAsia="en-GB"/>
        </w:rPr>
        <w:t xml:space="preserve">Decade </w:t>
      </w:r>
      <w:r w:rsidRPr="00E56F81">
        <w:rPr>
          <w:rFonts w:eastAsia="Arial Unicode MS"/>
          <w:bdr w:val="nil"/>
          <w:lang w:eastAsia="en-GB"/>
        </w:rPr>
        <w:t xml:space="preserve">website was developed and </w:t>
      </w:r>
      <w:r w:rsidR="0001722E">
        <w:rPr>
          <w:rFonts w:eastAsia="Arial Unicode MS"/>
          <w:bdr w:val="nil"/>
          <w:lang w:eastAsia="en-GB"/>
        </w:rPr>
        <w:t xml:space="preserve">has been </w:t>
      </w:r>
      <w:r w:rsidRPr="00E56F81">
        <w:rPr>
          <w:rFonts w:eastAsia="Arial Unicode MS"/>
          <w:bdr w:val="nil"/>
          <w:lang w:eastAsia="en-GB"/>
        </w:rPr>
        <w:t>made operational</w:t>
      </w:r>
      <w:r w:rsidR="004374CA">
        <w:rPr>
          <w:rFonts w:eastAsia="Arial Unicode MS"/>
          <w:bdr w:val="nil"/>
          <w:lang w:eastAsia="en-GB"/>
        </w:rPr>
        <w:t>.</w:t>
      </w:r>
      <w:r w:rsidRPr="00E56F81">
        <w:rPr>
          <w:rFonts w:eastAsia="Arial Unicode MS"/>
          <w:bdr w:val="nil"/>
          <w:lang w:eastAsia="en-GB"/>
        </w:rPr>
        <w:t xml:space="preserve"> </w:t>
      </w:r>
      <w:r w:rsidR="004374CA">
        <w:rPr>
          <w:rFonts w:eastAsia="Arial Unicode MS"/>
          <w:bdr w:val="nil"/>
          <w:lang w:eastAsia="en-GB"/>
        </w:rPr>
        <w:t xml:space="preserve">It </w:t>
      </w:r>
      <w:r w:rsidRPr="00E56F81">
        <w:rPr>
          <w:rFonts w:eastAsia="Arial Unicode MS"/>
          <w:bdr w:val="nil"/>
          <w:lang w:eastAsia="en-GB"/>
        </w:rPr>
        <w:t>includ</w:t>
      </w:r>
      <w:r w:rsidR="004374CA">
        <w:rPr>
          <w:rFonts w:eastAsia="Arial Unicode MS"/>
          <w:bdr w:val="nil"/>
          <w:lang w:eastAsia="en-GB"/>
        </w:rPr>
        <w:t>es</w:t>
      </w:r>
      <w:r w:rsidRPr="00E56F81">
        <w:rPr>
          <w:rFonts w:eastAsia="Arial Unicode MS"/>
          <w:bdr w:val="nil"/>
          <w:lang w:eastAsia="en-GB"/>
        </w:rPr>
        <w:t xml:space="preserve"> multiple communication products such as a </w:t>
      </w:r>
      <w:r w:rsidR="00BD75C6">
        <w:rPr>
          <w:rFonts w:eastAsia="Arial Unicode MS"/>
          <w:bdr w:val="nil"/>
          <w:lang w:eastAsia="en-GB"/>
        </w:rPr>
        <w:t>b</w:t>
      </w:r>
      <w:r w:rsidRPr="00E56F81">
        <w:rPr>
          <w:rFonts w:eastAsia="Arial Unicode MS"/>
          <w:bdr w:val="nil"/>
          <w:lang w:eastAsia="en-GB"/>
        </w:rPr>
        <w:t xml:space="preserve">rand guide, a </w:t>
      </w:r>
      <w:r w:rsidR="00BD75C6">
        <w:rPr>
          <w:rFonts w:eastAsia="Arial Unicode MS"/>
          <w:bdr w:val="nil"/>
          <w:lang w:eastAsia="en-GB"/>
        </w:rPr>
        <w:t>p</w:t>
      </w:r>
      <w:r w:rsidRPr="00E56F81">
        <w:rPr>
          <w:rFonts w:eastAsia="Arial Unicode MS"/>
          <w:bdr w:val="nil"/>
          <w:lang w:eastAsia="en-GB"/>
        </w:rPr>
        <w:t xml:space="preserve">artnership </w:t>
      </w:r>
      <w:r w:rsidR="00BD75C6">
        <w:rPr>
          <w:rFonts w:eastAsia="Arial Unicode MS"/>
          <w:bdr w:val="nil"/>
          <w:lang w:eastAsia="en-GB"/>
        </w:rPr>
        <w:t>t</w:t>
      </w:r>
      <w:r w:rsidRPr="00E56F81">
        <w:rPr>
          <w:rFonts w:eastAsia="Arial Unicode MS"/>
          <w:bdr w:val="nil"/>
          <w:lang w:eastAsia="en-GB"/>
        </w:rPr>
        <w:t>oolkit and a suite of social media assets.</w:t>
      </w:r>
    </w:p>
    <w:p w14:paraId="62C7C287" w14:textId="6176DD83" w:rsidR="0074679F" w:rsidRPr="00E56F81" w:rsidRDefault="0074679F" w:rsidP="00C83464">
      <w:pPr>
        <w:pStyle w:val="Normalnumber"/>
        <w:rPr>
          <w:rFonts w:eastAsia="Arial Unicode MS"/>
          <w:bdr w:val="nil"/>
          <w:lang w:eastAsia="en-GB"/>
        </w:rPr>
      </w:pPr>
      <w:r w:rsidRPr="00E56F81">
        <w:rPr>
          <w:rFonts w:eastAsia="Arial Unicode MS"/>
          <w:bdr w:val="nil"/>
          <w:lang w:eastAsia="en-GB"/>
        </w:rPr>
        <w:t xml:space="preserve">A </w:t>
      </w:r>
      <w:r w:rsidR="00FA4D6B">
        <w:rPr>
          <w:rFonts w:eastAsia="Arial Unicode MS"/>
          <w:bdr w:val="nil"/>
          <w:lang w:eastAsia="en-GB"/>
        </w:rPr>
        <w:t>t</w:t>
      </w:r>
      <w:r w:rsidRPr="00E56F81">
        <w:rPr>
          <w:rFonts w:eastAsia="Arial Unicode MS"/>
          <w:bdr w:val="nil"/>
          <w:lang w:eastAsia="en-GB"/>
        </w:rPr>
        <w:t xml:space="preserve">ask </w:t>
      </w:r>
      <w:r w:rsidR="00FA4D6B">
        <w:rPr>
          <w:rFonts w:eastAsia="Arial Unicode MS"/>
          <w:bdr w:val="nil"/>
          <w:lang w:eastAsia="en-GB"/>
        </w:rPr>
        <w:t>f</w:t>
      </w:r>
      <w:r w:rsidRPr="00E56F81">
        <w:rPr>
          <w:rFonts w:eastAsia="Arial Unicode MS"/>
          <w:bdr w:val="nil"/>
          <w:lang w:eastAsia="en-GB"/>
        </w:rPr>
        <w:t xml:space="preserve">orce </w:t>
      </w:r>
      <w:r w:rsidR="004264A1" w:rsidRPr="00E56F81">
        <w:rPr>
          <w:rFonts w:eastAsia="Arial Unicode MS"/>
          <w:bdr w:val="nil"/>
          <w:lang w:eastAsia="en-GB"/>
        </w:rPr>
        <w:t xml:space="preserve">was created </w:t>
      </w:r>
      <w:r w:rsidR="004264A1">
        <w:rPr>
          <w:rFonts w:eastAsia="Arial Unicode MS"/>
          <w:bdr w:val="nil"/>
          <w:lang w:eastAsia="en-GB"/>
        </w:rPr>
        <w:t>to take</w:t>
      </w:r>
      <w:r w:rsidRPr="00E56F81">
        <w:rPr>
          <w:rFonts w:eastAsia="Arial Unicode MS"/>
          <w:bdr w:val="nil"/>
          <w:lang w:eastAsia="en-GB"/>
        </w:rPr>
        <w:t xml:space="preserve"> charge of monitoring and reporting </w:t>
      </w:r>
      <w:r w:rsidR="00DB02DC">
        <w:rPr>
          <w:rFonts w:eastAsia="Arial Unicode MS"/>
          <w:bdr w:val="nil"/>
          <w:lang w:eastAsia="en-GB"/>
        </w:rPr>
        <w:t xml:space="preserve">on </w:t>
      </w:r>
      <w:r w:rsidRPr="00E56F81">
        <w:rPr>
          <w:rFonts w:eastAsia="Arial Unicode MS"/>
          <w:bdr w:val="nil"/>
          <w:lang w:eastAsia="en-GB"/>
        </w:rPr>
        <w:t>the progress of restoration efforts through</w:t>
      </w:r>
      <w:r w:rsidR="00DB02DC">
        <w:rPr>
          <w:rFonts w:eastAsia="Arial Unicode MS"/>
          <w:bdr w:val="nil"/>
          <w:lang w:eastAsia="en-GB"/>
        </w:rPr>
        <w:t>out</w:t>
      </w:r>
      <w:r w:rsidRPr="00E56F81">
        <w:rPr>
          <w:rFonts w:eastAsia="Arial Unicode MS"/>
          <w:bdr w:val="nil"/>
          <w:lang w:eastAsia="en-GB"/>
        </w:rPr>
        <w:t xml:space="preserve"> the </w:t>
      </w:r>
      <w:r w:rsidR="006354FE">
        <w:rPr>
          <w:rFonts w:eastAsia="Arial Unicode MS"/>
          <w:bdr w:val="nil"/>
          <w:lang w:eastAsia="en-GB"/>
        </w:rPr>
        <w:t>D</w:t>
      </w:r>
      <w:r w:rsidRPr="00E56F81">
        <w:rPr>
          <w:rFonts w:eastAsia="Arial Unicode MS"/>
          <w:bdr w:val="nil"/>
          <w:lang w:eastAsia="en-GB"/>
        </w:rPr>
        <w:t xml:space="preserve">ecade. In the </w:t>
      </w:r>
      <w:r w:rsidR="00BC3989">
        <w:rPr>
          <w:rFonts w:eastAsia="Arial Unicode MS"/>
          <w:bdr w:val="nil"/>
          <w:lang w:eastAsia="en-GB"/>
        </w:rPr>
        <w:t>forth</w:t>
      </w:r>
      <w:r w:rsidRPr="00E56F81">
        <w:rPr>
          <w:rFonts w:eastAsia="Arial Unicode MS"/>
          <w:bdr w:val="nil"/>
          <w:lang w:eastAsia="en-GB"/>
        </w:rPr>
        <w:t>coming months</w:t>
      </w:r>
      <w:r w:rsidR="00BC3989">
        <w:rPr>
          <w:rFonts w:eastAsia="Arial Unicode MS"/>
          <w:bdr w:val="nil"/>
          <w:lang w:eastAsia="en-GB"/>
        </w:rPr>
        <w:t>,</w:t>
      </w:r>
      <w:r w:rsidRPr="00E56F81">
        <w:rPr>
          <w:rFonts w:eastAsia="Arial Unicode MS"/>
          <w:bdr w:val="nil"/>
          <w:lang w:eastAsia="en-GB"/>
        </w:rPr>
        <w:t xml:space="preserve"> the monitoring framework will be finalized, under FAO and UNEP</w:t>
      </w:r>
      <w:r w:rsidR="005C5299">
        <w:rPr>
          <w:rFonts w:eastAsia="Arial Unicode MS"/>
          <w:bdr w:val="nil"/>
          <w:lang w:eastAsia="en-GB"/>
        </w:rPr>
        <w:t xml:space="preserve"> </w:t>
      </w:r>
      <w:r w:rsidR="005C5299" w:rsidRPr="0074679F">
        <w:t>World Conservation Monitoring Centr</w:t>
      </w:r>
      <w:r w:rsidR="005C5299">
        <w:t>e</w:t>
      </w:r>
      <w:r w:rsidRPr="00E56F81">
        <w:rPr>
          <w:rFonts w:eastAsia="Arial Unicode MS"/>
          <w:bdr w:val="nil"/>
          <w:lang w:eastAsia="en-GB"/>
        </w:rPr>
        <w:t xml:space="preserve"> coordination</w:t>
      </w:r>
      <w:r w:rsidR="002C0D2F">
        <w:rPr>
          <w:rFonts w:eastAsia="Arial Unicode MS"/>
          <w:bdr w:val="nil"/>
          <w:lang w:eastAsia="en-GB"/>
        </w:rPr>
        <w:t>,</w:t>
      </w:r>
      <w:r w:rsidRPr="00E56F81">
        <w:rPr>
          <w:rFonts w:eastAsia="Arial Unicode MS"/>
          <w:bdr w:val="nil"/>
          <w:lang w:eastAsia="en-GB"/>
        </w:rPr>
        <w:t xml:space="preserve"> with </w:t>
      </w:r>
      <w:r w:rsidR="003F2D0E">
        <w:rPr>
          <w:rFonts w:eastAsia="Arial Unicode MS"/>
          <w:bdr w:val="nil"/>
          <w:lang w:eastAsia="en-GB"/>
        </w:rPr>
        <w:t xml:space="preserve">more than </w:t>
      </w:r>
      <w:r w:rsidRPr="00E56F81">
        <w:rPr>
          <w:rFonts w:eastAsia="Arial Unicode MS"/>
          <w:bdr w:val="nil"/>
          <w:lang w:eastAsia="en-GB"/>
        </w:rPr>
        <w:t>60 organizations and 190 experts. T</w:t>
      </w:r>
      <w:r w:rsidR="003F2D0E">
        <w:rPr>
          <w:rFonts w:eastAsia="Arial Unicode MS"/>
          <w:bdr w:val="nil"/>
          <w:lang w:eastAsia="en-GB"/>
        </w:rPr>
        <w:t>he t</w:t>
      </w:r>
      <w:r w:rsidRPr="00E56F81">
        <w:rPr>
          <w:rFonts w:eastAsia="Arial Unicode MS"/>
          <w:bdr w:val="nil"/>
          <w:lang w:eastAsia="en-GB"/>
        </w:rPr>
        <w:t xml:space="preserve">ask force includes </w:t>
      </w:r>
      <w:r w:rsidR="003F2D0E">
        <w:rPr>
          <w:rFonts w:eastAsia="Arial Unicode MS"/>
          <w:bdr w:val="nil"/>
          <w:lang w:eastAsia="en-GB"/>
        </w:rPr>
        <w:t>e</w:t>
      </w:r>
      <w:r w:rsidRPr="00E56F81">
        <w:rPr>
          <w:rFonts w:eastAsia="Arial Unicode MS"/>
          <w:bdr w:val="nil"/>
          <w:lang w:eastAsia="en-GB"/>
        </w:rPr>
        <w:t xml:space="preserve">xperts from </w:t>
      </w:r>
      <w:r w:rsidR="004264A1">
        <w:rPr>
          <w:rFonts w:eastAsia="Arial Unicode MS"/>
          <w:bdr w:val="nil"/>
          <w:lang w:eastAsia="en-GB"/>
        </w:rPr>
        <w:t>entities</w:t>
      </w:r>
      <w:r w:rsidRPr="00E56F81">
        <w:rPr>
          <w:rFonts w:eastAsia="Arial Unicode MS"/>
          <w:bdr w:val="nil"/>
          <w:lang w:eastAsia="en-GB"/>
        </w:rPr>
        <w:t xml:space="preserve"> such as </w:t>
      </w:r>
      <w:r w:rsidR="003F2D0E">
        <w:rPr>
          <w:rFonts w:eastAsia="Arial Unicode MS"/>
          <w:bdr w:val="nil"/>
          <w:lang w:eastAsia="en-GB"/>
        </w:rPr>
        <w:t xml:space="preserve">the </w:t>
      </w:r>
      <w:r w:rsidRPr="00E56F81">
        <w:rPr>
          <w:rFonts w:eastAsia="Arial Unicode MS"/>
          <w:bdr w:val="nil"/>
          <w:lang w:eastAsia="en-GB"/>
        </w:rPr>
        <w:t xml:space="preserve">European Space Agency, </w:t>
      </w:r>
      <w:r w:rsidR="003F2D0E">
        <w:rPr>
          <w:rFonts w:eastAsia="Arial Unicode MS"/>
          <w:bdr w:val="nil"/>
          <w:lang w:eastAsia="en-GB"/>
        </w:rPr>
        <w:t xml:space="preserve">the </w:t>
      </w:r>
      <w:r w:rsidRPr="00E56F81">
        <w:rPr>
          <w:rFonts w:eastAsia="Arial Unicode MS"/>
          <w:bdr w:val="nil"/>
          <w:lang w:eastAsia="en-GB"/>
        </w:rPr>
        <w:t xml:space="preserve">World Resources Institute, </w:t>
      </w:r>
      <w:r w:rsidR="004164D5">
        <w:rPr>
          <w:rFonts w:eastAsia="Arial Unicode MS"/>
          <w:bdr w:val="nil"/>
          <w:lang w:eastAsia="en-GB"/>
        </w:rPr>
        <w:t xml:space="preserve">the </w:t>
      </w:r>
      <w:r w:rsidR="004164D5" w:rsidRPr="004164D5">
        <w:rPr>
          <w:rFonts w:eastAsia="Arial Unicode MS"/>
          <w:bdr w:val="nil"/>
          <w:lang w:eastAsia="en-GB"/>
        </w:rPr>
        <w:t>International Union for Conservation of Nature and Natural Resources</w:t>
      </w:r>
      <w:r w:rsidRPr="00E56F81">
        <w:rPr>
          <w:rFonts w:eastAsia="Arial Unicode MS"/>
          <w:bdr w:val="nil"/>
          <w:lang w:eastAsia="en-GB"/>
        </w:rPr>
        <w:t xml:space="preserve"> and </w:t>
      </w:r>
      <w:r w:rsidR="00C352DA">
        <w:rPr>
          <w:rFonts w:eastAsia="Arial Unicode MS"/>
          <w:bdr w:val="nil"/>
          <w:lang w:eastAsia="en-GB"/>
        </w:rPr>
        <w:t xml:space="preserve">the </w:t>
      </w:r>
      <w:r w:rsidR="00C352DA" w:rsidRPr="00C352DA">
        <w:rPr>
          <w:rFonts w:eastAsia="Arial Unicode MS"/>
          <w:bdr w:val="nil"/>
          <w:lang w:eastAsia="en-GB"/>
        </w:rPr>
        <w:t>Intergovernmental Panel on Climate Change</w:t>
      </w:r>
      <w:r w:rsidRPr="00E56F81">
        <w:rPr>
          <w:rFonts w:eastAsia="Arial Unicode MS"/>
          <w:bdr w:val="nil"/>
          <w:lang w:eastAsia="en-GB"/>
        </w:rPr>
        <w:t>.</w:t>
      </w:r>
    </w:p>
    <w:p w14:paraId="294A2299" w14:textId="164ACDDB" w:rsidR="0074679F" w:rsidRPr="00E56F81" w:rsidRDefault="0074679F" w:rsidP="00C83464">
      <w:pPr>
        <w:pStyle w:val="Normalnumber"/>
        <w:rPr>
          <w:rFonts w:eastAsia="Arial Unicode MS"/>
          <w:bdr w:val="nil"/>
          <w:lang w:eastAsia="en-GB"/>
        </w:rPr>
      </w:pPr>
      <w:r w:rsidRPr="00E56F81">
        <w:rPr>
          <w:rFonts w:eastAsia="Arial Unicode MS"/>
          <w:bdr w:val="nil"/>
          <w:lang w:eastAsia="en-GB"/>
        </w:rPr>
        <w:t xml:space="preserve">Progress was made on establishing core </w:t>
      </w:r>
      <w:r w:rsidR="00AC6E93">
        <w:rPr>
          <w:rFonts w:eastAsia="Arial Unicode MS"/>
          <w:bdr w:val="nil"/>
          <w:lang w:eastAsia="en-GB"/>
        </w:rPr>
        <w:t>f</w:t>
      </w:r>
      <w:r w:rsidRPr="00E56F81">
        <w:rPr>
          <w:rFonts w:eastAsia="Arial Unicode MS"/>
          <w:bdr w:val="nil"/>
          <w:lang w:eastAsia="en-GB"/>
        </w:rPr>
        <w:t xml:space="preserve">lagship programmes and a </w:t>
      </w:r>
      <w:r w:rsidR="00117130">
        <w:rPr>
          <w:rFonts w:eastAsia="Arial Unicode MS"/>
          <w:bdr w:val="nil"/>
          <w:lang w:eastAsia="en-GB"/>
        </w:rPr>
        <w:t>m</w:t>
      </w:r>
      <w:r w:rsidRPr="00E56F81">
        <w:rPr>
          <w:rFonts w:eastAsia="Arial Unicode MS"/>
          <w:bdr w:val="nil"/>
          <w:lang w:eastAsia="en-GB"/>
        </w:rPr>
        <w:t>ulti</w:t>
      </w:r>
      <w:r w:rsidR="00117130">
        <w:rPr>
          <w:rFonts w:eastAsia="Arial Unicode MS"/>
          <w:bdr w:val="nil"/>
          <w:lang w:eastAsia="en-GB"/>
        </w:rPr>
        <w:t>-d</w:t>
      </w:r>
      <w:r w:rsidRPr="00E56F81">
        <w:rPr>
          <w:rFonts w:eastAsia="Arial Unicode MS"/>
          <w:bdr w:val="nil"/>
          <w:lang w:eastAsia="en-GB"/>
        </w:rPr>
        <w:t xml:space="preserve">onor </w:t>
      </w:r>
      <w:r w:rsidR="00117130">
        <w:rPr>
          <w:rFonts w:eastAsia="Arial Unicode MS"/>
          <w:bdr w:val="nil"/>
          <w:lang w:eastAsia="en-GB"/>
        </w:rPr>
        <w:t>t</w:t>
      </w:r>
      <w:r w:rsidRPr="00E56F81">
        <w:rPr>
          <w:rFonts w:eastAsia="Arial Unicode MS"/>
          <w:bdr w:val="nil"/>
          <w:lang w:eastAsia="en-GB"/>
        </w:rPr>
        <w:t xml:space="preserve">rust </w:t>
      </w:r>
      <w:r w:rsidR="00117130">
        <w:rPr>
          <w:rFonts w:eastAsia="Arial Unicode MS"/>
          <w:bdr w:val="nil"/>
          <w:lang w:eastAsia="en-GB"/>
        </w:rPr>
        <w:t>f</w:t>
      </w:r>
      <w:r w:rsidRPr="00E56F81">
        <w:rPr>
          <w:rFonts w:eastAsia="Arial Unicode MS"/>
          <w:bdr w:val="nil"/>
          <w:lang w:eastAsia="en-GB"/>
        </w:rPr>
        <w:t>und to fund strategic elements of the Decade and to incentivize broader action. The fund will be</w:t>
      </w:r>
      <w:r w:rsidR="00A16259">
        <w:rPr>
          <w:rFonts w:eastAsia="Arial Unicode MS"/>
          <w:bdr w:val="nil"/>
          <w:lang w:eastAsia="en-GB"/>
        </w:rPr>
        <w:t>come</w:t>
      </w:r>
      <w:r w:rsidRPr="00E56F81">
        <w:rPr>
          <w:rFonts w:eastAsia="Arial Unicode MS"/>
          <w:bdr w:val="nil"/>
          <w:lang w:eastAsia="en-GB"/>
        </w:rPr>
        <w:t xml:space="preserve"> operational in 2021.</w:t>
      </w:r>
    </w:p>
    <w:p w14:paraId="49A1CD2B" w14:textId="70819E10" w:rsidR="0074679F" w:rsidRPr="00E56F81" w:rsidRDefault="0074679F" w:rsidP="00C83464">
      <w:pPr>
        <w:pStyle w:val="Normalnumber"/>
        <w:rPr>
          <w:rFonts w:eastAsia="Arial Unicode MS"/>
          <w:bdr w:val="nil"/>
          <w:lang w:eastAsia="en-GB"/>
        </w:rPr>
      </w:pPr>
      <w:r w:rsidRPr="00E56F81">
        <w:rPr>
          <w:rFonts w:eastAsia="Arial Unicode MS"/>
          <w:bdr w:val="nil"/>
          <w:lang w:eastAsia="en-GB"/>
        </w:rPr>
        <w:t xml:space="preserve">Partnerships for </w:t>
      </w:r>
      <w:r w:rsidR="009644C9">
        <w:rPr>
          <w:rFonts w:eastAsia="Arial Unicode MS"/>
          <w:bdr w:val="nil"/>
          <w:lang w:eastAsia="en-GB"/>
        </w:rPr>
        <w:t xml:space="preserve">the </w:t>
      </w:r>
      <w:r w:rsidRPr="00E56F81">
        <w:rPr>
          <w:rFonts w:eastAsia="Arial Unicode MS"/>
          <w:bdr w:val="nil"/>
          <w:lang w:eastAsia="en-GB"/>
        </w:rPr>
        <w:t>implementation of the Decade goals have been established with</w:t>
      </w:r>
      <w:r w:rsidR="00447B4F">
        <w:rPr>
          <w:rFonts w:eastAsia="Arial Unicode MS"/>
          <w:bdr w:val="nil"/>
          <w:lang w:eastAsia="en-GB"/>
        </w:rPr>
        <w:t xml:space="preserve">, inter alia, </w:t>
      </w:r>
      <w:r w:rsidRPr="00E56F81">
        <w:rPr>
          <w:rFonts w:eastAsia="Arial Unicode MS"/>
          <w:bdr w:val="nil"/>
          <w:lang w:eastAsia="en-GB"/>
        </w:rPr>
        <w:t xml:space="preserve"> </w:t>
      </w:r>
      <w:r w:rsidR="00E75212">
        <w:rPr>
          <w:rFonts w:eastAsia="Arial Unicode MS"/>
          <w:bdr w:val="nil"/>
          <w:lang w:eastAsia="en-GB"/>
        </w:rPr>
        <w:t xml:space="preserve">the </w:t>
      </w:r>
      <w:r w:rsidR="00E75212" w:rsidRPr="00E75212">
        <w:rPr>
          <w:rFonts w:eastAsia="Arial Unicode MS"/>
          <w:bdr w:val="nil"/>
          <w:lang w:eastAsia="en-GB"/>
        </w:rPr>
        <w:t>United Nations Educational, Scientific and Cultural Organization</w:t>
      </w:r>
      <w:r w:rsidRPr="00E56F81">
        <w:rPr>
          <w:rFonts w:eastAsia="Arial Unicode MS"/>
          <w:bdr w:val="nil"/>
          <w:lang w:eastAsia="en-GB"/>
        </w:rPr>
        <w:t xml:space="preserve">, the secretariats of the three Rio conventions, </w:t>
      </w:r>
      <w:r w:rsidR="00380DAE">
        <w:rPr>
          <w:rFonts w:eastAsia="Arial Unicode MS"/>
          <w:bdr w:val="nil"/>
          <w:lang w:eastAsia="en-GB"/>
        </w:rPr>
        <w:t xml:space="preserve">the </w:t>
      </w:r>
      <w:r w:rsidR="00A47F94" w:rsidRPr="00A47F94">
        <w:rPr>
          <w:rFonts w:eastAsia="Arial Unicode MS"/>
          <w:bdr w:val="nil"/>
          <w:lang w:eastAsia="en-GB"/>
        </w:rPr>
        <w:t>International Union for Conservation of Nature</w:t>
      </w:r>
      <w:r w:rsidRPr="00E56F81">
        <w:rPr>
          <w:rFonts w:eastAsia="Arial Unicode MS"/>
          <w:bdr w:val="nil"/>
          <w:lang w:eastAsia="en-GB"/>
        </w:rPr>
        <w:t xml:space="preserve">, </w:t>
      </w:r>
      <w:r w:rsidR="0062103A">
        <w:rPr>
          <w:rFonts w:eastAsia="Arial Unicode MS"/>
          <w:bdr w:val="nil"/>
          <w:lang w:eastAsia="en-GB"/>
        </w:rPr>
        <w:t>the Global Landscapes Forum</w:t>
      </w:r>
      <w:r w:rsidRPr="00E56F81">
        <w:rPr>
          <w:rFonts w:eastAsia="Arial Unicode MS"/>
          <w:bdr w:val="nil"/>
          <w:lang w:eastAsia="en-GB"/>
        </w:rPr>
        <w:t xml:space="preserve">, </w:t>
      </w:r>
      <w:r w:rsidR="00297148">
        <w:rPr>
          <w:rFonts w:eastAsia="Arial Unicode MS"/>
          <w:bdr w:val="nil"/>
          <w:lang w:eastAsia="en-GB"/>
        </w:rPr>
        <w:t xml:space="preserve">the </w:t>
      </w:r>
      <w:r w:rsidR="00297148" w:rsidRPr="00E56F81">
        <w:rPr>
          <w:rFonts w:eastAsia="Arial Unicode MS"/>
          <w:bdr w:val="nil"/>
          <w:lang w:eastAsia="en-GB"/>
        </w:rPr>
        <w:t>World Resources Institute</w:t>
      </w:r>
      <w:r w:rsidRPr="00E56F81">
        <w:rPr>
          <w:rFonts w:eastAsia="Arial Unicode MS"/>
          <w:bdr w:val="nil"/>
          <w:lang w:eastAsia="en-GB"/>
        </w:rPr>
        <w:t xml:space="preserve">, </w:t>
      </w:r>
      <w:r w:rsidR="000808B5">
        <w:rPr>
          <w:rFonts w:eastAsia="Arial Unicode MS"/>
          <w:bdr w:val="nil"/>
          <w:lang w:eastAsia="en-GB"/>
        </w:rPr>
        <w:t xml:space="preserve">the </w:t>
      </w:r>
      <w:r w:rsidR="00A43FAA" w:rsidRPr="00A43FAA">
        <w:rPr>
          <w:rFonts w:eastAsia="Arial Unicode MS"/>
          <w:bdr w:val="nil"/>
          <w:lang w:eastAsia="en-GB"/>
        </w:rPr>
        <w:t>World Economic Forum</w:t>
      </w:r>
      <w:r w:rsidRPr="00E56F81">
        <w:rPr>
          <w:rFonts w:eastAsia="Arial Unicode MS"/>
          <w:bdr w:val="nil"/>
          <w:lang w:eastAsia="en-GB"/>
        </w:rPr>
        <w:t xml:space="preserve"> and the </w:t>
      </w:r>
      <w:r w:rsidR="00A43FAA">
        <w:rPr>
          <w:rFonts w:eastAsia="Arial Unicode MS"/>
          <w:bdr w:val="nil"/>
          <w:lang w:eastAsia="en-GB"/>
        </w:rPr>
        <w:t>World Bank</w:t>
      </w:r>
      <w:r w:rsidRPr="00E56F81">
        <w:rPr>
          <w:rFonts w:eastAsia="Arial Unicode MS"/>
          <w:bdr w:val="nil"/>
          <w:lang w:eastAsia="en-GB"/>
        </w:rPr>
        <w:t xml:space="preserve"> to align activities and expand collaboration in support of restoration.</w:t>
      </w:r>
    </w:p>
    <w:p w14:paraId="03B74AC9" w14:textId="20C497C1" w:rsidR="0074679F" w:rsidRPr="00E56F81" w:rsidRDefault="00763119" w:rsidP="00C83464">
      <w:pPr>
        <w:pStyle w:val="Normalnumber"/>
        <w:rPr>
          <w:rFonts w:eastAsia="Arial Unicode MS"/>
          <w:bdr w:val="nil"/>
          <w:lang w:eastAsia="en-GB"/>
        </w:rPr>
      </w:pPr>
      <w:r>
        <w:rPr>
          <w:rFonts w:eastAsia="Arial Unicode MS"/>
          <w:bdr w:val="nil"/>
          <w:lang w:eastAsia="en-GB"/>
        </w:rPr>
        <w:t xml:space="preserve">The </w:t>
      </w:r>
      <w:r w:rsidR="0074679F" w:rsidRPr="00E56F81">
        <w:rPr>
          <w:rFonts w:eastAsia="Arial Unicode MS"/>
          <w:bdr w:val="nil"/>
          <w:lang w:eastAsia="en-GB"/>
        </w:rPr>
        <w:t>UNEP</w:t>
      </w:r>
      <w:r w:rsidR="005C5299">
        <w:rPr>
          <w:rFonts w:eastAsia="Arial Unicode MS"/>
          <w:bdr w:val="nil"/>
          <w:lang w:eastAsia="en-GB"/>
        </w:rPr>
        <w:t xml:space="preserve"> </w:t>
      </w:r>
      <w:r w:rsidR="003F2D0E" w:rsidRPr="0074679F">
        <w:t>World Conservation Monitoring Centr</w:t>
      </w:r>
      <w:r w:rsidR="003F2D0E">
        <w:t>e</w:t>
      </w:r>
      <w:r w:rsidR="0074679F" w:rsidRPr="00E56F81">
        <w:rPr>
          <w:rFonts w:eastAsia="Arial Unicode MS"/>
          <w:bdr w:val="nil"/>
          <w:lang w:eastAsia="en-GB"/>
        </w:rPr>
        <w:t>, as the data lead in the</w:t>
      </w:r>
      <w:r w:rsidR="00E56F81">
        <w:rPr>
          <w:rFonts w:eastAsia="Arial Unicode MS"/>
          <w:bdr w:val="nil"/>
          <w:lang w:eastAsia="en-GB"/>
        </w:rPr>
        <w:t xml:space="preserve"> </w:t>
      </w:r>
      <w:hyperlink r:id="rId21">
        <w:r w:rsidR="0074679F" w:rsidRPr="00886C82">
          <w:rPr>
            <w:rFonts w:eastAsia="Arial Unicode MS"/>
            <w:bdr w:val="nil"/>
            <w:lang w:eastAsia="en-GB"/>
          </w:rPr>
          <w:t>Nature Map</w:t>
        </w:r>
      </w:hyperlink>
      <w:r w:rsidR="00E56F81">
        <w:rPr>
          <w:rFonts w:eastAsia="Arial Unicode MS"/>
          <w:bdr w:val="nil"/>
          <w:lang w:eastAsia="en-GB"/>
        </w:rPr>
        <w:t xml:space="preserve"> </w:t>
      </w:r>
      <w:r w:rsidR="0074679F" w:rsidRPr="00E56F81">
        <w:rPr>
          <w:rFonts w:eastAsia="Arial Unicode MS"/>
          <w:bdr w:val="nil"/>
          <w:lang w:eastAsia="en-GB"/>
        </w:rPr>
        <w:t>consortium</w:t>
      </w:r>
      <w:r w:rsidR="00692C3D">
        <w:rPr>
          <w:rFonts w:eastAsia="Arial Unicode MS"/>
          <w:bdr w:val="nil"/>
          <w:lang w:eastAsia="en-GB"/>
        </w:rPr>
        <w:t>,</w:t>
      </w:r>
      <w:r w:rsidR="0074679F" w:rsidRPr="00E56F81">
        <w:rPr>
          <w:rFonts w:eastAsia="Arial Unicode MS"/>
          <w:bdr w:val="nil"/>
          <w:lang w:eastAsia="en-GB"/>
        </w:rPr>
        <w:t xml:space="preserve"> developed integrated global maps of priorities for restoration and conservation of biodiversity and carbon storage to support </w:t>
      </w:r>
      <w:r w:rsidR="00B1144E">
        <w:rPr>
          <w:rFonts w:eastAsia="Arial Unicode MS"/>
          <w:bdr w:val="nil"/>
          <w:lang w:eastAsia="en-GB"/>
        </w:rPr>
        <w:t>Member States</w:t>
      </w:r>
      <w:r w:rsidR="0074679F" w:rsidRPr="00E56F81">
        <w:rPr>
          <w:rFonts w:eastAsia="Arial Unicode MS"/>
          <w:bdr w:val="nil"/>
          <w:lang w:eastAsia="en-GB"/>
        </w:rPr>
        <w:t>.</w:t>
      </w:r>
    </w:p>
    <w:p w14:paraId="4A115F07" w14:textId="78C44F99" w:rsidR="0074679F" w:rsidRPr="008A0D37" w:rsidRDefault="00E56F81" w:rsidP="00E56F81">
      <w:pPr>
        <w:pStyle w:val="CH2"/>
      </w:pPr>
      <w:r>
        <w:tab/>
      </w:r>
      <w:r w:rsidR="00C00F56" w:rsidRPr="008A0D37">
        <w:t>F.</w:t>
      </w:r>
      <w:r w:rsidRPr="008A0D37">
        <w:tab/>
      </w:r>
      <w:r w:rsidR="008F1D5D" w:rsidRPr="00886C82">
        <w:t>R</w:t>
      </w:r>
      <w:r w:rsidR="0074679F" w:rsidRPr="008A0D37">
        <w:t>estor</w:t>
      </w:r>
      <w:r w:rsidR="008F1D5D" w:rsidRPr="00886C82">
        <w:t>ing</w:t>
      </w:r>
      <w:r w:rsidR="0074679F" w:rsidRPr="008A0D37">
        <w:t>, conserv</w:t>
      </w:r>
      <w:r w:rsidR="008F1D5D" w:rsidRPr="00886C82">
        <w:t>ing</w:t>
      </w:r>
      <w:r w:rsidR="0074679F" w:rsidRPr="008A0D37">
        <w:t xml:space="preserve"> and sustainably us</w:t>
      </w:r>
      <w:r w:rsidR="008F1D5D" w:rsidRPr="00886C82">
        <w:t>ing</w:t>
      </w:r>
      <w:r w:rsidR="0074679F" w:rsidRPr="008A0D37">
        <w:t xml:space="preserve"> bio</w:t>
      </w:r>
      <w:r w:rsidR="00B52E61" w:rsidRPr="00886C82">
        <w:t xml:space="preserve">logical </w:t>
      </w:r>
      <w:r w:rsidR="0074679F" w:rsidRPr="008A0D37">
        <w:t>diversity and strengthen</w:t>
      </w:r>
      <w:r w:rsidR="008F1D5D" w:rsidRPr="00886C82">
        <w:t>ing</w:t>
      </w:r>
      <w:r w:rsidR="0074679F" w:rsidRPr="008A0D37">
        <w:t xml:space="preserve"> ecosystem resilience</w:t>
      </w:r>
    </w:p>
    <w:p w14:paraId="5D7F8A56" w14:textId="131F9B31" w:rsidR="0074679F" w:rsidRPr="00E56F81" w:rsidRDefault="0074679F" w:rsidP="00771AE1">
      <w:pPr>
        <w:pStyle w:val="Normalnumber"/>
        <w:rPr>
          <w:rFonts w:eastAsia="Arial Unicode MS"/>
          <w:bdr w:val="nil"/>
          <w:lang w:eastAsia="en-GB"/>
        </w:rPr>
      </w:pPr>
      <w:r w:rsidRPr="00E56F81">
        <w:rPr>
          <w:rFonts w:eastAsia="Arial Unicode MS"/>
          <w:bdr w:val="nil"/>
          <w:lang w:eastAsia="en-GB"/>
        </w:rPr>
        <w:t xml:space="preserve">As a result of </w:t>
      </w:r>
      <w:r w:rsidR="00692C3D">
        <w:rPr>
          <w:rFonts w:eastAsia="Arial Unicode MS"/>
          <w:bdr w:val="nil"/>
          <w:lang w:eastAsia="en-GB"/>
        </w:rPr>
        <w:t xml:space="preserve">the </w:t>
      </w:r>
      <w:r w:rsidRPr="00E56F81">
        <w:rPr>
          <w:rFonts w:eastAsia="Arial Unicode MS"/>
          <w:bdr w:val="nil"/>
          <w:lang w:eastAsia="en-GB"/>
        </w:rPr>
        <w:t xml:space="preserve">UNEP projects executed through GEF financing, in the </w:t>
      </w:r>
      <w:r w:rsidR="00692C3D" w:rsidRPr="00E56F81">
        <w:rPr>
          <w:rFonts w:eastAsia="Arial Unicode MS"/>
          <w:bdr w:val="nil"/>
          <w:lang w:eastAsia="en-GB"/>
        </w:rPr>
        <w:t xml:space="preserve">reporting period </w:t>
      </w:r>
      <w:r w:rsidR="00692C3D">
        <w:rPr>
          <w:rFonts w:eastAsia="Arial Unicode MS"/>
          <w:bdr w:val="nil"/>
          <w:lang w:eastAsia="en-GB"/>
        </w:rPr>
        <w:t xml:space="preserve">from </w:t>
      </w:r>
      <w:r w:rsidRPr="00E56F81">
        <w:rPr>
          <w:rFonts w:eastAsia="Arial Unicode MS"/>
          <w:bdr w:val="nil"/>
          <w:lang w:eastAsia="en-GB"/>
        </w:rPr>
        <w:t xml:space="preserve">July 2019 </w:t>
      </w:r>
      <w:r w:rsidR="00692C3D">
        <w:rPr>
          <w:rFonts w:eastAsia="Arial Unicode MS"/>
          <w:bdr w:val="nil"/>
          <w:lang w:eastAsia="en-GB"/>
        </w:rPr>
        <w:t>to</w:t>
      </w:r>
      <w:r w:rsidRPr="00E56F81">
        <w:rPr>
          <w:rFonts w:eastAsia="Arial Unicode MS"/>
          <w:bdr w:val="nil"/>
          <w:lang w:eastAsia="en-GB"/>
        </w:rPr>
        <w:t xml:space="preserve"> Jun</w:t>
      </w:r>
      <w:r w:rsidR="00692C3D">
        <w:rPr>
          <w:rFonts w:eastAsia="Arial Unicode MS"/>
          <w:bdr w:val="nil"/>
          <w:lang w:eastAsia="en-GB"/>
        </w:rPr>
        <w:t>e</w:t>
      </w:r>
      <w:r w:rsidRPr="00E56F81">
        <w:rPr>
          <w:rFonts w:eastAsia="Arial Unicode MS"/>
          <w:bdr w:val="nil"/>
          <w:lang w:eastAsia="en-GB"/>
        </w:rPr>
        <w:t xml:space="preserve"> 2020, the following impacts were reported:</w:t>
      </w:r>
    </w:p>
    <w:p w14:paraId="00EAFD35" w14:textId="30A28236" w:rsidR="0074679F" w:rsidRPr="00E56F81" w:rsidRDefault="0074679F" w:rsidP="00771AE1">
      <w:pPr>
        <w:pStyle w:val="Normalnumber"/>
        <w:numPr>
          <w:ilvl w:val="1"/>
          <w:numId w:val="4"/>
        </w:numPr>
        <w:tabs>
          <w:tab w:val="clear" w:pos="1134"/>
        </w:tabs>
        <w:ind w:firstLine="624"/>
        <w:rPr>
          <w:rFonts w:eastAsia="Arial Unicode MS"/>
          <w:bdr w:val="nil"/>
          <w:lang w:eastAsia="en-GB"/>
        </w:rPr>
      </w:pPr>
      <w:r w:rsidRPr="00E56F81">
        <w:rPr>
          <w:rFonts w:eastAsia="Arial Unicode MS"/>
          <w:bdr w:val="nil"/>
          <w:lang w:eastAsia="en-GB"/>
        </w:rPr>
        <w:t>2 million hectares of agricultural land with increased productivity</w:t>
      </w:r>
      <w:r w:rsidR="00F33742">
        <w:rPr>
          <w:rFonts w:eastAsia="Arial Unicode MS"/>
          <w:bdr w:val="nil"/>
          <w:lang w:eastAsia="en-GB"/>
        </w:rPr>
        <w:t>;</w:t>
      </w:r>
    </w:p>
    <w:p w14:paraId="52008650" w14:textId="3E9159AD" w:rsidR="0074679F" w:rsidRPr="00E56F81" w:rsidRDefault="0074679F" w:rsidP="00771AE1">
      <w:pPr>
        <w:pStyle w:val="Normalnumber"/>
        <w:numPr>
          <w:ilvl w:val="1"/>
          <w:numId w:val="4"/>
        </w:numPr>
        <w:tabs>
          <w:tab w:val="clear" w:pos="1134"/>
        </w:tabs>
        <w:ind w:firstLine="624"/>
        <w:rPr>
          <w:rFonts w:eastAsia="Arial Unicode MS"/>
          <w:bdr w:val="nil"/>
          <w:lang w:eastAsia="en-GB"/>
        </w:rPr>
      </w:pPr>
      <w:r w:rsidRPr="00E56F81">
        <w:rPr>
          <w:rFonts w:eastAsia="Arial Unicode MS"/>
          <w:bdr w:val="nil"/>
          <w:lang w:eastAsia="en-GB"/>
        </w:rPr>
        <w:t xml:space="preserve">0.5 million hectares of land under improved agroecological and/or </w:t>
      </w:r>
      <w:r w:rsidR="001E4628">
        <w:rPr>
          <w:rFonts w:eastAsia="Arial Unicode MS"/>
          <w:bdr w:val="nil"/>
          <w:lang w:eastAsia="en-GB"/>
        </w:rPr>
        <w:br/>
      </w:r>
      <w:r w:rsidRPr="00E56F81">
        <w:rPr>
          <w:rFonts w:eastAsia="Arial Unicode MS"/>
          <w:bdr w:val="nil"/>
          <w:lang w:eastAsia="en-GB"/>
        </w:rPr>
        <w:t>biodiversity-friendly production</w:t>
      </w:r>
      <w:r w:rsidR="00F33742">
        <w:rPr>
          <w:rFonts w:eastAsia="Arial Unicode MS"/>
          <w:bdr w:val="nil"/>
          <w:lang w:eastAsia="en-GB"/>
        </w:rPr>
        <w:t>;</w:t>
      </w:r>
    </w:p>
    <w:p w14:paraId="792D7D68" w14:textId="343A62E0" w:rsidR="0074679F" w:rsidRPr="00E56F81" w:rsidRDefault="0074679F" w:rsidP="00771AE1">
      <w:pPr>
        <w:pStyle w:val="Normalnumber"/>
        <w:numPr>
          <w:ilvl w:val="1"/>
          <w:numId w:val="4"/>
        </w:numPr>
        <w:tabs>
          <w:tab w:val="clear" w:pos="1134"/>
        </w:tabs>
        <w:ind w:firstLine="624"/>
        <w:rPr>
          <w:rFonts w:eastAsia="Arial Unicode MS"/>
          <w:bdr w:val="nil"/>
          <w:lang w:eastAsia="en-GB"/>
        </w:rPr>
      </w:pPr>
      <w:r w:rsidRPr="00E56F81">
        <w:rPr>
          <w:rFonts w:eastAsia="Arial Unicode MS"/>
          <w:bdr w:val="nil"/>
          <w:lang w:eastAsia="en-GB"/>
        </w:rPr>
        <w:t>3.5 million hectares of protected areas under improved management</w:t>
      </w:r>
      <w:r w:rsidR="00F33742">
        <w:rPr>
          <w:rFonts w:eastAsia="Arial Unicode MS"/>
          <w:bdr w:val="nil"/>
          <w:lang w:eastAsia="en-GB"/>
        </w:rPr>
        <w:t>;</w:t>
      </w:r>
    </w:p>
    <w:p w14:paraId="6130FBFC" w14:textId="77777777" w:rsidR="0074679F" w:rsidRPr="00E56F81" w:rsidRDefault="0074679F" w:rsidP="00771AE1">
      <w:pPr>
        <w:pStyle w:val="Normalnumber"/>
        <w:numPr>
          <w:ilvl w:val="1"/>
          <w:numId w:val="4"/>
        </w:numPr>
        <w:tabs>
          <w:tab w:val="clear" w:pos="1134"/>
        </w:tabs>
        <w:ind w:firstLine="624"/>
        <w:rPr>
          <w:rFonts w:eastAsia="Arial Unicode MS"/>
          <w:bdr w:val="nil"/>
          <w:lang w:eastAsia="en-GB"/>
        </w:rPr>
      </w:pPr>
      <w:r w:rsidRPr="00E56F81">
        <w:rPr>
          <w:rFonts w:eastAsia="Arial Unicode MS"/>
          <w:bdr w:val="nil"/>
          <w:lang w:eastAsia="en-GB"/>
        </w:rPr>
        <w:t>1.7 million direct beneficiaries.</w:t>
      </w:r>
    </w:p>
    <w:p w14:paraId="409320FA" w14:textId="11608A7F" w:rsidR="0074679F" w:rsidRPr="00886C82" w:rsidRDefault="00E56F81" w:rsidP="00632C39">
      <w:pPr>
        <w:pStyle w:val="CH1"/>
        <w:rPr>
          <w:rFonts w:eastAsia="MS Mincho"/>
          <w:lang w:eastAsia="en-GB"/>
        </w:rPr>
      </w:pPr>
      <w:r>
        <w:rPr>
          <w:rFonts w:eastAsia="MS Mincho"/>
          <w:lang w:eastAsia="en-GB"/>
        </w:rPr>
        <w:tab/>
      </w:r>
      <w:r w:rsidR="0086592C">
        <w:rPr>
          <w:rFonts w:eastAsia="MS Mincho"/>
          <w:lang w:eastAsia="en-GB"/>
        </w:rPr>
        <w:t>II</w:t>
      </w:r>
      <w:r w:rsidR="00C00F56" w:rsidRPr="00886C82">
        <w:rPr>
          <w:rFonts w:eastAsia="MS Mincho"/>
          <w:lang w:eastAsia="en-GB"/>
        </w:rPr>
        <w:t>.</w:t>
      </w:r>
      <w:r w:rsidRPr="00886C82">
        <w:rPr>
          <w:rFonts w:eastAsia="MS Mincho"/>
          <w:lang w:eastAsia="en-GB"/>
        </w:rPr>
        <w:tab/>
      </w:r>
      <w:r w:rsidR="0074679F" w:rsidRPr="00886C82">
        <w:rPr>
          <w:rFonts w:eastAsia="MS Mincho"/>
          <w:lang w:eastAsia="en-GB"/>
        </w:rPr>
        <w:t>Lessons learn</w:t>
      </w:r>
      <w:r w:rsidR="00F33742">
        <w:rPr>
          <w:rFonts w:eastAsia="MS Mincho"/>
          <w:lang w:eastAsia="en-GB"/>
        </w:rPr>
        <w:t>ed</w:t>
      </w:r>
    </w:p>
    <w:p w14:paraId="279687E0" w14:textId="039B87F3" w:rsidR="0074679F" w:rsidRPr="00E56F81" w:rsidRDefault="0074679F" w:rsidP="00E56F81">
      <w:pPr>
        <w:pStyle w:val="Normalnumber"/>
        <w:rPr>
          <w:rFonts w:eastAsia="Arial Unicode MS"/>
          <w:bdr w:val="nil"/>
          <w:lang w:eastAsia="en-GB"/>
        </w:rPr>
      </w:pPr>
      <w:r w:rsidRPr="00E56F81">
        <w:rPr>
          <w:rFonts w:eastAsia="Arial Unicode MS"/>
          <w:bdr w:val="nil"/>
          <w:lang w:eastAsia="en-GB"/>
        </w:rPr>
        <w:t xml:space="preserve">The COVID-19 pandemic has further highlighted the importance of </w:t>
      </w:r>
      <w:r w:rsidR="00111386">
        <w:rPr>
          <w:rFonts w:eastAsia="Arial Unicode MS"/>
          <w:bdr w:val="nil"/>
          <w:lang w:eastAsia="en-GB"/>
        </w:rPr>
        <w:t>human</w:t>
      </w:r>
      <w:r w:rsidR="003A7A12">
        <w:rPr>
          <w:rFonts w:eastAsia="Arial Unicode MS"/>
          <w:bdr w:val="nil"/>
          <w:lang w:eastAsia="en-GB"/>
        </w:rPr>
        <w:t xml:space="preserve"> being</w:t>
      </w:r>
      <w:r w:rsidR="00111386">
        <w:rPr>
          <w:rFonts w:eastAsia="Arial Unicode MS"/>
          <w:bdr w:val="nil"/>
          <w:lang w:eastAsia="en-GB"/>
        </w:rPr>
        <w:t>s’</w:t>
      </w:r>
      <w:r w:rsidRPr="00E56F81">
        <w:rPr>
          <w:rFonts w:eastAsia="Arial Unicode MS"/>
          <w:bdr w:val="nil"/>
          <w:lang w:eastAsia="en-GB"/>
        </w:rPr>
        <w:t xml:space="preserve"> relationship with nature. As </w:t>
      </w:r>
      <w:r w:rsidR="00447B4F" w:rsidRPr="00E56F81">
        <w:rPr>
          <w:rFonts w:eastAsia="Arial Unicode MS"/>
          <w:bdr w:val="nil"/>
          <w:lang w:eastAsia="en-GB"/>
        </w:rPr>
        <w:t xml:space="preserve">plans </w:t>
      </w:r>
      <w:r w:rsidR="00447B4F">
        <w:rPr>
          <w:rFonts w:eastAsia="Arial Unicode MS"/>
          <w:bdr w:val="nil"/>
          <w:lang w:eastAsia="en-GB"/>
        </w:rPr>
        <w:t xml:space="preserve">for </w:t>
      </w:r>
      <w:r w:rsidRPr="00E56F81">
        <w:rPr>
          <w:rFonts w:eastAsia="Arial Unicode MS"/>
          <w:bdr w:val="nil"/>
          <w:lang w:eastAsia="en-GB"/>
        </w:rPr>
        <w:t>recovery following the COVID-19 pandemic are being developed, t</w:t>
      </w:r>
      <w:r w:rsidRPr="0074679F">
        <w:rPr>
          <w:rFonts w:eastAsia="Arial Unicode MS"/>
          <w:bdr w:val="nil"/>
          <w:lang w:eastAsia="en-GB"/>
        </w:rPr>
        <w:t xml:space="preserve">he United Nations Environment Assembly presents a key </w:t>
      </w:r>
      <w:r w:rsidRPr="00E56F81">
        <w:rPr>
          <w:rFonts w:eastAsia="Arial Unicode MS"/>
          <w:bdr w:val="nil"/>
          <w:lang w:eastAsia="en-GB"/>
        </w:rPr>
        <w:t>opportunity to raise ambitions and accelerate systemic interventions that place nature at the very centr</w:t>
      </w:r>
      <w:r w:rsidR="00111386">
        <w:rPr>
          <w:rFonts w:eastAsia="Arial Unicode MS"/>
          <w:bdr w:val="nil"/>
          <w:lang w:eastAsia="en-GB"/>
        </w:rPr>
        <w:t>e</w:t>
      </w:r>
      <w:r w:rsidRPr="00E56F81">
        <w:rPr>
          <w:rFonts w:eastAsia="Arial Unicode MS"/>
          <w:bdr w:val="nil"/>
          <w:lang w:eastAsia="en-GB"/>
        </w:rPr>
        <w:t xml:space="preserve"> of recovery and transformation.</w:t>
      </w:r>
    </w:p>
    <w:p w14:paraId="4EDCEB95" w14:textId="246844B2" w:rsidR="0074679F" w:rsidRPr="00E56F81" w:rsidRDefault="0074679F" w:rsidP="00E56F81">
      <w:pPr>
        <w:pStyle w:val="Normalnumber"/>
        <w:rPr>
          <w:rFonts w:eastAsia="Arial Unicode MS"/>
          <w:bdr w:val="nil"/>
          <w:lang w:eastAsia="en-GB"/>
        </w:rPr>
      </w:pPr>
      <w:r w:rsidRPr="00E56F81">
        <w:rPr>
          <w:rFonts w:eastAsia="Arial Unicode MS"/>
          <w:bdr w:val="nil"/>
          <w:lang w:eastAsia="en-GB"/>
        </w:rPr>
        <w:t xml:space="preserve">COVID-19 has drawn attention to </w:t>
      </w:r>
      <w:r w:rsidR="00D4392F">
        <w:rPr>
          <w:rFonts w:eastAsia="Arial Unicode MS"/>
          <w:bdr w:val="nil"/>
          <w:lang w:eastAsia="en-GB"/>
        </w:rPr>
        <w:t xml:space="preserve">the </w:t>
      </w:r>
      <w:r w:rsidRPr="00E56F81">
        <w:rPr>
          <w:rFonts w:eastAsia="Arial Unicode MS"/>
          <w:bdr w:val="nil"/>
          <w:lang w:eastAsia="en-GB"/>
        </w:rPr>
        <w:t xml:space="preserve">risks of zoonotic diseases and the need for enhanced environmental dimensions of </w:t>
      </w:r>
      <w:r w:rsidR="00B937B1">
        <w:rPr>
          <w:rFonts w:eastAsia="Arial Unicode MS"/>
          <w:bdr w:val="nil"/>
          <w:lang w:eastAsia="en-GB"/>
        </w:rPr>
        <w:t>“</w:t>
      </w:r>
      <w:r w:rsidRPr="00E56F81">
        <w:rPr>
          <w:rFonts w:eastAsia="Arial Unicode MS"/>
          <w:bdr w:val="nil"/>
          <w:lang w:eastAsia="en-GB"/>
        </w:rPr>
        <w:t>One Health</w:t>
      </w:r>
      <w:r w:rsidR="00B937B1">
        <w:rPr>
          <w:rFonts w:eastAsia="Arial Unicode MS"/>
          <w:bdr w:val="nil"/>
          <w:lang w:eastAsia="en-GB"/>
        </w:rPr>
        <w:t>”</w:t>
      </w:r>
      <w:r w:rsidRPr="00E56F81">
        <w:rPr>
          <w:rFonts w:eastAsia="Arial Unicode MS"/>
          <w:bdr w:val="nil"/>
          <w:lang w:eastAsia="en-GB"/>
        </w:rPr>
        <w:t xml:space="preserve"> approaches. There is a need to ensure nuanced, </w:t>
      </w:r>
      <w:r w:rsidR="001E4628">
        <w:rPr>
          <w:rFonts w:eastAsia="Arial Unicode MS"/>
          <w:bdr w:val="nil"/>
          <w:lang w:eastAsia="en-GB"/>
        </w:rPr>
        <w:br/>
      </w:r>
      <w:r w:rsidRPr="00E56F81">
        <w:rPr>
          <w:rFonts w:eastAsia="Arial Unicode MS"/>
          <w:bdr w:val="nil"/>
          <w:lang w:eastAsia="en-GB"/>
        </w:rPr>
        <w:t>science-centred discourse on how to address these issues as part of the global, regional and national responses.</w:t>
      </w:r>
    </w:p>
    <w:p w14:paraId="0B2785EC" w14:textId="16F8968F" w:rsidR="0074679F" w:rsidRPr="00E56F81" w:rsidRDefault="0074679F" w:rsidP="00E56F81">
      <w:pPr>
        <w:pStyle w:val="Normalnumber"/>
        <w:rPr>
          <w:rFonts w:eastAsia="Arial Unicode MS"/>
          <w:bdr w:val="nil"/>
          <w:lang w:eastAsia="en-GB"/>
        </w:rPr>
      </w:pPr>
      <w:r w:rsidRPr="00E56F81">
        <w:rPr>
          <w:rFonts w:eastAsia="Arial Unicode MS"/>
          <w:bdr w:val="nil"/>
          <w:lang w:eastAsia="en-GB"/>
        </w:rPr>
        <w:t xml:space="preserve">To deliver the transformative change anticipated by the </w:t>
      </w:r>
      <w:r w:rsidR="00B049FE">
        <w:rPr>
          <w:rFonts w:eastAsia="Arial Unicode MS"/>
          <w:bdr w:val="nil"/>
          <w:lang w:eastAsia="en-GB"/>
        </w:rPr>
        <w:t>p</w:t>
      </w:r>
      <w:r w:rsidRPr="00E56F81">
        <w:rPr>
          <w:rFonts w:eastAsia="Arial Unicode MS"/>
          <w:bdr w:val="nil"/>
          <w:lang w:eastAsia="en-GB"/>
        </w:rPr>
        <w:t>ost</w:t>
      </w:r>
      <w:r w:rsidR="00B049FE">
        <w:rPr>
          <w:rFonts w:eastAsia="Arial Unicode MS"/>
          <w:bdr w:val="nil"/>
          <w:lang w:eastAsia="en-GB"/>
        </w:rPr>
        <w:t>-</w:t>
      </w:r>
      <w:r w:rsidRPr="00E56F81">
        <w:rPr>
          <w:rFonts w:eastAsia="Arial Unicode MS"/>
          <w:bdr w:val="nil"/>
          <w:lang w:eastAsia="en-GB"/>
        </w:rPr>
        <w:t xml:space="preserve">2020 </w:t>
      </w:r>
      <w:r w:rsidR="00B049FE">
        <w:rPr>
          <w:rFonts w:eastAsia="Arial Unicode MS"/>
          <w:bdr w:val="nil"/>
          <w:lang w:eastAsia="en-GB"/>
        </w:rPr>
        <w:t>g</w:t>
      </w:r>
      <w:r w:rsidRPr="00E56F81">
        <w:rPr>
          <w:rFonts w:eastAsia="Arial Unicode MS"/>
          <w:bdr w:val="nil"/>
          <w:lang w:eastAsia="en-GB"/>
        </w:rPr>
        <w:t xml:space="preserve">lobal </w:t>
      </w:r>
      <w:r w:rsidR="00B049FE">
        <w:rPr>
          <w:rFonts w:eastAsia="Arial Unicode MS"/>
          <w:bdr w:val="nil"/>
          <w:lang w:eastAsia="en-GB"/>
        </w:rPr>
        <w:t>b</w:t>
      </w:r>
      <w:r w:rsidRPr="00E56F81">
        <w:rPr>
          <w:rFonts w:eastAsia="Arial Unicode MS"/>
          <w:bdr w:val="nil"/>
          <w:lang w:eastAsia="en-GB"/>
        </w:rPr>
        <w:t xml:space="preserve">iodiversity </w:t>
      </w:r>
      <w:r w:rsidR="00B049FE">
        <w:rPr>
          <w:rFonts w:eastAsia="Arial Unicode MS"/>
          <w:bdr w:val="nil"/>
          <w:lang w:eastAsia="en-GB"/>
        </w:rPr>
        <w:t>f</w:t>
      </w:r>
      <w:r w:rsidRPr="00E56F81">
        <w:rPr>
          <w:rFonts w:eastAsia="Arial Unicode MS"/>
          <w:bdr w:val="nil"/>
          <w:lang w:eastAsia="en-GB"/>
        </w:rPr>
        <w:t>ramework, more collective action is needed to secure the tangible engagement and support of actors beyond</w:t>
      </w:r>
      <w:r w:rsidR="00BD1ED7">
        <w:rPr>
          <w:rFonts w:eastAsia="Arial Unicode MS"/>
          <w:bdr w:val="nil"/>
          <w:lang w:eastAsia="en-GB"/>
        </w:rPr>
        <w:t xml:space="preserve"> those usually considered relevant in such contexts</w:t>
      </w:r>
      <w:r w:rsidR="00253083">
        <w:rPr>
          <w:rFonts w:eastAsia="Arial Unicode MS"/>
          <w:bdr w:val="nil"/>
          <w:lang w:eastAsia="en-GB"/>
        </w:rPr>
        <w:t>,</w:t>
      </w:r>
      <w:r w:rsidRPr="00E56F81">
        <w:rPr>
          <w:rFonts w:eastAsia="Arial Unicode MS"/>
          <w:bdr w:val="nil"/>
          <w:lang w:eastAsia="en-GB"/>
        </w:rPr>
        <w:t xml:space="preserve"> including </w:t>
      </w:r>
      <w:r w:rsidR="00253083">
        <w:rPr>
          <w:rFonts w:eastAsia="Arial Unicode MS"/>
          <w:bdr w:val="nil"/>
          <w:lang w:eastAsia="en-GB"/>
        </w:rPr>
        <w:t xml:space="preserve">in the </w:t>
      </w:r>
      <w:r w:rsidRPr="00E56F81">
        <w:rPr>
          <w:rFonts w:eastAsia="Arial Unicode MS"/>
          <w:bdr w:val="nil"/>
          <w:lang w:eastAsia="en-GB"/>
        </w:rPr>
        <w:t>finance, transport, planning</w:t>
      </w:r>
      <w:r w:rsidR="00253083">
        <w:rPr>
          <w:rFonts w:eastAsia="Arial Unicode MS"/>
          <w:bdr w:val="nil"/>
          <w:lang w:eastAsia="en-GB"/>
        </w:rPr>
        <w:t xml:space="preserve"> and</w:t>
      </w:r>
      <w:r w:rsidRPr="00E56F81">
        <w:rPr>
          <w:rFonts w:eastAsia="Arial Unicode MS"/>
          <w:bdr w:val="nil"/>
          <w:lang w:eastAsia="en-GB"/>
        </w:rPr>
        <w:t xml:space="preserve"> infrastructure sectors.</w:t>
      </w:r>
      <w:r w:rsidR="00EF202F">
        <w:rPr>
          <w:rFonts w:eastAsia="Arial Unicode MS"/>
          <w:bdr w:val="nil"/>
          <w:lang w:eastAsia="en-GB"/>
        </w:rPr>
        <w:t xml:space="preserve"> </w:t>
      </w:r>
      <w:r w:rsidRPr="00E56F81">
        <w:rPr>
          <w:rFonts w:eastAsia="Arial Unicode MS"/>
          <w:bdr w:val="nil"/>
          <w:lang w:eastAsia="en-GB"/>
        </w:rPr>
        <w:t xml:space="preserve">Strong commitments </w:t>
      </w:r>
      <w:r w:rsidR="00182816" w:rsidRPr="00E56F81">
        <w:rPr>
          <w:rFonts w:eastAsia="Arial Unicode MS"/>
          <w:bdr w:val="nil"/>
          <w:lang w:eastAsia="en-GB"/>
        </w:rPr>
        <w:t>are ne</w:t>
      </w:r>
      <w:r w:rsidR="00182816">
        <w:rPr>
          <w:rFonts w:eastAsia="Arial Unicode MS"/>
          <w:bdr w:val="nil"/>
          <w:lang w:eastAsia="en-GB"/>
        </w:rPr>
        <w:t>eded</w:t>
      </w:r>
      <w:r w:rsidR="00182816" w:rsidRPr="00E56F81">
        <w:rPr>
          <w:rFonts w:eastAsia="Arial Unicode MS"/>
          <w:bdr w:val="nil"/>
          <w:lang w:eastAsia="en-GB"/>
        </w:rPr>
        <w:t xml:space="preserve"> </w:t>
      </w:r>
      <w:r w:rsidRPr="00E56F81">
        <w:rPr>
          <w:rFonts w:eastAsia="Arial Unicode MS"/>
          <w:bdr w:val="nil"/>
          <w:lang w:eastAsia="en-GB"/>
        </w:rPr>
        <w:t xml:space="preserve">from financial institutions and other </w:t>
      </w:r>
      <w:r w:rsidR="00771AE1">
        <w:rPr>
          <w:rFonts w:eastAsia="Arial Unicode MS"/>
          <w:bdr w:val="nil"/>
          <w:lang w:eastAsia="en-GB"/>
        </w:rPr>
        <w:br/>
      </w:r>
      <w:r w:rsidRPr="00E56F81">
        <w:rPr>
          <w:rFonts w:eastAsia="Arial Unicode MS"/>
          <w:bdr w:val="nil"/>
          <w:lang w:eastAsia="en-GB"/>
        </w:rPr>
        <w:t>non-traditional players with increased investments for biodiversity.</w:t>
      </w:r>
    </w:p>
    <w:p w14:paraId="493AF86D" w14:textId="77957027" w:rsidR="0074679F" w:rsidRPr="0074679F" w:rsidRDefault="0074679F" w:rsidP="00E56F81">
      <w:pPr>
        <w:pStyle w:val="Normalnumber"/>
        <w:rPr>
          <w:rFonts w:eastAsia="DengXian"/>
          <w:color w:val="000000"/>
          <w:bdr w:val="nil"/>
          <w:lang w:val="en-US" w:eastAsia="en-GB"/>
        </w:rPr>
      </w:pPr>
      <w:r w:rsidRPr="00E56F81">
        <w:rPr>
          <w:rFonts w:eastAsia="Arial Unicode MS"/>
          <w:bdr w:val="nil"/>
          <w:lang w:eastAsia="en-GB"/>
        </w:rPr>
        <w:lastRenderedPageBreak/>
        <w:t>Unlocking private finance is critical to meet</w:t>
      </w:r>
      <w:r w:rsidR="00C65E5A">
        <w:rPr>
          <w:rFonts w:eastAsia="Arial Unicode MS"/>
          <w:bdr w:val="nil"/>
          <w:lang w:eastAsia="en-GB"/>
        </w:rPr>
        <w:t>ing</w:t>
      </w:r>
      <w:r w:rsidRPr="00E56F81">
        <w:rPr>
          <w:rFonts w:eastAsia="Arial Unicode MS"/>
          <w:bdr w:val="nil"/>
          <w:lang w:eastAsia="en-GB"/>
        </w:rPr>
        <w:t xml:space="preserve"> international commitments relat</w:t>
      </w:r>
      <w:r w:rsidR="00C65E5A">
        <w:rPr>
          <w:rFonts w:eastAsia="Arial Unicode MS"/>
          <w:bdr w:val="nil"/>
          <w:lang w:eastAsia="en-GB"/>
        </w:rPr>
        <w:t>ing</w:t>
      </w:r>
      <w:r w:rsidRPr="00E56F81">
        <w:rPr>
          <w:rFonts w:eastAsia="Arial Unicode MS"/>
          <w:bdr w:val="nil"/>
          <w:lang w:eastAsia="en-GB"/>
        </w:rPr>
        <w:t xml:space="preserve"> to the Sustainable Development Goals, </w:t>
      </w:r>
      <w:r w:rsidR="00C65E5A">
        <w:rPr>
          <w:rFonts w:eastAsia="Arial Unicode MS"/>
          <w:bdr w:val="nil"/>
          <w:lang w:eastAsia="en-GB"/>
        </w:rPr>
        <w:t xml:space="preserve">the </w:t>
      </w:r>
      <w:r w:rsidRPr="00E56F81">
        <w:rPr>
          <w:rFonts w:eastAsia="Arial Unicode MS"/>
          <w:bdr w:val="nil"/>
          <w:lang w:eastAsia="en-GB"/>
        </w:rPr>
        <w:t xml:space="preserve">Paris Agreement, </w:t>
      </w:r>
      <w:r w:rsidR="00C65E5A">
        <w:rPr>
          <w:rFonts w:eastAsia="Arial Unicode MS"/>
          <w:bdr w:val="nil"/>
          <w:lang w:eastAsia="en-GB"/>
        </w:rPr>
        <w:t xml:space="preserve">the </w:t>
      </w:r>
      <w:r w:rsidRPr="00E56F81">
        <w:rPr>
          <w:rFonts w:eastAsia="Arial Unicode MS"/>
          <w:bdr w:val="nil"/>
          <w:lang w:eastAsia="en-GB"/>
        </w:rPr>
        <w:t>post</w:t>
      </w:r>
      <w:r w:rsidR="00C65E5A">
        <w:rPr>
          <w:rFonts w:eastAsia="Arial Unicode MS"/>
          <w:bdr w:val="nil"/>
          <w:lang w:eastAsia="en-GB"/>
        </w:rPr>
        <w:t>-</w:t>
      </w:r>
      <w:r w:rsidRPr="00E56F81">
        <w:rPr>
          <w:rFonts w:eastAsia="Arial Unicode MS"/>
          <w:bdr w:val="nil"/>
          <w:lang w:eastAsia="en-GB"/>
        </w:rPr>
        <w:t xml:space="preserve">2020 </w:t>
      </w:r>
      <w:r w:rsidR="00C65E5A" w:rsidRPr="0074679F">
        <w:t>Convention on Biological Diversity</w:t>
      </w:r>
      <w:r w:rsidRPr="00E56F81">
        <w:rPr>
          <w:rFonts w:eastAsia="Arial Unicode MS"/>
          <w:bdr w:val="nil"/>
          <w:lang w:eastAsia="en-GB"/>
        </w:rPr>
        <w:t xml:space="preserve"> biodiversity framework and others. UNEP should use </w:t>
      </w:r>
      <w:r w:rsidR="00516312">
        <w:rPr>
          <w:rFonts w:eastAsia="Arial Unicode MS"/>
          <w:bdr w:val="nil"/>
          <w:lang w:eastAsia="en-GB"/>
        </w:rPr>
        <w:t xml:space="preserve">the </w:t>
      </w:r>
      <w:r w:rsidRPr="00E56F81">
        <w:rPr>
          <w:rFonts w:eastAsia="Arial Unicode MS"/>
          <w:bdr w:val="nil"/>
          <w:lang w:eastAsia="en-GB"/>
        </w:rPr>
        <w:t>lessons learned on how the private sector can be engaged in those projects in which UNEP is involved to advance</w:t>
      </w:r>
      <w:r w:rsidR="00516312">
        <w:rPr>
          <w:rFonts w:eastAsia="Arial Unicode MS"/>
          <w:bdr w:val="nil"/>
          <w:lang w:eastAsia="en-GB"/>
        </w:rPr>
        <w:t>,</w:t>
      </w:r>
      <w:r w:rsidRPr="00E56F81">
        <w:rPr>
          <w:rFonts w:eastAsia="Arial Unicode MS"/>
          <w:bdr w:val="nil"/>
          <w:lang w:eastAsia="en-GB"/>
        </w:rPr>
        <w:t xml:space="preserve"> creating new </w:t>
      </w:r>
      <w:r w:rsidR="00516312">
        <w:rPr>
          <w:rFonts w:eastAsia="Arial Unicode MS"/>
          <w:bdr w:val="nil"/>
          <w:lang w:eastAsia="en-GB"/>
        </w:rPr>
        <w:t>standards</w:t>
      </w:r>
      <w:r w:rsidRPr="00E56F81">
        <w:rPr>
          <w:rFonts w:eastAsia="Arial Unicode MS"/>
          <w:bdr w:val="nil"/>
          <w:lang w:eastAsia="en-GB"/>
        </w:rPr>
        <w:t xml:space="preserve"> for how public and private capital needs to be directed to sustainable land and</w:t>
      </w:r>
      <w:r w:rsidRPr="0074679F">
        <w:rPr>
          <w:rFonts w:eastAsia="Arial Unicode MS"/>
          <w:color w:val="000000"/>
          <w:bdr w:val="nil"/>
          <w:lang w:val="en-US" w:eastAsia="en-GB"/>
        </w:rPr>
        <w:t xml:space="preserve"> marine resource use.</w:t>
      </w:r>
    </w:p>
    <w:p w14:paraId="59E2A7B0" w14:textId="34F7DEE4" w:rsidR="0074679F" w:rsidRPr="00886C82" w:rsidRDefault="00E56F81" w:rsidP="00771AE1">
      <w:pPr>
        <w:pStyle w:val="CH1"/>
        <w:rPr>
          <w:lang w:eastAsia="en-GB"/>
        </w:rPr>
      </w:pPr>
      <w:r>
        <w:rPr>
          <w:lang w:eastAsia="en-GB"/>
        </w:rPr>
        <w:tab/>
      </w:r>
      <w:r w:rsidR="001379D4" w:rsidRPr="00886C82">
        <w:rPr>
          <w:lang w:eastAsia="en-GB"/>
        </w:rPr>
        <w:t>II</w:t>
      </w:r>
      <w:r w:rsidR="0086592C">
        <w:rPr>
          <w:lang w:eastAsia="en-GB"/>
        </w:rPr>
        <w:t>I</w:t>
      </w:r>
      <w:r w:rsidR="00C00F56" w:rsidRPr="00886C82">
        <w:rPr>
          <w:lang w:eastAsia="en-GB"/>
        </w:rPr>
        <w:t>.</w:t>
      </w:r>
      <w:r w:rsidRPr="00886C82">
        <w:rPr>
          <w:lang w:eastAsia="en-GB"/>
        </w:rPr>
        <w:tab/>
      </w:r>
      <w:r w:rsidR="0074679F" w:rsidRPr="00886C82">
        <w:rPr>
          <w:lang w:eastAsia="en-GB"/>
        </w:rPr>
        <w:t xml:space="preserve">Recommendations and </w:t>
      </w:r>
      <w:r w:rsidR="004171C0">
        <w:rPr>
          <w:lang w:eastAsia="en-GB"/>
        </w:rPr>
        <w:t>s</w:t>
      </w:r>
      <w:r w:rsidR="0074679F" w:rsidRPr="00886C82">
        <w:rPr>
          <w:lang w:eastAsia="en-GB"/>
        </w:rPr>
        <w:t xml:space="preserve">uggested </w:t>
      </w:r>
      <w:r w:rsidR="004171C0">
        <w:rPr>
          <w:lang w:eastAsia="en-GB"/>
        </w:rPr>
        <w:t>a</w:t>
      </w:r>
      <w:r w:rsidR="0074679F" w:rsidRPr="00886C82">
        <w:rPr>
          <w:lang w:eastAsia="en-GB"/>
        </w:rPr>
        <w:t>ctions</w:t>
      </w:r>
    </w:p>
    <w:p w14:paraId="66417D1E" w14:textId="0861854D" w:rsidR="00516312" w:rsidRDefault="0074679F" w:rsidP="00771AE1">
      <w:pPr>
        <w:pStyle w:val="Normalnumber"/>
        <w:rPr>
          <w:rFonts w:eastAsia="Arial Unicode MS"/>
          <w:bdr w:val="nil"/>
          <w:lang w:eastAsia="en-GB"/>
        </w:rPr>
      </w:pPr>
      <w:r w:rsidRPr="00E56F81">
        <w:rPr>
          <w:rFonts w:eastAsia="Arial Unicode MS"/>
          <w:bdr w:val="nil"/>
          <w:lang w:eastAsia="en-GB"/>
        </w:rPr>
        <w:t>The Environment Assembly may wish to consider</w:t>
      </w:r>
      <w:r w:rsidR="00516312">
        <w:rPr>
          <w:rFonts w:eastAsia="Arial Unicode MS"/>
          <w:bdr w:val="nil"/>
          <w:lang w:eastAsia="en-GB"/>
        </w:rPr>
        <w:t>:</w:t>
      </w:r>
      <w:r w:rsidR="00555C3B">
        <w:rPr>
          <w:rFonts w:eastAsia="Arial Unicode MS"/>
          <w:bdr w:val="nil"/>
          <w:lang w:eastAsia="en-GB"/>
        </w:rPr>
        <w:t xml:space="preserve"> </w:t>
      </w:r>
      <w:bookmarkStart w:id="0" w:name="_GoBack"/>
      <w:bookmarkEnd w:id="0"/>
    </w:p>
    <w:p w14:paraId="59A68C7E" w14:textId="191A458B" w:rsidR="0074679F" w:rsidRPr="00E56F81" w:rsidRDefault="00516312" w:rsidP="00C83464">
      <w:pPr>
        <w:pStyle w:val="Normalnumber"/>
        <w:numPr>
          <w:ilvl w:val="1"/>
          <w:numId w:val="4"/>
        </w:numPr>
        <w:tabs>
          <w:tab w:val="clear" w:pos="1134"/>
          <w:tab w:val="left" w:pos="624"/>
        </w:tabs>
        <w:ind w:firstLine="624"/>
        <w:rPr>
          <w:rFonts w:eastAsia="Arial Unicode MS"/>
          <w:bdr w:val="nil"/>
          <w:lang w:eastAsia="en-GB"/>
        </w:rPr>
      </w:pPr>
      <w:r>
        <w:rPr>
          <w:rFonts w:eastAsia="Arial Unicode MS"/>
          <w:bdr w:val="nil"/>
          <w:lang w:eastAsia="en-GB"/>
        </w:rPr>
        <w:t>U</w:t>
      </w:r>
      <w:r w:rsidR="0074679F" w:rsidRPr="00E56F81">
        <w:rPr>
          <w:rFonts w:eastAsia="Arial Unicode MS"/>
          <w:bdr w:val="nil"/>
          <w:lang w:eastAsia="en-GB"/>
        </w:rPr>
        <w:t xml:space="preserve">rging </w:t>
      </w:r>
      <w:r w:rsidR="00B1144E">
        <w:rPr>
          <w:rFonts w:eastAsia="Arial Unicode MS"/>
          <w:bdr w:val="nil"/>
          <w:lang w:eastAsia="en-GB"/>
        </w:rPr>
        <w:t>Member States</w:t>
      </w:r>
      <w:r w:rsidR="0074679F" w:rsidRPr="00E56F81">
        <w:rPr>
          <w:rFonts w:eastAsia="Arial Unicode MS"/>
          <w:bdr w:val="nil"/>
          <w:lang w:eastAsia="en-GB"/>
        </w:rPr>
        <w:t xml:space="preserve"> to </w:t>
      </w:r>
      <w:r w:rsidR="00F75825">
        <w:rPr>
          <w:rFonts w:eastAsia="Arial Unicode MS"/>
          <w:bdr w:val="nil"/>
          <w:lang w:eastAsia="en-GB"/>
        </w:rPr>
        <w:t>use</w:t>
      </w:r>
      <w:r w:rsidR="0074679F" w:rsidRPr="00E56F81">
        <w:rPr>
          <w:rFonts w:eastAsia="Arial Unicode MS"/>
          <w:bdr w:val="nil"/>
          <w:lang w:eastAsia="en-GB"/>
        </w:rPr>
        <w:t xml:space="preserve"> holistic, inclusive, long-term strategies that proactively protect or restore biodiversity, maximizing the myriad of ecosystem services that nature provides, and urging </w:t>
      </w:r>
      <w:r w:rsidR="001779CE">
        <w:rPr>
          <w:rFonts w:eastAsia="Arial Unicode MS"/>
          <w:bdr w:val="nil"/>
          <w:lang w:eastAsia="en-GB"/>
        </w:rPr>
        <w:t>them to</w:t>
      </w:r>
      <w:r w:rsidR="00424E31">
        <w:rPr>
          <w:rFonts w:eastAsia="Arial Unicode MS"/>
          <w:bdr w:val="nil"/>
          <w:lang w:eastAsia="en-GB"/>
        </w:rPr>
        <w:t xml:space="preserve"> </w:t>
      </w:r>
      <w:r w:rsidR="0074679F" w:rsidRPr="00E56F81">
        <w:rPr>
          <w:rFonts w:eastAsia="Arial Unicode MS"/>
          <w:bdr w:val="nil"/>
          <w:lang w:eastAsia="en-GB"/>
        </w:rPr>
        <w:t>explicitly factor</w:t>
      </w:r>
      <w:r w:rsidR="00424E31" w:rsidRPr="00E56F81">
        <w:rPr>
          <w:rFonts w:eastAsia="Arial Unicode MS"/>
          <w:bdr w:val="nil"/>
          <w:lang w:eastAsia="en-GB"/>
        </w:rPr>
        <w:t xml:space="preserve"> these services </w:t>
      </w:r>
      <w:r w:rsidR="0074679F" w:rsidRPr="00E56F81">
        <w:rPr>
          <w:rFonts w:eastAsia="Arial Unicode MS"/>
          <w:bdr w:val="nil"/>
          <w:lang w:eastAsia="en-GB"/>
        </w:rPr>
        <w:t xml:space="preserve">into policies across governments and all economic sectors. Key areas of transformation are needed to advance sustainable food and agriculture systems, integrate natural capital and nature-based risks into financial systems, </w:t>
      </w:r>
      <w:r w:rsidR="00F75825">
        <w:rPr>
          <w:rFonts w:eastAsia="Arial Unicode MS"/>
          <w:bdr w:val="nil"/>
          <w:lang w:eastAsia="en-GB"/>
        </w:rPr>
        <w:t xml:space="preserve">and </w:t>
      </w:r>
      <w:r w:rsidR="0074679F" w:rsidRPr="00E56F81">
        <w:rPr>
          <w:rFonts w:eastAsia="Arial Unicode MS"/>
          <w:bdr w:val="nil"/>
          <w:lang w:eastAsia="en-GB"/>
        </w:rPr>
        <w:t>improve patterns of consumption and production in key sectors</w:t>
      </w:r>
      <w:r w:rsidR="00304029">
        <w:rPr>
          <w:rFonts w:eastAsia="Arial Unicode MS"/>
          <w:bdr w:val="nil"/>
          <w:lang w:eastAsia="en-GB"/>
        </w:rPr>
        <w:t>,</w:t>
      </w:r>
      <w:r w:rsidR="0074679F" w:rsidRPr="00E56F81">
        <w:rPr>
          <w:rFonts w:eastAsia="Arial Unicode MS"/>
          <w:bdr w:val="nil"/>
          <w:lang w:eastAsia="en-GB"/>
        </w:rPr>
        <w:t xml:space="preserve"> including infrastructure, tourism and transport, and green global and regional supply chains</w:t>
      </w:r>
      <w:r>
        <w:rPr>
          <w:rFonts w:eastAsia="Arial Unicode MS"/>
          <w:bdr w:val="nil"/>
          <w:lang w:eastAsia="en-GB"/>
        </w:rPr>
        <w:t>;</w:t>
      </w:r>
    </w:p>
    <w:p w14:paraId="7A507F66" w14:textId="7937879A" w:rsidR="0074679F" w:rsidRPr="00E56F81" w:rsidRDefault="00F43DC0" w:rsidP="00C83464">
      <w:pPr>
        <w:pStyle w:val="Normalnumber"/>
        <w:numPr>
          <w:ilvl w:val="1"/>
          <w:numId w:val="4"/>
        </w:numPr>
        <w:tabs>
          <w:tab w:val="left" w:pos="624"/>
        </w:tabs>
        <w:ind w:firstLine="624"/>
        <w:rPr>
          <w:rFonts w:eastAsia="Arial Unicode MS"/>
          <w:bdr w:val="nil"/>
          <w:lang w:eastAsia="en-GB"/>
        </w:rPr>
      </w:pPr>
      <w:r>
        <w:rPr>
          <w:rFonts w:eastAsia="Arial Unicode MS"/>
          <w:bdr w:val="nil"/>
          <w:lang w:eastAsia="en-GB"/>
        </w:rPr>
        <w:t>E</w:t>
      </w:r>
      <w:r w:rsidR="0074679F" w:rsidRPr="00E56F81">
        <w:rPr>
          <w:rFonts w:eastAsia="Arial Unicode MS"/>
          <w:bdr w:val="nil"/>
          <w:lang w:eastAsia="en-GB"/>
        </w:rPr>
        <w:t xml:space="preserve">nhancing </w:t>
      </w:r>
      <w:r w:rsidR="000A0567">
        <w:rPr>
          <w:rFonts w:eastAsia="Arial Unicode MS"/>
          <w:bdr w:val="nil"/>
          <w:lang w:eastAsia="en-GB"/>
        </w:rPr>
        <w:t xml:space="preserve">the </w:t>
      </w:r>
      <w:r w:rsidR="0074679F" w:rsidRPr="00E56F81">
        <w:rPr>
          <w:rFonts w:eastAsia="Arial Unicode MS"/>
          <w:bdr w:val="nil"/>
          <w:lang w:eastAsia="en-GB"/>
        </w:rPr>
        <w:t xml:space="preserve">mandate </w:t>
      </w:r>
      <w:r w:rsidR="000A0567">
        <w:rPr>
          <w:rFonts w:eastAsia="Arial Unicode MS"/>
          <w:bdr w:val="nil"/>
          <w:lang w:eastAsia="en-GB"/>
        </w:rPr>
        <w:t xml:space="preserve">of </w:t>
      </w:r>
      <w:r w:rsidR="000A0567" w:rsidRPr="00E56F81">
        <w:rPr>
          <w:rFonts w:eastAsia="Arial Unicode MS"/>
          <w:bdr w:val="nil"/>
          <w:lang w:eastAsia="en-GB"/>
        </w:rPr>
        <w:t xml:space="preserve">UNEP </w:t>
      </w:r>
      <w:r w:rsidR="0074679F" w:rsidRPr="00E56F81">
        <w:rPr>
          <w:rFonts w:eastAsia="Arial Unicode MS"/>
          <w:bdr w:val="nil"/>
          <w:lang w:eastAsia="en-GB"/>
        </w:rPr>
        <w:t xml:space="preserve">to convene and develop actionable and systemic solutions </w:t>
      </w:r>
      <w:r w:rsidR="005F4AD1">
        <w:rPr>
          <w:rFonts w:eastAsia="Arial Unicode MS"/>
          <w:bdr w:val="nil"/>
          <w:lang w:eastAsia="en-GB"/>
        </w:rPr>
        <w:t>to address</w:t>
      </w:r>
      <w:r w:rsidR="0074679F" w:rsidRPr="00E56F81">
        <w:rPr>
          <w:rFonts w:eastAsia="Arial Unicode MS"/>
          <w:bdr w:val="nil"/>
          <w:lang w:eastAsia="en-GB"/>
        </w:rPr>
        <w:t xml:space="preserve"> these complex issues. </w:t>
      </w:r>
      <w:r w:rsidR="00A57A51">
        <w:rPr>
          <w:rFonts w:eastAsia="Arial Unicode MS"/>
          <w:bdr w:val="nil"/>
          <w:lang w:eastAsia="en-GB"/>
        </w:rPr>
        <w:t>T</w:t>
      </w:r>
      <w:r w:rsidR="00A57A51" w:rsidRPr="00CB20F7">
        <w:rPr>
          <w:bdr w:val="nil"/>
          <w:lang w:eastAsia="en-GB"/>
        </w:rPr>
        <w:t>he United Nations Environment Assembly</w:t>
      </w:r>
      <w:r w:rsidR="0074679F" w:rsidRPr="00E56F81">
        <w:rPr>
          <w:rFonts w:eastAsia="Arial Unicode MS"/>
          <w:bdr w:val="nil"/>
          <w:lang w:eastAsia="en-GB"/>
        </w:rPr>
        <w:t xml:space="preserve"> offers an opportunity to mobilize support for evidence-based policy recommendations, including </w:t>
      </w:r>
      <w:r w:rsidR="00A57A51">
        <w:rPr>
          <w:rFonts w:eastAsia="Arial Unicode MS"/>
          <w:bdr w:val="nil"/>
          <w:lang w:eastAsia="en-GB"/>
        </w:rPr>
        <w:t xml:space="preserve">by focusing </w:t>
      </w:r>
      <w:r w:rsidR="0074679F" w:rsidRPr="00E56F81">
        <w:rPr>
          <w:rFonts w:eastAsia="Arial Unicode MS"/>
          <w:bdr w:val="nil"/>
          <w:lang w:eastAsia="en-GB"/>
        </w:rPr>
        <w:t xml:space="preserve">attention </w:t>
      </w:r>
      <w:r w:rsidR="00E041E6">
        <w:rPr>
          <w:rFonts w:eastAsia="Arial Unicode MS"/>
          <w:bdr w:val="nil"/>
          <w:lang w:eastAsia="en-GB"/>
        </w:rPr>
        <w:t>on</w:t>
      </w:r>
      <w:r w:rsidR="0074679F" w:rsidRPr="00E56F81">
        <w:rPr>
          <w:rFonts w:eastAsia="Arial Unicode MS"/>
          <w:bdr w:val="nil"/>
          <w:lang w:eastAsia="en-GB"/>
        </w:rPr>
        <w:t xml:space="preserve"> the role </w:t>
      </w:r>
      <w:r w:rsidR="00E041E6">
        <w:rPr>
          <w:rFonts w:eastAsia="Arial Unicode MS"/>
          <w:bdr w:val="nil"/>
          <w:lang w:eastAsia="en-GB"/>
        </w:rPr>
        <w:t xml:space="preserve">that the </w:t>
      </w:r>
      <w:r w:rsidR="0074679F" w:rsidRPr="00E56F81">
        <w:rPr>
          <w:rFonts w:eastAsia="Arial Unicode MS"/>
          <w:bdr w:val="nil"/>
          <w:lang w:eastAsia="en-GB"/>
        </w:rPr>
        <w:t xml:space="preserve">sustainable wildlife trade plays in advancing biodiversity conservation in line with global commitments under the </w:t>
      </w:r>
      <w:r w:rsidR="00C65E5A" w:rsidRPr="0074679F">
        <w:t>Convention on Biological Diversity</w:t>
      </w:r>
      <w:r w:rsidR="0074679F" w:rsidRPr="00E56F81">
        <w:rPr>
          <w:rFonts w:eastAsia="Arial Unicode MS"/>
          <w:bdr w:val="nil"/>
          <w:lang w:eastAsia="en-GB"/>
        </w:rPr>
        <w:t xml:space="preserve"> and </w:t>
      </w:r>
      <w:r w:rsidR="003E239A">
        <w:rPr>
          <w:rFonts w:eastAsia="Arial Unicode MS"/>
          <w:bdr w:val="nil"/>
          <w:lang w:eastAsia="en-GB"/>
        </w:rPr>
        <w:t xml:space="preserve">the </w:t>
      </w:r>
      <w:r w:rsidR="003E239A" w:rsidRPr="003E239A">
        <w:rPr>
          <w:rFonts w:eastAsia="Arial Unicode MS"/>
          <w:bdr w:val="nil"/>
          <w:lang w:eastAsia="en-GB"/>
        </w:rPr>
        <w:t>Convention on International Trade in Endangered Species of Wild Fauna and Flora</w:t>
      </w:r>
      <w:r w:rsidR="0074679F" w:rsidRPr="00E56F81">
        <w:rPr>
          <w:rFonts w:eastAsia="Arial Unicode MS"/>
          <w:bdr w:val="nil"/>
          <w:lang w:eastAsia="en-GB"/>
        </w:rPr>
        <w:t>, among others</w:t>
      </w:r>
      <w:r w:rsidR="00516312">
        <w:rPr>
          <w:rFonts w:eastAsia="Arial Unicode MS"/>
          <w:bdr w:val="nil"/>
          <w:lang w:eastAsia="en-GB"/>
        </w:rPr>
        <w:t>;</w:t>
      </w:r>
    </w:p>
    <w:p w14:paraId="5FDF09A6" w14:textId="10F6BFFD" w:rsidR="0074679F" w:rsidRPr="00E56F81" w:rsidRDefault="00F43DC0" w:rsidP="00C83464">
      <w:pPr>
        <w:pStyle w:val="Normalnumber"/>
        <w:numPr>
          <w:ilvl w:val="1"/>
          <w:numId w:val="4"/>
        </w:numPr>
        <w:tabs>
          <w:tab w:val="left" w:pos="624"/>
        </w:tabs>
        <w:ind w:firstLine="624"/>
        <w:rPr>
          <w:rFonts w:eastAsia="Arial Unicode MS"/>
          <w:bdr w:val="nil"/>
          <w:lang w:eastAsia="en-GB"/>
        </w:rPr>
      </w:pPr>
      <w:r>
        <w:rPr>
          <w:rFonts w:eastAsia="Arial Unicode MS"/>
          <w:bdr w:val="nil"/>
          <w:lang w:eastAsia="en-GB"/>
        </w:rPr>
        <w:t>R</w:t>
      </w:r>
      <w:r w:rsidR="0074679F" w:rsidRPr="00E56F81">
        <w:rPr>
          <w:rFonts w:eastAsia="Arial Unicode MS"/>
          <w:bdr w:val="nil"/>
          <w:lang w:eastAsia="en-GB"/>
        </w:rPr>
        <w:t>equesting UNEP to play a key role by building capacity, convening and in some cases pioneer</w:t>
      </w:r>
      <w:r w:rsidR="00DA7F06">
        <w:rPr>
          <w:rFonts w:eastAsia="Arial Unicode MS"/>
          <w:bdr w:val="nil"/>
          <w:lang w:eastAsia="en-GB"/>
        </w:rPr>
        <w:t>ing</w:t>
      </w:r>
      <w:r w:rsidR="0074679F" w:rsidRPr="00E56F81">
        <w:rPr>
          <w:rFonts w:eastAsia="Arial Unicode MS"/>
          <w:bdr w:val="nil"/>
          <w:lang w:eastAsia="en-GB"/>
        </w:rPr>
        <w:t xml:space="preserve"> proof-of-concept instruments to leverage public finance to unlock and </w:t>
      </w:r>
      <w:r w:rsidR="00E84C56">
        <w:rPr>
          <w:rFonts w:eastAsia="Arial Unicode MS"/>
          <w:bdr w:val="nil"/>
          <w:lang w:eastAsia="en-GB"/>
        </w:rPr>
        <w:t>garner</w:t>
      </w:r>
      <w:r w:rsidR="0074679F" w:rsidRPr="00E56F81">
        <w:rPr>
          <w:rFonts w:eastAsia="Arial Unicode MS"/>
          <w:bdr w:val="nil"/>
          <w:lang w:eastAsia="en-GB"/>
        </w:rPr>
        <w:t xml:space="preserve"> private capital to address deforestation and other types of ecosystem degradation. Furthermore, UNEP can play a key role by informing </w:t>
      </w:r>
      <w:r w:rsidR="00B1144E">
        <w:rPr>
          <w:rFonts w:eastAsia="Arial Unicode MS"/>
          <w:bdr w:val="nil"/>
          <w:lang w:eastAsia="en-GB"/>
        </w:rPr>
        <w:t>Member States</w:t>
      </w:r>
      <w:r w:rsidR="0074679F" w:rsidRPr="00E56F81">
        <w:rPr>
          <w:rFonts w:eastAsia="Arial Unicode MS"/>
          <w:bdr w:val="nil"/>
          <w:lang w:eastAsia="en-GB"/>
        </w:rPr>
        <w:t xml:space="preserve"> about the total public and private investment that is directed to nature-based solutions and compare that to what is needed. Highlighting the difference can help build momentum </w:t>
      </w:r>
      <w:r w:rsidR="00751932">
        <w:rPr>
          <w:rFonts w:eastAsia="Arial Unicode MS"/>
          <w:bdr w:val="nil"/>
          <w:lang w:eastAsia="en-GB"/>
        </w:rPr>
        <w:t>to</w:t>
      </w:r>
      <w:r w:rsidR="0074679F" w:rsidRPr="00E56F81">
        <w:rPr>
          <w:rFonts w:eastAsia="Arial Unicode MS"/>
          <w:bdr w:val="nil"/>
          <w:lang w:eastAsia="en-GB"/>
        </w:rPr>
        <w:t xml:space="preserve"> clos</w:t>
      </w:r>
      <w:r w:rsidR="00B44C1F">
        <w:rPr>
          <w:rFonts w:eastAsia="Arial Unicode MS"/>
          <w:bdr w:val="nil"/>
          <w:lang w:eastAsia="en-GB"/>
        </w:rPr>
        <w:t>e</w:t>
      </w:r>
      <w:r w:rsidR="0074679F" w:rsidRPr="00E56F81">
        <w:rPr>
          <w:rFonts w:eastAsia="Arial Unicode MS"/>
          <w:bdr w:val="nil"/>
          <w:lang w:eastAsia="en-GB"/>
        </w:rPr>
        <w:t xml:space="preserve"> the gap</w:t>
      </w:r>
      <w:r w:rsidR="00B44C1F">
        <w:rPr>
          <w:rFonts w:eastAsia="Arial Unicode MS"/>
          <w:bdr w:val="nil"/>
          <w:lang w:eastAsia="en-GB"/>
        </w:rPr>
        <w:t xml:space="preserve"> between the two</w:t>
      </w:r>
      <w:r w:rsidR="0074679F" w:rsidRPr="00E56F81">
        <w:rPr>
          <w:rFonts w:eastAsia="Arial Unicode MS"/>
          <w:bdr w:val="nil"/>
          <w:lang w:eastAsia="en-GB"/>
        </w:rPr>
        <w:t>.</w:t>
      </w:r>
    </w:p>
    <w:p w14:paraId="35B9E19B" w14:textId="77777777" w:rsidR="0074679F" w:rsidRPr="0074679F" w:rsidRDefault="0074679F" w:rsidP="0074679F">
      <w:pPr>
        <w:tabs>
          <w:tab w:val="clear" w:pos="1247"/>
          <w:tab w:val="clear" w:pos="1814"/>
          <w:tab w:val="clear" w:pos="2381"/>
          <w:tab w:val="clear" w:pos="2948"/>
          <w:tab w:val="clear" w:pos="3515"/>
          <w:tab w:val="left" w:pos="624"/>
        </w:tabs>
        <w:rPr>
          <w:lang w:val="en-GB"/>
        </w:rPr>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74679F" w:rsidRPr="0027278B" w14:paraId="3AAFA0D6" w14:textId="77777777" w:rsidTr="00632C39">
        <w:tc>
          <w:tcPr>
            <w:tcW w:w="1897" w:type="dxa"/>
          </w:tcPr>
          <w:p w14:paraId="3710BE44" w14:textId="77777777" w:rsidR="0074679F" w:rsidRPr="0074679F" w:rsidRDefault="0074679F" w:rsidP="0074679F">
            <w:pPr>
              <w:tabs>
                <w:tab w:val="clear" w:pos="1247"/>
                <w:tab w:val="clear" w:pos="1814"/>
                <w:tab w:val="clear" w:pos="2381"/>
                <w:tab w:val="clear" w:pos="2948"/>
                <w:tab w:val="clear" w:pos="3515"/>
                <w:tab w:val="left" w:pos="624"/>
              </w:tabs>
              <w:spacing w:before="520"/>
              <w:rPr>
                <w:lang w:val="en-GB"/>
              </w:rPr>
            </w:pPr>
          </w:p>
        </w:tc>
        <w:tc>
          <w:tcPr>
            <w:tcW w:w="1897" w:type="dxa"/>
          </w:tcPr>
          <w:p w14:paraId="18601112" w14:textId="77777777" w:rsidR="0074679F" w:rsidRPr="0074679F" w:rsidRDefault="0074679F" w:rsidP="0074679F">
            <w:pPr>
              <w:tabs>
                <w:tab w:val="clear" w:pos="1247"/>
                <w:tab w:val="clear" w:pos="1814"/>
                <w:tab w:val="clear" w:pos="2381"/>
                <w:tab w:val="clear" w:pos="2948"/>
                <w:tab w:val="clear" w:pos="3515"/>
                <w:tab w:val="left" w:pos="624"/>
              </w:tabs>
              <w:spacing w:before="520"/>
              <w:rPr>
                <w:lang w:val="en-GB"/>
              </w:rPr>
            </w:pPr>
          </w:p>
        </w:tc>
        <w:tc>
          <w:tcPr>
            <w:tcW w:w="1897" w:type="dxa"/>
            <w:tcBorders>
              <w:bottom w:val="single" w:sz="4" w:space="0" w:color="auto"/>
            </w:tcBorders>
          </w:tcPr>
          <w:p w14:paraId="387B9543" w14:textId="77777777" w:rsidR="0074679F" w:rsidRPr="0074679F" w:rsidRDefault="0074679F" w:rsidP="0074679F">
            <w:pPr>
              <w:tabs>
                <w:tab w:val="clear" w:pos="1247"/>
                <w:tab w:val="clear" w:pos="1814"/>
                <w:tab w:val="clear" w:pos="2381"/>
                <w:tab w:val="clear" w:pos="2948"/>
                <w:tab w:val="clear" w:pos="3515"/>
                <w:tab w:val="left" w:pos="624"/>
              </w:tabs>
              <w:spacing w:before="520"/>
              <w:rPr>
                <w:lang w:val="en-GB"/>
              </w:rPr>
            </w:pPr>
          </w:p>
        </w:tc>
        <w:tc>
          <w:tcPr>
            <w:tcW w:w="1897" w:type="dxa"/>
          </w:tcPr>
          <w:p w14:paraId="781A0E3E" w14:textId="77777777" w:rsidR="0074679F" w:rsidRPr="0074679F" w:rsidRDefault="0074679F" w:rsidP="0074679F">
            <w:pPr>
              <w:tabs>
                <w:tab w:val="clear" w:pos="1247"/>
                <w:tab w:val="clear" w:pos="1814"/>
                <w:tab w:val="clear" w:pos="2381"/>
                <w:tab w:val="clear" w:pos="2948"/>
                <w:tab w:val="clear" w:pos="3515"/>
                <w:tab w:val="left" w:pos="624"/>
              </w:tabs>
              <w:spacing w:before="520"/>
              <w:rPr>
                <w:lang w:val="en-GB"/>
              </w:rPr>
            </w:pPr>
          </w:p>
        </w:tc>
        <w:tc>
          <w:tcPr>
            <w:tcW w:w="1898" w:type="dxa"/>
          </w:tcPr>
          <w:p w14:paraId="1AA157BD" w14:textId="77777777" w:rsidR="0074679F" w:rsidRPr="0074679F" w:rsidRDefault="0074679F" w:rsidP="0074679F">
            <w:pPr>
              <w:tabs>
                <w:tab w:val="clear" w:pos="1247"/>
                <w:tab w:val="clear" w:pos="1814"/>
                <w:tab w:val="clear" w:pos="2381"/>
                <w:tab w:val="clear" w:pos="2948"/>
                <w:tab w:val="clear" w:pos="3515"/>
                <w:tab w:val="left" w:pos="624"/>
              </w:tabs>
              <w:spacing w:before="520"/>
              <w:rPr>
                <w:lang w:val="en-GB"/>
              </w:rPr>
            </w:pPr>
          </w:p>
        </w:tc>
      </w:tr>
    </w:tbl>
    <w:p w14:paraId="7EBA0DE7" w14:textId="77777777" w:rsidR="0074679F" w:rsidRPr="0074679F" w:rsidRDefault="0074679F" w:rsidP="0074679F">
      <w:pPr>
        <w:tabs>
          <w:tab w:val="clear" w:pos="1247"/>
          <w:tab w:val="clear" w:pos="1814"/>
          <w:tab w:val="clear" w:pos="2381"/>
          <w:tab w:val="clear" w:pos="2948"/>
          <w:tab w:val="clear" w:pos="3515"/>
          <w:tab w:val="left" w:pos="624"/>
        </w:tabs>
        <w:rPr>
          <w:lang w:val="en-GB"/>
        </w:rPr>
      </w:pPr>
    </w:p>
    <w:sectPr w:rsidR="0074679F" w:rsidRPr="0074679F" w:rsidSect="00771AE1">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B509E" w14:textId="77777777" w:rsidR="003A7681" w:rsidRDefault="003A7681">
      <w:r>
        <w:separator/>
      </w:r>
    </w:p>
  </w:endnote>
  <w:endnote w:type="continuationSeparator" w:id="0">
    <w:p w14:paraId="1F03E24F" w14:textId="77777777" w:rsidR="003A7681" w:rsidRDefault="003A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2FD99" w14:textId="77777777" w:rsidR="00632C39" w:rsidRDefault="00632C39" w:rsidP="00771AE1">
    <w:pPr>
      <w:pStyle w:val="Footer-pool"/>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E62F1" w14:textId="77777777" w:rsidR="00632C39" w:rsidRPr="00771AE1" w:rsidRDefault="00632C39" w:rsidP="00771AE1">
    <w:pPr>
      <w:pStyle w:val="Footer-pool"/>
      <w:jc w:val="right"/>
    </w:pPr>
    <w:r w:rsidRPr="00771AE1">
      <w:rPr>
        <w:rStyle w:val="PageNumber"/>
        <w:b/>
      </w:rPr>
      <w:fldChar w:fldCharType="begin"/>
    </w:r>
    <w:r w:rsidRPr="00771AE1">
      <w:rPr>
        <w:rStyle w:val="PageNumber"/>
        <w:b/>
      </w:rPr>
      <w:instrText xml:space="preserve"> PAGE </w:instrText>
    </w:r>
    <w:r w:rsidRPr="00771AE1">
      <w:rPr>
        <w:rStyle w:val="PageNumber"/>
        <w:b/>
      </w:rPr>
      <w:fldChar w:fldCharType="separate"/>
    </w:r>
    <w:r w:rsidRPr="00771AE1">
      <w:rPr>
        <w:rStyle w:val="PageNumber"/>
        <w:b/>
      </w:rPr>
      <w:t>1</w:t>
    </w:r>
    <w:r w:rsidRPr="00771AE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42F51" w14:textId="0D280070" w:rsidR="00632C39" w:rsidRPr="00D62040" w:rsidRDefault="00632C39" w:rsidP="0074679F">
    <w:pPr>
      <w:pStyle w:val="Footer-pool"/>
      <w:tabs>
        <w:tab w:val="clear" w:pos="4321"/>
        <w:tab w:val="clear" w:pos="8641"/>
      </w:tabs>
      <w:rPr>
        <w:b w:val="0"/>
        <w:bCs/>
        <w:sz w:val="20"/>
      </w:rPr>
    </w:pPr>
    <w:r w:rsidRPr="00D62040">
      <w:rPr>
        <w:b w:val="0"/>
        <w:bCs/>
        <w:sz w:val="20"/>
      </w:rPr>
      <w:t>K2002605</w:t>
    </w:r>
    <w:r w:rsidRPr="00D62040">
      <w:rPr>
        <w:b w:val="0"/>
        <w:bCs/>
        <w:sz w:val="20"/>
      </w:rPr>
      <w:tab/>
    </w:r>
    <w:r w:rsidR="00867C98">
      <w:rPr>
        <w:b w:val="0"/>
        <w:bCs/>
        <w:sz w:val="20"/>
      </w:rPr>
      <w:t>29</w:t>
    </w:r>
    <w:r w:rsidR="00867C98">
      <w:rPr>
        <w:b w:val="0"/>
        <w:bCs/>
        <w:sz w:val="20"/>
      </w:rPr>
      <w:t>12</w:t>
    </w:r>
    <w:r w:rsidR="00867C98" w:rsidRPr="00D62040">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4D884" w14:textId="77777777" w:rsidR="003A7681" w:rsidRPr="00EF202F" w:rsidRDefault="003A7681" w:rsidP="00EF202F">
      <w:pPr>
        <w:spacing w:before="60"/>
        <w:ind w:left="624"/>
        <w:rPr>
          <w:sz w:val="18"/>
          <w:szCs w:val="18"/>
        </w:rPr>
      </w:pPr>
      <w:r w:rsidRPr="00EF202F">
        <w:rPr>
          <w:sz w:val="18"/>
          <w:szCs w:val="18"/>
        </w:rPr>
        <w:separator/>
      </w:r>
    </w:p>
  </w:footnote>
  <w:footnote w:type="continuationSeparator" w:id="0">
    <w:p w14:paraId="26AA326C" w14:textId="77777777" w:rsidR="003A7681" w:rsidRDefault="003A7681">
      <w:r>
        <w:continuationSeparator/>
      </w:r>
    </w:p>
  </w:footnote>
  <w:footnote w:id="1">
    <w:p w14:paraId="36B41F47" w14:textId="77777777" w:rsidR="009C77D6" w:rsidRPr="00677092" w:rsidRDefault="009C77D6" w:rsidP="009C77D6">
      <w:pPr>
        <w:pStyle w:val="FootnoteText"/>
        <w:tabs>
          <w:tab w:val="clear" w:pos="1247"/>
        </w:tabs>
        <w:rPr>
          <w:lang w:val="en-US"/>
        </w:rPr>
      </w:pPr>
      <w:r w:rsidRPr="0027278B">
        <w:rPr>
          <w:lang w:val="en-US"/>
        </w:rPr>
        <w:t>*</w:t>
      </w:r>
      <w:r w:rsidRPr="008C001F">
        <w:rPr>
          <w:lang w:val="en-US"/>
        </w:rPr>
        <w:t xml:space="preserve"> </w:t>
      </w:r>
      <w:r w:rsidRPr="00677092">
        <w:rPr>
          <w:lang w:val="en-US"/>
        </w:rPr>
        <w:t xml:space="preserve">In accordance </w:t>
      </w:r>
      <w:r w:rsidRPr="00D03E51">
        <w:rPr>
          <w:lang w:val="en-US"/>
        </w:rPr>
        <w:t xml:space="preserve">with </w:t>
      </w:r>
      <w:r w:rsidRPr="0027278B">
        <w:rPr>
          <w:szCs w:val="18"/>
          <w:lang w:val="en-US"/>
        </w:rPr>
        <w:t>the decisions taken at the meeting of the Bureau of the United Nations Environment Assembly held on 8 October 2020 and</w:t>
      </w:r>
      <w:r w:rsidRPr="00677092">
        <w:rPr>
          <w:lang w:val="en-US"/>
        </w:rPr>
        <w:t xml:space="preserve"> at </w:t>
      </w:r>
      <w:r w:rsidRPr="00015ECB">
        <w:rPr>
          <w:lang w:val="en-US"/>
        </w:rPr>
        <w:t xml:space="preserve">the joint meeting of the </w:t>
      </w:r>
      <w:r>
        <w:rPr>
          <w:lang w:val="en-US"/>
        </w:rPr>
        <w:t>B</w:t>
      </w:r>
      <w:r w:rsidRPr="00015ECB">
        <w:rPr>
          <w:lang w:val="en-US"/>
        </w:rPr>
        <w:t>ureaux of the United Nations Environment Assembly and the Committee of Permanent Representatives held on 1 December 2020, the fifth session of the Assembly is expected to adjourn on 23 February 2021 and resume as an in-person meeting in February 2022</w:t>
      </w:r>
      <w:r w:rsidRPr="00677092">
        <w:rPr>
          <w:lang w:val="en-US"/>
        </w:rPr>
        <w:t>.</w:t>
      </w:r>
    </w:p>
  </w:footnote>
  <w:footnote w:id="2">
    <w:p w14:paraId="4F6D3C42" w14:textId="77777777" w:rsidR="00867C98" w:rsidRPr="000F6915" w:rsidRDefault="00867C98" w:rsidP="00867C98">
      <w:pPr>
        <w:spacing w:before="20" w:after="40"/>
        <w:ind w:left="1247"/>
        <w:rPr>
          <w:sz w:val="18"/>
          <w:szCs w:val="18"/>
          <w:lang w:val="en-US"/>
        </w:rPr>
      </w:pPr>
      <w:r w:rsidRPr="000F6915">
        <w:rPr>
          <w:sz w:val="18"/>
          <w:szCs w:val="18"/>
          <w:lang w:val="en-US"/>
        </w:rPr>
        <w:t>** UNEP/EA.5/1/Rev.1.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CA5FD" w14:textId="25C03806" w:rsidR="00632C39" w:rsidRPr="0074679F" w:rsidRDefault="00632C39" w:rsidP="00771AE1">
    <w:pPr>
      <w:pStyle w:val="Header-pool"/>
    </w:pPr>
    <w:r>
      <w:t>UNEP/EA.5/10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E27EA" w14:textId="5A31FBFF" w:rsidR="00632C39" w:rsidRPr="0074679F" w:rsidRDefault="00632C39" w:rsidP="00771AE1">
    <w:pPr>
      <w:pStyle w:val="Header"/>
      <w:jc w:val="right"/>
    </w:pPr>
    <w:r>
      <w:t>UNEP/EA.5/10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B93DE" w14:textId="33DC4E9A" w:rsidR="00632C39" w:rsidRDefault="00632C39" w:rsidP="00771AE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num>
  <w:num w:numId="3">
    <w:abstractNumId w:val="1"/>
  </w:num>
  <w:num w:numId="4">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activeWritingStyle w:appName="MSWord" w:lang="en-CA" w:vendorID="64" w:dllVersion="0" w:nlCheck="1" w:checkStyle="0"/>
  <w:activeWritingStyle w:appName="MSWord" w:lang="fr-FR"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A0MLYwNDWzNLM0NzdR0lEKTi0uzszPAykwrAUADHvNDSwAAAA="/>
  </w:docVars>
  <w:rsids>
    <w:rsidRoot w:val="0074679F"/>
    <w:rsid w:val="00002599"/>
    <w:rsid w:val="000149E6"/>
    <w:rsid w:val="0001722E"/>
    <w:rsid w:val="0002090B"/>
    <w:rsid w:val="00022BB7"/>
    <w:rsid w:val="000247B0"/>
    <w:rsid w:val="00026997"/>
    <w:rsid w:val="00033E0B"/>
    <w:rsid w:val="000346BC"/>
    <w:rsid w:val="00035250"/>
    <w:rsid w:val="00035EDE"/>
    <w:rsid w:val="0004230F"/>
    <w:rsid w:val="0004616F"/>
    <w:rsid w:val="000509B4"/>
    <w:rsid w:val="00053D38"/>
    <w:rsid w:val="000565B4"/>
    <w:rsid w:val="0006035B"/>
    <w:rsid w:val="00070951"/>
    <w:rsid w:val="00071886"/>
    <w:rsid w:val="000742BC"/>
    <w:rsid w:val="000808B5"/>
    <w:rsid w:val="00082A0C"/>
    <w:rsid w:val="00083504"/>
    <w:rsid w:val="0008513A"/>
    <w:rsid w:val="0009037E"/>
    <w:rsid w:val="0009640C"/>
    <w:rsid w:val="000A0567"/>
    <w:rsid w:val="000A6E72"/>
    <w:rsid w:val="000B22A2"/>
    <w:rsid w:val="000B2DEA"/>
    <w:rsid w:val="000C2A52"/>
    <w:rsid w:val="000C6389"/>
    <w:rsid w:val="000D33C0"/>
    <w:rsid w:val="000D6941"/>
    <w:rsid w:val="000E7480"/>
    <w:rsid w:val="00111386"/>
    <w:rsid w:val="001131A2"/>
    <w:rsid w:val="00117130"/>
    <w:rsid w:val="001202E3"/>
    <w:rsid w:val="00120D84"/>
    <w:rsid w:val="0012160C"/>
    <w:rsid w:val="00123699"/>
    <w:rsid w:val="0013059D"/>
    <w:rsid w:val="0013754C"/>
    <w:rsid w:val="001379D4"/>
    <w:rsid w:val="00141A55"/>
    <w:rsid w:val="00141D85"/>
    <w:rsid w:val="00142847"/>
    <w:rsid w:val="001446A3"/>
    <w:rsid w:val="00155395"/>
    <w:rsid w:val="00160D74"/>
    <w:rsid w:val="00167448"/>
    <w:rsid w:val="00167D02"/>
    <w:rsid w:val="0017097D"/>
    <w:rsid w:val="001779CE"/>
    <w:rsid w:val="00181EC8"/>
    <w:rsid w:val="00182816"/>
    <w:rsid w:val="00184349"/>
    <w:rsid w:val="00195F33"/>
    <w:rsid w:val="001B0458"/>
    <w:rsid w:val="001B0B33"/>
    <w:rsid w:val="001B1617"/>
    <w:rsid w:val="001B28AA"/>
    <w:rsid w:val="001B504B"/>
    <w:rsid w:val="001B6740"/>
    <w:rsid w:val="001D1DD8"/>
    <w:rsid w:val="001D245A"/>
    <w:rsid w:val="001D3874"/>
    <w:rsid w:val="001D4B9C"/>
    <w:rsid w:val="001D65AB"/>
    <w:rsid w:val="001D7E75"/>
    <w:rsid w:val="001E4628"/>
    <w:rsid w:val="001E56D2"/>
    <w:rsid w:val="001E6FB3"/>
    <w:rsid w:val="001E7D56"/>
    <w:rsid w:val="001F75DE"/>
    <w:rsid w:val="00200D58"/>
    <w:rsid w:val="002013BE"/>
    <w:rsid w:val="00204D67"/>
    <w:rsid w:val="002063A4"/>
    <w:rsid w:val="0021145B"/>
    <w:rsid w:val="002269B0"/>
    <w:rsid w:val="002347A6"/>
    <w:rsid w:val="00243D36"/>
    <w:rsid w:val="00247707"/>
    <w:rsid w:val="00253083"/>
    <w:rsid w:val="0026018E"/>
    <w:rsid w:val="00262E10"/>
    <w:rsid w:val="0027278B"/>
    <w:rsid w:val="00275E4A"/>
    <w:rsid w:val="00282548"/>
    <w:rsid w:val="00286740"/>
    <w:rsid w:val="002929D8"/>
    <w:rsid w:val="00297148"/>
    <w:rsid w:val="002A237D"/>
    <w:rsid w:val="002A371F"/>
    <w:rsid w:val="002A3BC6"/>
    <w:rsid w:val="002A404E"/>
    <w:rsid w:val="002A4C53"/>
    <w:rsid w:val="002B053F"/>
    <w:rsid w:val="002B0672"/>
    <w:rsid w:val="002B0FD9"/>
    <w:rsid w:val="002B247F"/>
    <w:rsid w:val="002B3CD1"/>
    <w:rsid w:val="002C0D2F"/>
    <w:rsid w:val="002C145D"/>
    <w:rsid w:val="002C2C3E"/>
    <w:rsid w:val="002C533E"/>
    <w:rsid w:val="002D027F"/>
    <w:rsid w:val="002D7A85"/>
    <w:rsid w:val="002D7B60"/>
    <w:rsid w:val="002E1D1A"/>
    <w:rsid w:val="002F4761"/>
    <w:rsid w:val="002F4F75"/>
    <w:rsid w:val="002F51A3"/>
    <w:rsid w:val="002F5C79"/>
    <w:rsid w:val="003019E2"/>
    <w:rsid w:val="00304029"/>
    <w:rsid w:val="00305C9F"/>
    <w:rsid w:val="0031413F"/>
    <w:rsid w:val="003148BB"/>
    <w:rsid w:val="0031778B"/>
    <w:rsid w:val="00317976"/>
    <w:rsid w:val="00334834"/>
    <w:rsid w:val="00341B27"/>
    <w:rsid w:val="003525DB"/>
    <w:rsid w:val="00354B28"/>
    <w:rsid w:val="00355EA9"/>
    <w:rsid w:val="003578DE"/>
    <w:rsid w:val="00361F76"/>
    <w:rsid w:val="00362CC0"/>
    <w:rsid w:val="00380DAE"/>
    <w:rsid w:val="00394DF0"/>
    <w:rsid w:val="00395226"/>
    <w:rsid w:val="00396257"/>
    <w:rsid w:val="00397EB8"/>
    <w:rsid w:val="003A4FD0"/>
    <w:rsid w:val="003A52F5"/>
    <w:rsid w:val="003A69D1"/>
    <w:rsid w:val="003A7681"/>
    <w:rsid w:val="003A7705"/>
    <w:rsid w:val="003A77F1"/>
    <w:rsid w:val="003A7A12"/>
    <w:rsid w:val="003B1545"/>
    <w:rsid w:val="003B3180"/>
    <w:rsid w:val="003C409D"/>
    <w:rsid w:val="003C5BA6"/>
    <w:rsid w:val="003D17D2"/>
    <w:rsid w:val="003D17EB"/>
    <w:rsid w:val="003D1AD5"/>
    <w:rsid w:val="003E239A"/>
    <w:rsid w:val="003F0E85"/>
    <w:rsid w:val="003F2D0E"/>
    <w:rsid w:val="00402F69"/>
    <w:rsid w:val="00410C55"/>
    <w:rsid w:val="00414834"/>
    <w:rsid w:val="004164D5"/>
    <w:rsid w:val="00416854"/>
    <w:rsid w:val="004171C0"/>
    <w:rsid w:val="00417725"/>
    <w:rsid w:val="00424E31"/>
    <w:rsid w:val="004264A1"/>
    <w:rsid w:val="00430F74"/>
    <w:rsid w:val="0043116E"/>
    <w:rsid w:val="004326DF"/>
    <w:rsid w:val="004374CA"/>
    <w:rsid w:val="00437F26"/>
    <w:rsid w:val="00444097"/>
    <w:rsid w:val="00445487"/>
    <w:rsid w:val="00447A01"/>
    <w:rsid w:val="00447B4F"/>
    <w:rsid w:val="00451D2F"/>
    <w:rsid w:val="00454769"/>
    <w:rsid w:val="00455FEF"/>
    <w:rsid w:val="00466991"/>
    <w:rsid w:val="0047064C"/>
    <w:rsid w:val="00470DB4"/>
    <w:rsid w:val="00475D11"/>
    <w:rsid w:val="00477A96"/>
    <w:rsid w:val="00486055"/>
    <w:rsid w:val="004936F0"/>
    <w:rsid w:val="00494E77"/>
    <w:rsid w:val="0049754A"/>
    <w:rsid w:val="004A42E1"/>
    <w:rsid w:val="004A7584"/>
    <w:rsid w:val="004B162C"/>
    <w:rsid w:val="004B75D8"/>
    <w:rsid w:val="004C05F5"/>
    <w:rsid w:val="004C3DBE"/>
    <w:rsid w:val="004C5C96"/>
    <w:rsid w:val="004D06A4"/>
    <w:rsid w:val="004E44AC"/>
    <w:rsid w:val="004F1A81"/>
    <w:rsid w:val="004F4A62"/>
    <w:rsid w:val="004F5DB2"/>
    <w:rsid w:val="004F6808"/>
    <w:rsid w:val="00511E03"/>
    <w:rsid w:val="00513CFF"/>
    <w:rsid w:val="00516312"/>
    <w:rsid w:val="005218D9"/>
    <w:rsid w:val="00536186"/>
    <w:rsid w:val="00541303"/>
    <w:rsid w:val="00544CBB"/>
    <w:rsid w:val="00555C3B"/>
    <w:rsid w:val="00562B13"/>
    <w:rsid w:val="0057315F"/>
    <w:rsid w:val="00576104"/>
    <w:rsid w:val="0058545F"/>
    <w:rsid w:val="00590B84"/>
    <w:rsid w:val="00591E68"/>
    <w:rsid w:val="00592010"/>
    <w:rsid w:val="005A4B61"/>
    <w:rsid w:val="005B0A40"/>
    <w:rsid w:val="005C5299"/>
    <w:rsid w:val="005C67C8"/>
    <w:rsid w:val="005D0249"/>
    <w:rsid w:val="005D2BDB"/>
    <w:rsid w:val="005D6E8C"/>
    <w:rsid w:val="005E6838"/>
    <w:rsid w:val="005F100C"/>
    <w:rsid w:val="005F38B8"/>
    <w:rsid w:val="005F4AD1"/>
    <w:rsid w:val="005F68DA"/>
    <w:rsid w:val="00602F6C"/>
    <w:rsid w:val="0060773B"/>
    <w:rsid w:val="006157B5"/>
    <w:rsid w:val="00616E82"/>
    <w:rsid w:val="0062103A"/>
    <w:rsid w:val="006213D7"/>
    <w:rsid w:val="0062176A"/>
    <w:rsid w:val="00624056"/>
    <w:rsid w:val="00626FC6"/>
    <w:rsid w:val="00630177"/>
    <w:rsid w:val="006303B4"/>
    <w:rsid w:val="00632C39"/>
    <w:rsid w:val="00633D3D"/>
    <w:rsid w:val="006354FE"/>
    <w:rsid w:val="00635F5F"/>
    <w:rsid w:val="00640D76"/>
    <w:rsid w:val="00641703"/>
    <w:rsid w:val="006431A6"/>
    <w:rsid w:val="00644EF9"/>
    <w:rsid w:val="006459F6"/>
    <w:rsid w:val="006501AD"/>
    <w:rsid w:val="00651BFA"/>
    <w:rsid w:val="00654475"/>
    <w:rsid w:val="00665A4B"/>
    <w:rsid w:val="00672FF9"/>
    <w:rsid w:val="006776CD"/>
    <w:rsid w:val="0068149B"/>
    <w:rsid w:val="00682B91"/>
    <w:rsid w:val="00692C3D"/>
    <w:rsid w:val="00692E2A"/>
    <w:rsid w:val="006A76F2"/>
    <w:rsid w:val="006B2A36"/>
    <w:rsid w:val="006C144B"/>
    <w:rsid w:val="006C46D1"/>
    <w:rsid w:val="006D2239"/>
    <w:rsid w:val="006D586A"/>
    <w:rsid w:val="006D7EFB"/>
    <w:rsid w:val="006E529B"/>
    <w:rsid w:val="006E6672"/>
    <w:rsid w:val="006E6722"/>
    <w:rsid w:val="006E6F6A"/>
    <w:rsid w:val="007009A1"/>
    <w:rsid w:val="007027B9"/>
    <w:rsid w:val="00710926"/>
    <w:rsid w:val="00714AAB"/>
    <w:rsid w:val="00715E88"/>
    <w:rsid w:val="00734CAA"/>
    <w:rsid w:val="0074679F"/>
    <w:rsid w:val="00751932"/>
    <w:rsid w:val="00753CDD"/>
    <w:rsid w:val="0075533C"/>
    <w:rsid w:val="00757581"/>
    <w:rsid w:val="007576AF"/>
    <w:rsid w:val="007611A0"/>
    <w:rsid w:val="00763119"/>
    <w:rsid w:val="00771AE1"/>
    <w:rsid w:val="00791783"/>
    <w:rsid w:val="00796D3F"/>
    <w:rsid w:val="007A1683"/>
    <w:rsid w:val="007A2543"/>
    <w:rsid w:val="007A34FF"/>
    <w:rsid w:val="007A5C12"/>
    <w:rsid w:val="007A7CB0"/>
    <w:rsid w:val="007B05A6"/>
    <w:rsid w:val="007B68A3"/>
    <w:rsid w:val="007C2541"/>
    <w:rsid w:val="007C7468"/>
    <w:rsid w:val="007D0E30"/>
    <w:rsid w:val="007D66A8"/>
    <w:rsid w:val="007E003F"/>
    <w:rsid w:val="007E4764"/>
    <w:rsid w:val="007E60F1"/>
    <w:rsid w:val="007F161E"/>
    <w:rsid w:val="007F2B31"/>
    <w:rsid w:val="008164F2"/>
    <w:rsid w:val="0082111D"/>
    <w:rsid w:val="00821395"/>
    <w:rsid w:val="00830E26"/>
    <w:rsid w:val="0083661D"/>
    <w:rsid w:val="00842CC1"/>
    <w:rsid w:val="00843576"/>
    <w:rsid w:val="00843928"/>
    <w:rsid w:val="00843B64"/>
    <w:rsid w:val="00846486"/>
    <w:rsid w:val="008478FC"/>
    <w:rsid w:val="00853C6A"/>
    <w:rsid w:val="00861329"/>
    <w:rsid w:val="00862543"/>
    <w:rsid w:val="0086333E"/>
    <w:rsid w:val="0086592C"/>
    <w:rsid w:val="00865E9C"/>
    <w:rsid w:val="00867BFF"/>
    <w:rsid w:val="00867C98"/>
    <w:rsid w:val="0087141B"/>
    <w:rsid w:val="00872E01"/>
    <w:rsid w:val="0088480A"/>
    <w:rsid w:val="00886C82"/>
    <w:rsid w:val="0088757A"/>
    <w:rsid w:val="008957DD"/>
    <w:rsid w:val="00897D98"/>
    <w:rsid w:val="008A0D37"/>
    <w:rsid w:val="008A3A66"/>
    <w:rsid w:val="008A536B"/>
    <w:rsid w:val="008A6DF2"/>
    <w:rsid w:val="008A7807"/>
    <w:rsid w:val="008B4CC9"/>
    <w:rsid w:val="008C0855"/>
    <w:rsid w:val="008D7C99"/>
    <w:rsid w:val="008E0FCB"/>
    <w:rsid w:val="008E7AFF"/>
    <w:rsid w:val="008F1D5D"/>
    <w:rsid w:val="008F2FCF"/>
    <w:rsid w:val="0090144F"/>
    <w:rsid w:val="00904378"/>
    <w:rsid w:val="009137B7"/>
    <w:rsid w:val="00916677"/>
    <w:rsid w:val="0092178C"/>
    <w:rsid w:val="00930B88"/>
    <w:rsid w:val="009355DE"/>
    <w:rsid w:val="00940DCC"/>
    <w:rsid w:val="0094179A"/>
    <w:rsid w:val="0094459E"/>
    <w:rsid w:val="00944DBC"/>
    <w:rsid w:val="0094773F"/>
    <w:rsid w:val="00950977"/>
    <w:rsid w:val="00951A7B"/>
    <w:rsid w:val="009536F5"/>
    <w:rsid w:val="009564A6"/>
    <w:rsid w:val="0096300D"/>
    <w:rsid w:val="009644C9"/>
    <w:rsid w:val="00967621"/>
    <w:rsid w:val="00967E6A"/>
    <w:rsid w:val="00991D64"/>
    <w:rsid w:val="0099438B"/>
    <w:rsid w:val="009A3D41"/>
    <w:rsid w:val="009B4A0F"/>
    <w:rsid w:val="009C11D2"/>
    <w:rsid w:val="009C6C70"/>
    <w:rsid w:val="009C77D6"/>
    <w:rsid w:val="009D0B63"/>
    <w:rsid w:val="009E1067"/>
    <w:rsid w:val="009E1905"/>
    <w:rsid w:val="009E307E"/>
    <w:rsid w:val="009F0E95"/>
    <w:rsid w:val="00A07870"/>
    <w:rsid w:val="00A07F19"/>
    <w:rsid w:val="00A13102"/>
    <w:rsid w:val="00A1348D"/>
    <w:rsid w:val="00A135B4"/>
    <w:rsid w:val="00A137B2"/>
    <w:rsid w:val="00A16259"/>
    <w:rsid w:val="00A21A94"/>
    <w:rsid w:val="00A232EE"/>
    <w:rsid w:val="00A26B51"/>
    <w:rsid w:val="00A33B13"/>
    <w:rsid w:val="00A4175F"/>
    <w:rsid w:val="00A43FAA"/>
    <w:rsid w:val="00A44411"/>
    <w:rsid w:val="00A469FA"/>
    <w:rsid w:val="00A47F94"/>
    <w:rsid w:val="00A51073"/>
    <w:rsid w:val="00A55B01"/>
    <w:rsid w:val="00A5685B"/>
    <w:rsid w:val="00A56B5B"/>
    <w:rsid w:val="00A57A51"/>
    <w:rsid w:val="00A603FF"/>
    <w:rsid w:val="00A60D0A"/>
    <w:rsid w:val="00A657DD"/>
    <w:rsid w:val="00A666A6"/>
    <w:rsid w:val="00A675FD"/>
    <w:rsid w:val="00A72437"/>
    <w:rsid w:val="00A7625E"/>
    <w:rsid w:val="00A80611"/>
    <w:rsid w:val="00A9284F"/>
    <w:rsid w:val="00A9721E"/>
    <w:rsid w:val="00AB0532"/>
    <w:rsid w:val="00AB5340"/>
    <w:rsid w:val="00AB5FB4"/>
    <w:rsid w:val="00AC0A89"/>
    <w:rsid w:val="00AC6E93"/>
    <w:rsid w:val="00AC7C96"/>
    <w:rsid w:val="00AD3340"/>
    <w:rsid w:val="00AD5B2E"/>
    <w:rsid w:val="00AE237D"/>
    <w:rsid w:val="00AE502A"/>
    <w:rsid w:val="00AF5945"/>
    <w:rsid w:val="00AF7C07"/>
    <w:rsid w:val="00B049FE"/>
    <w:rsid w:val="00B1144E"/>
    <w:rsid w:val="00B22C93"/>
    <w:rsid w:val="00B27589"/>
    <w:rsid w:val="00B322DD"/>
    <w:rsid w:val="00B32911"/>
    <w:rsid w:val="00B345C1"/>
    <w:rsid w:val="00B405B7"/>
    <w:rsid w:val="00B44C1F"/>
    <w:rsid w:val="00B50A1F"/>
    <w:rsid w:val="00B52222"/>
    <w:rsid w:val="00B5238C"/>
    <w:rsid w:val="00B52E61"/>
    <w:rsid w:val="00B54FE7"/>
    <w:rsid w:val="00B57A5E"/>
    <w:rsid w:val="00B65930"/>
    <w:rsid w:val="00B66401"/>
    <w:rsid w:val="00B66901"/>
    <w:rsid w:val="00B71E6D"/>
    <w:rsid w:val="00B72070"/>
    <w:rsid w:val="00B72F4B"/>
    <w:rsid w:val="00B75A3A"/>
    <w:rsid w:val="00B779E1"/>
    <w:rsid w:val="00B80DEA"/>
    <w:rsid w:val="00B91EE1"/>
    <w:rsid w:val="00B937B1"/>
    <w:rsid w:val="00BA0090"/>
    <w:rsid w:val="00BA0732"/>
    <w:rsid w:val="00BA1A67"/>
    <w:rsid w:val="00BA26A1"/>
    <w:rsid w:val="00BB087F"/>
    <w:rsid w:val="00BC3989"/>
    <w:rsid w:val="00BD1ED7"/>
    <w:rsid w:val="00BD4471"/>
    <w:rsid w:val="00BD75C6"/>
    <w:rsid w:val="00BE2CB4"/>
    <w:rsid w:val="00BE5B5F"/>
    <w:rsid w:val="00BE7E37"/>
    <w:rsid w:val="00BF0540"/>
    <w:rsid w:val="00C0037F"/>
    <w:rsid w:val="00C00F56"/>
    <w:rsid w:val="00C03F20"/>
    <w:rsid w:val="00C15016"/>
    <w:rsid w:val="00C16605"/>
    <w:rsid w:val="00C17308"/>
    <w:rsid w:val="00C26F55"/>
    <w:rsid w:val="00C30C63"/>
    <w:rsid w:val="00C30CEE"/>
    <w:rsid w:val="00C352DA"/>
    <w:rsid w:val="00C36B8B"/>
    <w:rsid w:val="00C415C1"/>
    <w:rsid w:val="00C47DBF"/>
    <w:rsid w:val="00C552FF"/>
    <w:rsid w:val="00C558DA"/>
    <w:rsid w:val="00C55AF3"/>
    <w:rsid w:val="00C65E5A"/>
    <w:rsid w:val="00C74458"/>
    <w:rsid w:val="00C83464"/>
    <w:rsid w:val="00C84759"/>
    <w:rsid w:val="00CA0251"/>
    <w:rsid w:val="00CA14D7"/>
    <w:rsid w:val="00CA59D9"/>
    <w:rsid w:val="00CA6C7F"/>
    <w:rsid w:val="00CB0B4C"/>
    <w:rsid w:val="00CB1D89"/>
    <w:rsid w:val="00CB20F7"/>
    <w:rsid w:val="00CB57C7"/>
    <w:rsid w:val="00CB79C0"/>
    <w:rsid w:val="00CC10A6"/>
    <w:rsid w:val="00CD5EB8"/>
    <w:rsid w:val="00CD7044"/>
    <w:rsid w:val="00CE08B9"/>
    <w:rsid w:val="00CE524C"/>
    <w:rsid w:val="00CF141F"/>
    <w:rsid w:val="00CF4777"/>
    <w:rsid w:val="00D04A5E"/>
    <w:rsid w:val="00D056FC"/>
    <w:rsid w:val="00D067BB"/>
    <w:rsid w:val="00D1352A"/>
    <w:rsid w:val="00D169AF"/>
    <w:rsid w:val="00D20276"/>
    <w:rsid w:val="00D24E62"/>
    <w:rsid w:val="00D25249"/>
    <w:rsid w:val="00D4392F"/>
    <w:rsid w:val="00D44172"/>
    <w:rsid w:val="00D54301"/>
    <w:rsid w:val="00D61581"/>
    <w:rsid w:val="00D62040"/>
    <w:rsid w:val="00D63B8C"/>
    <w:rsid w:val="00D739CC"/>
    <w:rsid w:val="00D8093D"/>
    <w:rsid w:val="00D8108C"/>
    <w:rsid w:val="00D842AE"/>
    <w:rsid w:val="00D9211C"/>
    <w:rsid w:val="00D92DE0"/>
    <w:rsid w:val="00D92FEF"/>
    <w:rsid w:val="00D932D9"/>
    <w:rsid w:val="00D93A0F"/>
    <w:rsid w:val="00DA01B2"/>
    <w:rsid w:val="00DA1BCA"/>
    <w:rsid w:val="00DA5A81"/>
    <w:rsid w:val="00DA7F06"/>
    <w:rsid w:val="00DB02DC"/>
    <w:rsid w:val="00DC0419"/>
    <w:rsid w:val="00DC46FF"/>
    <w:rsid w:val="00DC5254"/>
    <w:rsid w:val="00DC5299"/>
    <w:rsid w:val="00DD1A4F"/>
    <w:rsid w:val="00DD3107"/>
    <w:rsid w:val="00DD68EB"/>
    <w:rsid w:val="00DD7C2C"/>
    <w:rsid w:val="00DE480C"/>
    <w:rsid w:val="00DE61FC"/>
    <w:rsid w:val="00DF101C"/>
    <w:rsid w:val="00DF7771"/>
    <w:rsid w:val="00E02F4B"/>
    <w:rsid w:val="00E041E6"/>
    <w:rsid w:val="00E06797"/>
    <w:rsid w:val="00E1265B"/>
    <w:rsid w:val="00E1335D"/>
    <w:rsid w:val="00E13B48"/>
    <w:rsid w:val="00E1404F"/>
    <w:rsid w:val="00E21C83"/>
    <w:rsid w:val="00E224C8"/>
    <w:rsid w:val="00E24683"/>
    <w:rsid w:val="00E24ADA"/>
    <w:rsid w:val="00E32F59"/>
    <w:rsid w:val="00E4306D"/>
    <w:rsid w:val="00E46D9A"/>
    <w:rsid w:val="00E47FE9"/>
    <w:rsid w:val="00E565FF"/>
    <w:rsid w:val="00E56F81"/>
    <w:rsid w:val="00E62491"/>
    <w:rsid w:val="00E63CB7"/>
    <w:rsid w:val="00E65388"/>
    <w:rsid w:val="00E75212"/>
    <w:rsid w:val="00E84C56"/>
    <w:rsid w:val="00E85B7D"/>
    <w:rsid w:val="00E9121B"/>
    <w:rsid w:val="00E93240"/>
    <w:rsid w:val="00EA0AE2"/>
    <w:rsid w:val="00EA35E3"/>
    <w:rsid w:val="00EA39E5"/>
    <w:rsid w:val="00EA773E"/>
    <w:rsid w:val="00EB2B5B"/>
    <w:rsid w:val="00EC02A7"/>
    <w:rsid w:val="00EC5A46"/>
    <w:rsid w:val="00EC63E2"/>
    <w:rsid w:val="00ED3A76"/>
    <w:rsid w:val="00ED5CCE"/>
    <w:rsid w:val="00EF202F"/>
    <w:rsid w:val="00EF22B3"/>
    <w:rsid w:val="00F03B69"/>
    <w:rsid w:val="00F07A50"/>
    <w:rsid w:val="00F113DA"/>
    <w:rsid w:val="00F16D18"/>
    <w:rsid w:val="00F32416"/>
    <w:rsid w:val="00F33742"/>
    <w:rsid w:val="00F37DC8"/>
    <w:rsid w:val="00F439B3"/>
    <w:rsid w:val="00F43DC0"/>
    <w:rsid w:val="00F46E49"/>
    <w:rsid w:val="00F51164"/>
    <w:rsid w:val="00F650C3"/>
    <w:rsid w:val="00F65D85"/>
    <w:rsid w:val="00F75825"/>
    <w:rsid w:val="00F8091E"/>
    <w:rsid w:val="00F8564D"/>
    <w:rsid w:val="00F8615C"/>
    <w:rsid w:val="00F87EDB"/>
    <w:rsid w:val="00F90BC4"/>
    <w:rsid w:val="00F92463"/>
    <w:rsid w:val="00F969E5"/>
    <w:rsid w:val="00FA4D6B"/>
    <w:rsid w:val="00FA6BB0"/>
    <w:rsid w:val="00FC6945"/>
    <w:rsid w:val="00FD5475"/>
    <w:rsid w:val="00FD5860"/>
    <w:rsid w:val="00FE1DD6"/>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5D2E2"/>
  <w15:chartTrackingRefBased/>
  <w15:docId w15:val="{ED4C7E48-E51A-4FC5-8D6B-B2646B6C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74679F"/>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74679F"/>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74679F"/>
    <w:pPr>
      <w:keepNext/>
      <w:keepLines/>
      <w:tabs>
        <w:tab w:val="right" w:pos="851"/>
      </w:tabs>
      <w:suppressAutoHyphens/>
      <w:spacing w:before="12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enter" w:pos="4536"/>
        <w:tab w:val="right" w:pos="9072"/>
      </w:tabs>
      <w:spacing w:after="120"/>
    </w:pPr>
    <w:rPr>
      <w:b/>
      <w:sz w:val="18"/>
    </w:rPr>
  </w:style>
  <w:style w:type="paragraph" w:customStyle="1" w:styleId="Normal-pool">
    <w:name w:val="Normal-pool"/>
    <w:rsid w:val="0074679F"/>
    <w:pPr>
      <w:tabs>
        <w:tab w:val="left" w:pos="624"/>
      </w:tabs>
    </w:pPr>
    <w:rPr>
      <w:lang w:eastAsia="en-U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0D6941"/>
    <w:pPr>
      <w:spacing w:before="20" w:after="40"/>
      <w:ind w:left="1247"/>
    </w:pPr>
    <w:rPr>
      <w:sz w:val="18"/>
    </w:rPr>
  </w:style>
  <w:style w:type="paragraph" w:styleId="BalloonText">
    <w:name w:val="Balloon Text"/>
    <w:basedOn w:val="Normal"/>
    <w:link w:val="BalloonTextChar"/>
    <w:rsid w:val="0074679F"/>
    <w:rPr>
      <w:rFonts w:ascii="Segoe UI" w:hAnsi="Segoe UI" w:cs="Segoe UI"/>
      <w:sz w:val="18"/>
      <w:szCs w:val="18"/>
    </w:rPr>
  </w:style>
  <w:style w:type="character" w:customStyle="1" w:styleId="BalloonTextChar">
    <w:name w:val="Balloon Text Char"/>
    <w:basedOn w:val="DefaultParagraphFont"/>
    <w:link w:val="BalloonText"/>
    <w:rsid w:val="0074679F"/>
    <w:rPr>
      <w:rFonts w:ascii="Segoe UI" w:hAnsi="Segoe UI" w:cs="Segoe UI"/>
      <w:sz w:val="18"/>
      <w:szCs w:val="18"/>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E1335D"/>
    <w:pPr>
      <w:tabs>
        <w:tab w:val="clear" w:pos="4082"/>
      </w:tabs>
      <w:spacing w:before="6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1"/>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771AE1"/>
    <w:pPr>
      <w:numPr>
        <w:numId w:val="4"/>
      </w:numPr>
      <w:tabs>
        <w:tab w:val="clear" w:pos="1134"/>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styleId="CommentReference">
    <w:name w:val="annotation reference"/>
    <w:basedOn w:val="DefaultParagraphFont"/>
    <w:rsid w:val="001379D4"/>
    <w:rPr>
      <w:sz w:val="16"/>
      <w:szCs w:val="16"/>
    </w:rPr>
  </w:style>
  <w:style w:type="paragraph" w:styleId="CommentText">
    <w:name w:val="annotation text"/>
    <w:basedOn w:val="Normal"/>
    <w:link w:val="CommentTextChar"/>
    <w:rsid w:val="001379D4"/>
  </w:style>
  <w:style w:type="character" w:customStyle="1" w:styleId="CommentTextChar">
    <w:name w:val="Comment Text Char"/>
    <w:basedOn w:val="DefaultParagraphFont"/>
    <w:link w:val="CommentText"/>
    <w:rsid w:val="001379D4"/>
    <w:rPr>
      <w:lang w:val="fr-FR" w:eastAsia="en-US"/>
    </w:rPr>
  </w:style>
  <w:style w:type="paragraph" w:styleId="CommentSubject">
    <w:name w:val="annotation subject"/>
    <w:basedOn w:val="CommentText"/>
    <w:next w:val="CommentText"/>
    <w:link w:val="CommentSubjectChar"/>
    <w:rsid w:val="001379D4"/>
    <w:rPr>
      <w:b/>
      <w:bCs/>
    </w:rPr>
  </w:style>
  <w:style w:type="character" w:customStyle="1" w:styleId="CommentSubjectChar">
    <w:name w:val="Comment Subject Char"/>
    <w:basedOn w:val="CommentTextChar"/>
    <w:link w:val="CommentSubject"/>
    <w:rsid w:val="001379D4"/>
    <w:rPr>
      <w:b/>
      <w:bCs/>
      <w:lang w:val="fr-FR" w:eastAsia="en-US"/>
    </w:rPr>
  </w:style>
  <w:style w:type="paragraph" w:styleId="Revision">
    <w:name w:val="Revision"/>
    <w:hidden/>
    <w:uiPriority w:val="99"/>
    <w:semiHidden/>
    <w:rsid w:val="00A47F94"/>
    <w:rPr>
      <w:lang w:val="fr-FR" w:eastAsia="en-US"/>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basedOn w:val="DefaultParagraphFont"/>
    <w:link w:val="FootnoteText"/>
    <w:uiPriority w:val="99"/>
    <w:rsid w:val="009C77D6"/>
    <w:rPr>
      <w:sz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thegef.org/sites/default/files/web-documents/10497_MFA_PIF.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naturemap.earth/"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unenvironment.org/news-and-stories/press-release/dutch-government-and-rabobank-announce-anchor-investments-agri3-fund"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rabobank.com/en/images/AGRI3Fund_leaflet.pdf" TargetMode="External"/><Relationship Id="rId20" Type="http://schemas.openxmlformats.org/officeDocument/2006/relationships/hyperlink" Target="file:///C:/Users/Martin/AppData/Local/Microsoft/Windows/INetCache/Content.Outlook/89KWF4V4/andgreen.fun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rabobank.com/en/images/AGRI3Fund_leaflet.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nenvironment.org/news-and-stories/press-release/rabobank-and-un-environment-announce-new-billion-dollar-partnersh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tactmonkey.com/api/v1/tracker?cm_session=0e2d22ac-a960-4831-b0a1-642d66a40907&amp;cm_type=link&amp;cm_link=da30cb51-780e-4229-b383-87fac446b949&amp;cm_destination=https://www.unenvironment.org/resources/report/preventing-future-zoonotic-disease-outbreaks-protecting-environment-animals-and"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20FC3-4740-43EB-A8D5-D55D776EF5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3F0725-4CF8-480E-9EF6-090C2BB48752}">
  <ds:schemaRefs>
    <ds:schemaRef ds:uri="http://schemas.microsoft.com/sharepoint/v3/contenttype/forms"/>
  </ds:schemaRefs>
</ds:datastoreItem>
</file>

<file path=customXml/itemProps3.xml><?xml version="1.0" encoding="utf-8"?>
<ds:datastoreItem xmlns:ds="http://schemas.openxmlformats.org/officeDocument/2006/customXml" ds:itemID="{1745673E-69D7-4FC4-B5D6-E0BBBB041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83CB9-87F0-40EB-9CBF-40AD63279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2883</Words>
  <Characters>16437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Veronica Gathu</cp:lastModifiedBy>
  <cp:revision>5</cp:revision>
  <cp:lastPrinted>2010-07-07T11:56:00Z</cp:lastPrinted>
  <dcterms:created xsi:type="dcterms:W3CDTF">2020-12-29T06:15:00Z</dcterms:created>
  <dcterms:modified xsi:type="dcterms:W3CDTF">2020-12-29T06:26:00Z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