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right"/>
        <w:tblLayout w:type="fixed"/>
        <w:tblLook w:val="0000" w:firstRow="0" w:lastRow="0" w:firstColumn="0" w:lastColumn="0" w:noHBand="0" w:noVBand="0"/>
      </w:tblPr>
      <w:tblGrid>
        <w:gridCol w:w="1519"/>
        <w:gridCol w:w="5144"/>
        <w:gridCol w:w="425"/>
        <w:gridCol w:w="2408"/>
      </w:tblGrid>
      <w:tr w:rsidR="00267E79" w:rsidRPr="00844B91" w14:paraId="7D20D807" w14:textId="77777777" w:rsidTr="003D32A2">
        <w:trPr>
          <w:cantSplit/>
          <w:trHeight w:val="57"/>
          <w:jc w:val="right"/>
        </w:trPr>
        <w:tc>
          <w:tcPr>
            <w:tcW w:w="1519" w:type="dxa"/>
          </w:tcPr>
          <w:p w14:paraId="7F25B7B1" w14:textId="77777777" w:rsidR="00267E79" w:rsidRPr="00336DD6" w:rsidRDefault="00267E79" w:rsidP="003D32A2">
            <w:pPr>
              <w:pStyle w:val="Normal-pool"/>
              <w:rPr>
                <w:rFonts w:ascii="Arial" w:hAnsi="Arial" w:cs="Arial"/>
                <w:b/>
                <w:bCs/>
                <w:sz w:val="27"/>
                <w:szCs w:val="27"/>
              </w:rPr>
            </w:pPr>
            <w:r w:rsidRPr="00336DD6">
              <w:rPr>
                <w:rFonts w:ascii="Arial" w:hAnsi="Arial" w:cs="Arial"/>
                <w:b/>
                <w:bCs/>
                <w:sz w:val="27"/>
                <w:szCs w:val="27"/>
              </w:rPr>
              <w:t>NATIONS</w:t>
            </w:r>
            <w:r>
              <w:rPr>
                <w:rFonts w:ascii="Arial" w:hAnsi="Arial" w:cs="Arial"/>
                <w:b/>
                <w:bCs/>
                <w:sz w:val="27"/>
                <w:szCs w:val="27"/>
              </w:rPr>
              <w:t xml:space="preserve"> </w:t>
            </w:r>
            <w:r w:rsidRPr="00336DD6">
              <w:rPr>
                <w:rFonts w:ascii="Arial" w:hAnsi="Arial" w:cs="Arial"/>
                <w:b/>
                <w:bCs/>
                <w:sz w:val="27"/>
                <w:szCs w:val="27"/>
              </w:rPr>
              <w:br/>
              <w:t>UNIES</w:t>
            </w:r>
          </w:p>
        </w:tc>
        <w:tc>
          <w:tcPr>
            <w:tcW w:w="5144" w:type="dxa"/>
          </w:tcPr>
          <w:p w14:paraId="65050180" w14:textId="77777777" w:rsidR="00267E79" w:rsidRPr="00844B91" w:rsidRDefault="00267E79" w:rsidP="003D32A2">
            <w:pPr>
              <w:pStyle w:val="Normal-pool"/>
            </w:pPr>
          </w:p>
        </w:tc>
        <w:tc>
          <w:tcPr>
            <w:tcW w:w="2833" w:type="dxa"/>
            <w:gridSpan w:val="2"/>
          </w:tcPr>
          <w:p w14:paraId="0C17839D" w14:textId="77777777" w:rsidR="00267E79" w:rsidRPr="00336DD6" w:rsidRDefault="00267E79" w:rsidP="003D32A2">
            <w:pPr>
              <w:pStyle w:val="Normal-pool"/>
              <w:jc w:val="right"/>
              <w:rPr>
                <w:rFonts w:ascii="Arial" w:hAnsi="Arial" w:cs="Arial"/>
                <w:b/>
                <w:bCs/>
                <w:sz w:val="64"/>
                <w:szCs w:val="64"/>
              </w:rPr>
            </w:pPr>
            <w:r w:rsidRPr="00336DD6">
              <w:rPr>
                <w:rFonts w:ascii="Arial" w:hAnsi="Arial" w:cs="Arial"/>
                <w:b/>
                <w:bCs/>
                <w:sz w:val="64"/>
                <w:szCs w:val="64"/>
              </w:rPr>
              <w:t>EP</w:t>
            </w:r>
          </w:p>
        </w:tc>
      </w:tr>
      <w:tr w:rsidR="00267E79" w:rsidRPr="00844B91" w14:paraId="653D8A82" w14:textId="77777777" w:rsidTr="003D32A2">
        <w:trPr>
          <w:cantSplit/>
          <w:trHeight w:val="57"/>
          <w:jc w:val="right"/>
        </w:trPr>
        <w:tc>
          <w:tcPr>
            <w:tcW w:w="1519" w:type="dxa"/>
            <w:tcBorders>
              <w:bottom w:val="single" w:sz="4" w:space="0" w:color="auto"/>
            </w:tcBorders>
          </w:tcPr>
          <w:p w14:paraId="700C7502" w14:textId="77777777" w:rsidR="00267E79" w:rsidRPr="00844B91" w:rsidRDefault="00267E79" w:rsidP="003D32A2">
            <w:pPr>
              <w:pStyle w:val="Normal-pool"/>
            </w:pPr>
          </w:p>
        </w:tc>
        <w:tc>
          <w:tcPr>
            <w:tcW w:w="5144" w:type="dxa"/>
            <w:tcBorders>
              <w:bottom w:val="single" w:sz="4" w:space="0" w:color="auto"/>
            </w:tcBorders>
          </w:tcPr>
          <w:p w14:paraId="28F1C04B" w14:textId="77777777" w:rsidR="00267E79" w:rsidRPr="00844B91" w:rsidRDefault="00267E79" w:rsidP="003D32A2">
            <w:pPr>
              <w:pStyle w:val="Normal-pool"/>
              <w:rPr>
                <w:sz w:val="18"/>
                <w:szCs w:val="18"/>
              </w:rPr>
            </w:pPr>
          </w:p>
        </w:tc>
        <w:tc>
          <w:tcPr>
            <w:tcW w:w="2833" w:type="dxa"/>
            <w:gridSpan w:val="2"/>
            <w:tcBorders>
              <w:bottom w:val="single" w:sz="4" w:space="0" w:color="auto"/>
            </w:tcBorders>
          </w:tcPr>
          <w:p w14:paraId="5D6ACCBE" w14:textId="44DF4997" w:rsidR="00267E79" w:rsidRPr="00844B91" w:rsidRDefault="00267E79" w:rsidP="003D32A2">
            <w:pPr>
              <w:pStyle w:val="Normalpool"/>
              <w:tabs>
                <w:tab w:val="left" w:pos="425"/>
              </w:tabs>
              <w:rPr>
                <w:sz w:val="18"/>
                <w:szCs w:val="18"/>
              </w:rPr>
            </w:pPr>
            <w:r>
              <w:rPr>
                <w:b/>
                <w:sz w:val="28"/>
                <w:szCs w:val="28"/>
              </w:rPr>
              <w:tab/>
            </w:r>
            <w:r w:rsidRPr="00844B91">
              <w:rPr>
                <w:b/>
                <w:sz w:val="28"/>
                <w:szCs w:val="28"/>
              </w:rPr>
              <w:t>UNEP</w:t>
            </w:r>
            <w:r w:rsidRPr="00844B91">
              <w:t>/EA.5/</w:t>
            </w:r>
            <w:r>
              <w:t>10</w:t>
            </w:r>
          </w:p>
        </w:tc>
      </w:tr>
      <w:tr w:rsidR="00267E79" w:rsidRPr="00844B91" w14:paraId="2248B929" w14:textId="77777777" w:rsidTr="003D32A2">
        <w:trPr>
          <w:cantSplit/>
          <w:trHeight w:val="57"/>
          <w:jc w:val="right"/>
        </w:trPr>
        <w:tc>
          <w:tcPr>
            <w:tcW w:w="1519" w:type="dxa"/>
            <w:tcBorders>
              <w:top w:val="single" w:sz="4" w:space="0" w:color="auto"/>
              <w:bottom w:val="single" w:sz="24" w:space="0" w:color="auto"/>
            </w:tcBorders>
          </w:tcPr>
          <w:p w14:paraId="04F7963D" w14:textId="77777777" w:rsidR="00267E79" w:rsidRPr="00844B91" w:rsidRDefault="00267E79" w:rsidP="003D32A2">
            <w:pPr>
              <w:pStyle w:val="Normalpool"/>
              <w:spacing w:after="120"/>
            </w:pPr>
            <w:r w:rsidRPr="00844B91">
              <w:object w:dxaOrig="1831" w:dyaOrig="1726" w14:anchorId="3AA8F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65pt" o:ole="" fillcolor="window">
                  <v:imagedata r:id="rId11" o:title=""/>
                </v:shape>
                <o:OLEObject Type="Embed" ProgID="Word.Picture.8" ShapeID="_x0000_i1025" DrawAspect="Content" ObjectID="_1670760271" r:id="rId12"/>
              </w:object>
            </w:r>
            <w:r w:rsidRPr="00844B91">
              <w:rPr>
                <w:noProof/>
              </w:rPr>
              <w:drawing>
                <wp:inline distT="0" distB="0" distL="0" distR="0" wp14:anchorId="024CD5C0" wp14:editId="58B0E65D">
                  <wp:extent cx="723900" cy="76200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569" w:type="dxa"/>
            <w:gridSpan w:val="2"/>
            <w:tcBorders>
              <w:top w:val="single" w:sz="4" w:space="0" w:color="auto"/>
              <w:bottom w:val="single" w:sz="24" w:space="0" w:color="auto"/>
            </w:tcBorders>
          </w:tcPr>
          <w:p w14:paraId="294B630D" w14:textId="73B14D9F" w:rsidR="00267E79" w:rsidRPr="00336DD6" w:rsidRDefault="00267E79" w:rsidP="003D32A2">
            <w:pPr>
              <w:pStyle w:val="Normalpool"/>
              <w:spacing w:before="1400" w:after="240"/>
              <w:ind w:right="-227"/>
              <w:rPr>
                <w:rFonts w:ascii="Arial" w:hAnsi="Arial" w:cs="Arial"/>
                <w:b/>
                <w:bCs/>
                <w:sz w:val="28"/>
                <w:szCs w:val="28"/>
              </w:rPr>
            </w:pPr>
            <w:r w:rsidRPr="00336DD6">
              <w:rPr>
                <w:rFonts w:ascii="Arial" w:hAnsi="Arial" w:cs="Arial"/>
                <w:b/>
                <w:bCs/>
                <w:sz w:val="28"/>
                <w:szCs w:val="28"/>
              </w:rPr>
              <w:t>Assemblée des Nations Unies pour</w:t>
            </w:r>
            <w:r>
              <w:rPr>
                <w:rFonts w:ascii="Arial" w:hAnsi="Arial" w:cs="Arial"/>
                <w:b/>
                <w:bCs/>
                <w:sz w:val="28"/>
                <w:szCs w:val="28"/>
              </w:rPr>
              <w:t> </w:t>
            </w:r>
            <w:r w:rsidRPr="00336DD6">
              <w:rPr>
                <w:rFonts w:ascii="Arial" w:hAnsi="Arial" w:cs="Arial"/>
                <w:b/>
                <w:bCs/>
                <w:sz w:val="28"/>
                <w:szCs w:val="28"/>
              </w:rPr>
              <w:t>l</w:t>
            </w:r>
            <w:r w:rsidR="00864634">
              <w:rPr>
                <w:rFonts w:ascii="Arial" w:hAnsi="Arial" w:cs="Arial"/>
                <w:b/>
                <w:bCs/>
                <w:sz w:val="28"/>
                <w:szCs w:val="28"/>
              </w:rPr>
              <w:t>’</w:t>
            </w:r>
            <w:r w:rsidRPr="00336DD6">
              <w:rPr>
                <w:rFonts w:ascii="Arial" w:hAnsi="Arial" w:cs="Arial"/>
                <w:b/>
                <w:bCs/>
                <w:sz w:val="28"/>
                <w:szCs w:val="28"/>
              </w:rPr>
              <w:t>environnement du Programme des</w:t>
            </w:r>
            <w:r>
              <w:rPr>
                <w:rFonts w:ascii="Arial" w:hAnsi="Arial" w:cs="Arial"/>
                <w:b/>
                <w:bCs/>
                <w:sz w:val="28"/>
                <w:szCs w:val="28"/>
              </w:rPr>
              <w:t> </w:t>
            </w:r>
            <w:r w:rsidRPr="00336DD6">
              <w:rPr>
                <w:rFonts w:ascii="Arial" w:hAnsi="Arial" w:cs="Arial"/>
                <w:b/>
                <w:bCs/>
                <w:sz w:val="28"/>
                <w:szCs w:val="28"/>
              </w:rPr>
              <w:t>Nations Unies pour l</w:t>
            </w:r>
            <w:r w:rsidR="00864634">
              <w:rPr>
                <w:rFonts w:ascii="Arial" w:hAnsi="Arial" w:cs="Arial"/>
                <w:b/>
                <w:bCs/>
                <w:sz w:val="28"/>
                <w:szCs w:val="28"/>
              </w:rPr>
              <w:t>’</w:t>
            </w:r>
            <w:r w:rsidRPr="00336DD6">
              <w:rPr>
                <w:rFonts w:ascii="Arial" w:hAnsi="Arial" w:cs="Arial"/>
                <w:b/>
                <w:bCs/>
                <w:sz w:val="28"/>
                <w:szCs w:val="28"/>
              </w:rPr>
              <w:t>environnement</w:t>
            </w:r>
          </w:p>
        </w:tc>
        <w:tc>
          <w:tcPr>
            <w:tcW w:w="2408" w:type="dxa"/>
            <w:tcBorders>
              <w:top w:val="single" w:sz="4" w:space="0" w:color="auto"/>
              <w:bottom w:val="single" w:sz="24" w:space="0" w:color="auto"/>
            </w:tcBorders>
          </w:tcPr>
          <w:p w14:paraId="4C23A8BD" w14:textId="77777777" w:rsidR="00267E79" w:rsidRDefault="00267E79" w:rsidP="003D32A2">
            <w:pPr>
              <w:pStyle w:val="Normalpool"/>
              <w:spacing w:before="120"/>
            </w:pPr>
            <w:proofErr w:type="spellStart"/>
            <w:r w:rsidRPr="00844B91">
              <w:t>Distr</w:t>
            </w:r>
            <w:proofErr w:type="spellEnd"/>
            <w:r w:rsidRPr="00844B91">
              <w:t>. générale</w:t>
            </w:r>
          </w:p>
          <w:p w14:paraId="0F0D2B49" w14:textId="2F4B7BDA" w:rsidR="00267E79" w:rsidRPr="00844B91" w:rsidRDefault="00267E79" w:rsidP="003D32A2">
            <w:pPr>
              <w:pStyle w:val="Normalpool"/>
            </w:pPr>
            <w:r w:rsidRPr="00844B91">
              <w:t>1</w:t>
            </w:r>
            <w:r>
              <w:t>6</w:t>
            </w:r>
            <w:r w:rsidRPr="00844B91">
              <w:t> novembre</w:t>
            </w:r>
            <w:r>
              <w:t> </w:t>
            </w:r>
            <w:r w:rsidRPr="00844B91">
              <w:t>2020</w:t>
            </w:r>
          </w:p>
          <w:p w14:paraId="07425415" w14:textId="77777777" w:rsidR="00267E79" w:rsidRDefault="00267E79" w:rsidP="003D32A2">
            <w:pPr>
              <w:pStyle w:val="Normalpool"/>
              <w:spacing w:before="120"/>
            </w:pPr>
            <w:r w:rsidRPr="00844B91">
              <w:t>Français</w:t>
            </w:r>
          </w:p>
          <w:p w14:paraId="16A064D3" w14:textId="77777777" w:rsidR="00267E79" w:rsidRPr="00844B91" w:rsidRDefault="00267E79" w:rsidP="003D32A2">
            <w:pPr>
              <w:pStyle w:val="Normalpool"/>
              <w:spacing w:after="240"/>
            </w:pPr>
            <w:r w:rsidRPr="00844B91">
              <w:t>Original</w:t>
            </w:r>
            <w:r>
              <w:t> :</w:t>
            </w:r>
            <w:r w:rsidRPr="00844B91">
              <w:t xml:space="preserve"> anglais</w:t>
            </w:r>
          </w:p>
        </w:tc>
      </w:tr>
    </w:tbl>
    <w:p w14:paraId="2CF08601" w14:textId="060DC23F" w:rsidR="00087C6E" w:rsidRPr="00DD544A" w:rsidRDefault="00087C6E" w:rsidP="00087C6E">
      <w:pPr>
        <w:pStyle w:val="AATitle"/>
        <w:ind w:right="4456"/>
        <w:rPr>
          <w:lang w:val="fr-FR"/>
        </w:rPr>
      </w:pPr>
      <w:r w:rsidRPr="00DD544A">
        <w:rPr>
          <w:lang w:val="fr-FR"/>
        </w:rPr>
        <w:t>Assemblée des Nations Unies pour l</w:t>
      </w:r>
      <w:r w:rsidR="00864634">
        <w:rPr>
          <w:lang w:val="fr-FR"/>
        </w:rPr>
        <w:t>’</w:t>
      </w:r>
      <w:r w:rsidRPr="00DD544A">
        <w:rPr>
          <w:lang w:val="fr-FR"/>
        </w:rPr>
        <w:t>environnement du Programme des Nations Unies pour l</w:t>
      </w:r>
      <w:r w:rsidR="00864634">
        <w:rPr>
          <w:lang w:val="fr-FR"/>
        </w:rPr>
        <w:t>’</w:t>
      </w:r>
      <w:r w:rsidRPr="00DD544A">
        <w:rPr>
          <w:lang w:val="fr-FR"/>
        </w:rPr>
        <w:t>environnement</w:t>
      </w:r>
    </w:p>
    <w:p w14:paraId="225195C7" w14:textId="77777777" w:rsidR="00087C6E" w:rsidRPr="00DD544A" w:rsidRDefault="00087C6E" w:rsidP="00087C6E">
      <w:pPr>
        <w:pStyle w:val="AATitle"/>
        <w:rPr>
          <w:lang w:val="fr-FR"/>
        </w:rPr>
      </w:pPr>
      <w:r w:rsidRPr="00DD544A">
        <w:rPr>
          <w:lang w:val="fr-FR"/>
        </w:rPr>
        <w:t>Cinquième session</w:t>
      </w:r>
    </w:p>
    <w:p w14:paraId="2EEBBCB9" w14:textId="22879D70" w:rsidR="00087C6E" w:rsidRPr="00DD544A" w:rsidRDefault="008E75CA" w:rsidP="00087C6E">
      <w:pPr>
        <w:pStyle w:val="AATitle"/>
        <w:keepNext w:val="0"/>
        <w:keepLines w:val="0"/>
        <w:rPr>
          <w:b w:val="0"/>
          <w:lang w:val="fr-FR"/>
        </w:rPr>
      </w:pPr>
      <w:r w:rsidRPr="00CA610D">
        <w:rPr>
          <w:b w:val="0"/>
          <w:lang w:val="fr-FR"/>
        </w:rPr>
        <w:t>Nairobi</w:t>
      </w:r>
      <w:r w:rsidR="00CA610D" w:rsidRPr="00CA610D">
        <w:rPr>
          <w:b w:val="0"/>
          <w:lang w:val="fr-FR"/>
        </w:rPr>
        <w:t xml:space="preserve"> (e</w:t>
      </w:r>
      <w:r w:rsidR="00DB59AF" w:rsidRPr="00CA610D">
        <w:rPr>
          <w:b w:val="0"/>
          <w:lang w:val="fr-FR"/>
        </w:rPr>
        <w:t>n ligne</w:t>
      </w:r>
      <w:r w:rsidR="00CA610D" w:rsidRPr="00CA610D">
        <w:rPr>
          <w:b w:val="0"/>
          <w:lang w:val="fr-FR"/>
        </w:rPr>
        <w:t>)</w:t>
      </w:r>
      <w:r w:rsidR="00DB59AF" w:rsidRPr="00CA610D">
        <w:rPr>
          <w:b w:val="0"/>
          <w:lang w:val="fr-FR"/>
        </w:rPr>
        <w:t xml:space="preserve">, </w:t>
      </w:r>
      <w:r w:rsidR="004955CD" w:rsidRPr="00CA610D">
        <w:rPr>
          <w:b w:val="0"/>
        </w:rPr>
        <w:t>22–26</w:t>
      </w:r>
      <w:r w:rsidR="004955CD" w:rsidRPr="00CA610D">
        <w:rPr>
          <w:bCs/>
        </w:rPr>
        <w:t> </w:t>
      </w:r>
      <w:r w:rsidR="00DB59AF" w:rsidRPr="00CA610D">
        <w:rPr>
          <w:b w:val="0"/>
          <w:lang w:val="fr-FR"/>
        </w:rPr>
        <w:t>février 2021</w:t>
      </w:r>
      <w:r w:rsidR="00CA610D" w:rsidRPr="00CA610D">
        <w:rPr>
          <w:rStyle w:val="FootnoteReference"/>
          <w:b w:val="0"/>
          <w:vertAlign w:val="baseline"/>
          <w:lang w:val="fr-FR"/>
        </w:rPr>
        <w:footnoteReference w:customMarkFollows="1" w:id="2"/>
        <w:t>*</w:t>
      </w:r>
    </w:p>
    <w:p w14:paraId="24B3DF59" w14:textId="5B43F9F4" w:rsidR="0074679F" w:rsidRPr="00DD544A" w:rsidRDefault="0074679F" w:rsidP="0074679F">
      <w:pPr>
        <w:keepNext/>
        <w:keepLines/>
        <w:tabs>
          <w:tab w:val="clear" w:pos="1814"/>
          <w:tab w:val="clear" w:pos="2381"/>
          <w:tab w:val="clear" w:pos="2948"/>
          <w:tab w:val="clear" w:pos="3515"/>
        </w:tabs>
        <w:suppressAutoHyphens/>
        <w:ind w:right="5103"/>
        <w:rPr>
          <w:bCs/>
        </w:rPr>
      </w:pPr>
      <w:r w:rsidRPr="00DD544A">
        <w:t>Point</w:t>
      </w:r>
      <w:r w:rsidR="004955CD">
        <w:t> </w:t>
      </w:r>
      <w:r w:rsidRPr="00DD544A">
        <w:t>5 de l</w:t>
      </w:r>
      <w:r w:rsidR="00864634">
        <w:t>’</w:t>
      </w:r>
      <w:r w:rsidRPr="00DD544A">
        <w:t>ordre du jour provisoire</w:t>
      </w:r>
      <w:r w:rsidR="00CA610D" w:rsidRPr="00CA610D">
        <w:rPr>
          <w:rStyle w:val="FootnoteReference"/>
          <w:bCs/>
          <w:vertAlign w:val="baseline"/>
        </w:rPr>
        <w:footnoteReference w:customMarkFollows="1" w:id="3"/>
        <w:t>**</w:t>
      </w:r>
    </w:p>
    <w:p w14:paraId="238C2084" w14:textId="3D0CBC31" w:rsidR="003525DB" w:rsidRPr="00DD544A" w:rsidRDefault="003525DB" w:rsidP="00F641A5">
      <w:pPr>
        <w:pStyle w:val="AATitle2"/>
        <w:tabs>
          <w:tab w:val="clear" w:pos="2948"/>
          <w:tab w:val="clear" w:pos="3515"/>
        </w:tabs>
        <w:ind w:right="3826"/>
        <w:rPr>
          <w:lang w:val="fr-FR"/>
        </w:rPr>
      </w:pPr>
      <w:r w:rsidRPr="00DD544A">
        <w:rPr>
          <w:bCs/>
          <w:lang w:val="fr-FR"/>
        </w:rPr>
        <w:t>Questions relatives à la politique et à la gouvernance internationales en matière d</w:t>
      </w:r>
      <w:r w:rsidR="00864634">
        <w:rPr>
          <w:bCs/>
          <w:lang w:val="fr-FR"/>
        </w:rPr>
        <w:t>’</w:t>
      </w:r>
      <w:r w:rsidRPr="00DD544A">
        <w:rPr>
          <w:bCs/>
          <w:lang w:val="fr-FR"/>
        </w:rPr>
        <w:t>environnement</w:t>
      </w:r>
    </w:p>
    <w:p w14:paraId="51C830DC" w14:textId="3062D7E1" w:rsidR="001379D4" w:rsidRPr="00C8084D" w:rsidRDefault="001379D4" w:rsidP="00EE0CB3">
      <w:pPr>
        <w:pStyle w:val="BBTitle"/>
        <w:rPr>
          <w:lang w:val="fr-FR"/>
        </w:rPr>
      </w:pPr>
      <w:r w:rsidRPr="00C8084D">
        <w:rPr>
          <w:lang w:val="fr-FR"/>
        </w:rPr>
        <w:t>Progrès accomplis dans l</w:t>
      </w:r>
      <w:r w:rsidR="00864634">
        <w:rPr>
          <w:lang w:val="fr-FR"/>
        </w:rPr>
        <w:t>’</w:t>
      </w:r>
      <w:r w:rsidR="00470DAD" w:rsidRPr="00C8084D">
        <w:rPr>
          <w:lang w:val="fr-FR"/>
        </w:rPr>
        <w:t xml:space="preserve">application </w:t>
      </w:r>
      <w:r w:rsidRPr="00C8084D">
        <w:rPr>
          <w:lang w:val="fr-FR"/>
        </w:rPr>
        <w:t>de la résolution</w:t>
      </w:r>
      <w:r w:rsidR="00EE0CB3" w:rsidRPr="00C8084D">
        <w:rPr>
          <w:lang w:val="fr-FR"/>
        </w:rPr>
        <w:t> </w:t>
      </w:r>
      <w:r w:rsidRPr="00C8084D">
        <w:rPr>
          <w:lang w:val="fr-FR"/>
        </w:rPr>
        <w:t>4/10 sur</w:t>
      </w:r>
      <w:r w:rsidR="00864634">
        <w:rPr>
          <w:lang w:val="fr-FR"/>
        </w:rPr>
        <w:t> </w:t>
      </w:r>
      <w:r w:rsidRPr="00C8084D">
        <w:rPr>
          <w:lang w:val="fr-FR"/>
        </w:rPr>
        <w:t>l</w:t>
      </w:r>
      <w:r w:rsidR="00864634">
        <w:rPr>
          <w:lang w:val="fr-FR"/>
        </w:rPr>
        <w:t>’</w:t>
      </w:r>
      <w:r w:rsidRPr="00C8084D">
        <w:rPr>
          <w:lang w:val="fr-FR"/>
        </w:rPr>
        <w:t>innovation en matière de biodiversité et de dégradation des</w:t>
      </w:r>
      <w:r w:rsidR="00C8084D" w:rsidRPr="00C8084D">
        <w:rPr>
          <w:lang w:val="fr-FR"/>
        </w:rPr>
        <w:t> </w:t>
      </w:r>
      <w:r w:rsidRPr="00C8084D">
        <w:rPr>
          <w:lang w:val="fr-FR"/>
        </w:rPr>
        <w:t>terres</w:t>
      </w:r>
    </w:p>
    <w:p w14:paraId="080737A6" w14:textId="77777777" w:rsidR="0074679F" w:rsidRPr="00DD544A" w:rsidRDefault="00E1335D" w:rsidP="00E1335D">
      <w:pPr>
        <w:pStyle w:val="CH2"/>
        <w:rPr>
          <w:lang w:val="fr-FR"/>
        </w:rPr>
      </w:pPr>
      <w:r w:rsidRPr="00DD544A">
        <w:rPr>
          <w:lang w:val="fr-FR"/>
        </w:rPr>
        <w:tab/>
      </w:r>
      <w:r w:rsidRPr="00DD544A">
        <w:rPr>
          <w:lang w:val="fr-FR"/>
        </w:rPr>
        <w:tab/>
      </w:r>
      <w:r w:rsidRPr="00DD544A">
        <w:rPr>
          <w:bCs/>
          <w:lang w:val="fr-FR"/>
        </w:rPr>
        <w:t>Rapport de la Directrice exécutive</w:t>
      </w:r>
    </w:p>
    <w:p w14:paraId="17EE98F9" w14:textId="77777777" w:rsidR="0074679F" w:rsidRPr="00DD544A" w:rsidRDefault="0074679F" w:rsidP="00E1335D">
      <w:pPr>
        <w:pStyle w:val="CH1"/>
        <w:rPr>
          <w:rFonts w:eastAsia="Calibri"/>
          <w:lang w:val="fr-FR"/>
        </w:rPr>
      </w:pPr>
      <w:r w:rsidRPr="00DD544A">
        <w:rPr>
          <w:lang w:val="fr-FR"/>
        </w:rPr>
        <w:tab/>
      </w:r>
      <w:r w:rsidRPr="00DD544A">
        <w:rPr>
          <w:lang w:val="fr-FR"/>
        </w:rPr>
        <w:tab/>
      </w:r>
      <w:r w:rsidRPr="00DD544A">
        <w:rPr>
          <w:bCs/>
          <w:lang w:val="fr-FR"/>
        </w:rPr>
        <w:t>Introduction</w:t>
      </w:r>
    </w:p>
    <w:p w14:paraId="376F4EBE" w14:textId="3DC37ECF" w:rsidR="0074679F" w:rsidRPr="00DD544A" w:rsidRDefault="00142847" w:rsidP="00CB57C7">
      <w:pPr>
        <w:pStyle w:val="Normalnumber"/>
        <w:rPr>
          <w:lang w:val="fr-FR"/>
        </w:rPr>
      </w:pPr>
      <w:r w:rsidRPr="00DD544A">
        <w:rPr>
          <w:lang w:val="fr-FR"/>
        </w:rPr>
        <w:t>Dans sa résolution</w:t>
      </w:r>
      <w:r w:rsidR="00F302D5">
        <w:rPr>
          <w:lang w:val="fr-FR"/>
        </w:rPr>
        <w:t> </w:t>
      </w:r>
      <w:r w:rsidRPr="00DD544A">
        <w:rPr>
          <w:lang w:val="fr-FR"/>
        </w:rPr>
        <w:t xml:space="preserve">4/10 sur </w:t>
      </w:r>
      <w:r w:rsidR="00087C6E" w:rsidRPr="00DD544A">
        <w:rPr>
          <w:lang w:val="fr-FR"/>
        </w:rPr>
        <w:t>l</w:t>
      </w:r>
      <w:r w:rsidR="00864634">
        <w:rPr>
          <w:lang w:val="fr-FR"/>
        </w:rPr>
        <w:t>’</w:t>
      </w:r>
      <w:r w:rsidRPr="00DD544A">
        <w:rPr>
          <w:lang w:val="fr-FR"/>
        </w:rPr>
        <w:t>innovation en matière de biodiversité et de dégradation des terres, l</w:t>
      </w:r>
      <w:r w:rsidR="00864634">
        <w:rPr>
          <w:lang w:val="fr-FR"/>
        </w:rPr>
        <w:t>’</w:t>
      </w:r>
      <w:r w:rsidRPr="00DD544A">
        <w:rPr>
          <w:lang w:val="fr-FR"/>
        </w:rPr>
        <w:t>Assemblée des Nations Unies pour l</w:t>
      </w:r>
      <w:r w:rsidR="00864634">
        <w:rPr>
          <w:lang w:val="fr-FR"/>
        </w:rPr>
        <w:t>’</w:t>
      </w:r>
      <w:r w:rsidRPr="00DD544A">
        <w:rPr>
          <w:lang w:val="fr-FR"/>
        </w:rPr>
        <w:t>environnement du Programme des Nations Unies pour l</w:t>
      </w:r>
      <w:r w:rsidR="00864634">
        <w:rPr>
          <w:lang w:val="fr-FR"/>
        </w:rPr>
        <w:t>’</w:t>
      </w:r>
      <w:r w:rsidRPr="00DD544A">
        <w:rPr>
          <w:lang w:val="fr-FR"/>
        </w:rPr>
        <w:t xml:space="preserve">environnement (PNUE) a prié la Directrice exécutive, entre </w:t>
      </w:r>
      <w:r w:rsidR="00DD544A" w:rsidRPr="00DD544A">
        <w:rPr>
          <w:lang w:val="fr-FR"/>
        </w:rPr>
        <w:t>autres</w:t>
      </w:r>
      <w:r w:rsidRPr="00DD544A">
        <w:rPr>
          <w:lang w:val="fr-FR"/>
        </w:rPr>
        <w:t>, d</w:t>
      </w:r>
      <w:r w:rsidR="00864634">
        <w:rPr>
          <w:lang w:val="fr-FR"/>
        </w:rPr>
        <w:t>’</w:t>
      </w:r>
      <w:r w:rsidRPr="00DD544A">
        <w:rPr>
          <w:lang w:val="fr-FR"/>
        </w:rPr>
        <w:t>aider les États membres à fixer et mettre en œuvre des objectifs volontaires visant la neutralité en matière de dégradation des terres, en</w:t>
      </w:r>
      <w:r w:rsidR="00F302D5">
        <w:rPr>
          <w:lang w:val="fr-FR"/>
        </w:rPr>
        <w:t> </w:t>
      </w:r>
      <w:r w:rsidRPr="00DD544A">
        <w:rPr>
          <w:lang w:val="fr-FR"/>
        </w:rPr>
        <w:t>établissant des niveaux de référence nationaux, des cibles et des mesures connexes pour atteindre la</w:t>
      </w:r>
      <w:r w:rsidR="00864634">
        <w:rPr>
          <w:lang w:val="fr-FR"/>
        </w:rPr>
        <w:t> </w:t>
      </w:r>
      <w:r w:rsidRPr="00DD544A">
        <w:rPr>
          <w:lang w:val="fr-FR"/>
        </w:rPr>
        <w:t>neutralité en matière de dégradation des terres d</w:t>
      </w:r>
      <w:r w:rsidR="00864634">
        <w:rPr>
          <w:lang w:val="fr-FR"/>
        </w:rPr>
        <w:t>’</w:t>
      </w:r>
      <w:r w:rsidRPr="00DD544A">
        <w:rPr>
          <w:lang w:val="fr-FR"/>
        </w:rPr>
        <w:t>ici 2030. Elle a également prié la Directrice exécutive d</w:t>
      </w:r>
      <w:r w:rsidR="00864634">
        <w:rPr>
          <w:lang w:val="fr-FR"/>
        </w:rPr>
        <w:t>’</w:t>
      </w:r>
      <w:r w:rsidRPr="00DD544A">
        <w:rPr>
          <w:lang w:val="fr-FR"/>
        </w:rPr>
        <w:t>aider les États membres à mettre en place des politiques et mesures nationales visant à</w:t>
      </w:r>
      <w:r w:rsidR="00864634">
        <w:rPr>
          <w:lang w:val="fr-FR"/>
        </w:rPr>
        <w:t> </w:t>
      </w:r>
      <w:r w:rsidRPr="00DD544A">
        <w:rPr>
          <w:lang w:val="fr-FR"/>
        </w:rPr>
        <w:t>restaurer, conserver et utiliser durablement la diversité biologique et à renforcer la résilience des</w:t>
      </w:r>
      <w:r w:rsidR="00864634">
        <w:rPr>
          <w:lang w:val="fr-FR"/>
        </w:rPr>
        <w:t> </w:t>
      </w:r>
      <w:r w:rsidRPr="00DD544A">
        <w:rPr>
          <w:lang w:val="fr-FR"/>
        </w:rPr>
        <w:t>écosystèmes et les fonctions et les services qu</w:t>
      </w:r>
      <w:r w:rsidR="00864634">
        <w:rPr>
          <w:lang w:val="fr-FR"/>
        </w:rPr>
        <w:t>’</w:t>
      </w:r>
      <w:r w:rsidRPr="00DD544A">
        <w:rPr>
          <w:lang w:val="fr-FR"/>
        </w:rPr>
        <w:t>ils assurent, tant à l</w:t>
      </w:r>
      <w:r w:rsidR="00864634">
        <w:rPr>
          <w:lang w:val="fr-FR"/>
        </w:rPr>
        <w:t>’</w:t>
      </w:r>
      <w:r w:rsidRPr="00DD544A">
        <w:rPr>
          <w:lang w:val="fr-FR"/>
        </w:rPr>
        <w:t>intérieur qu</w:t>
      </w:r>
      <w:r w:rsidR="00864634">
        <w:rPr>
          <w:lang w:val="fr-FR"/>
        </w:rPr>
        <w:t>’</w:t>
      </w:r>
      <w:r w:rsidRPr="00DD544A">
        <w:rPr>
          <w:lang w:val="fr-FR"/>
        </w:rPr>
        <w:t>à l</w:t>
      </w:r>
      <w:r w:rsidR="00864634">
        <w:rPr>
          <w:lang w:val="fr-FR"/>
        </w:rPr>
        <w:t>’</w:t>
      </w:r>
      <w:r w:rsidRPr="00DD544A">
        <w:rPr>
          <w:lang w:val="fr-FR"/>
        </w:rPr>
        <w:t>extérieur des</w:t>
      </w:r>
      <w:r w:rsidR="00864634">
        <w:rPr>
          <w:lang w:val="fr-FR"/>
        </w:rPr>
        <w:t> </w:t>
      </w:r>
      <w:r w:rsidRPr="00DD544A">
        <w:rPr>
          <w:lang w:val="fr-FR"/>
        </w:rPr>
        <w:t>aires protégées, à</w:t>
      </w:r>
      <w:r w:rsidR="00085AEE">
        <w:rPr>
          <w:lang w:val="fr-FR"/>
        </w:rPr>
        <w:t> </w:t>
      </w:r>
      <w:r w:rsidRPr="00DD544A">
        <w:rPr>
          <w:lang w:val="fr-FR"/>
        </w:rPr>
        <w:t>l</w:t>
      </w:r>
      <w:r w:rsidR="00864634">
        <w:rPr>
          <w:lang w:val="fr-FR"/>
        </w:rPr>
        <w:t>’</w:t>
      </w:r>
      <w:r w:rsidRPr="00DD544A">
        <w:rPr>
          <w:lang w:val="fr-FR"/>
        </w:rPr>
        <w:t>appui des objectifs d</w:t>
      </w:r>
      <w:r w:rsidR="00864634">
        <w:rPr>
          <w:lang w:val="fr-FR"/>
        </w:rPr>
        <w:t>’</w:t>
      </w:r>
      <w:r w:rsidRPr="00DD544A">
        <w:rPr>
          <w:lang w:val="fr-FR"/>
        </w:rPr>
        <w:t>Aichi relatifs à la diversité biologique pertinents.</w:t>
      </w:r>
    </w:p>
    <w:p w14:paraId="442C9109" w14:textId="06A1D2DC" w:rsidR="0074679F" w:rsidRPr="00DD544A" w:rsidRDefault="002B3CD1" w:rsidP="00864634">
      <w:pPr>
        <w:pStyle w:val="Normalnumber"/>
        <w:rPr>
          <w:lang w:val="fr-FR"/>
        </w:rPr>
      </w:pPr>
      <w:r w:rsidRPr="00DD544A">
        <w:rPr>
          <w:lang w:val="fr-FR"/>
        </w:rPr>
        <w:t>Dans la même résolution, en réponse à l</w:t>
      </w:r>
      <w:r w:rsidR="00864634">
        <w:rPr>
          <w:lang w:val="fr-FR"/>
        </w:rPr>
        <w:t>’</w:t>
      </w:r>
      <w:r w:rsidRPr="00DD544A">
        <w:rPr>
          <w:lang w:val="fr-FR"/>
        </w:rPr>
        <w:t>invitation lancée par l</w:t>
      </w:r>
      <w:r w:rsidR="00864634">
        <w:rPr>
          <w:lang w:val="fr-FR"/>
        </w:rPr>
        <w:t>’</w:t>
      </w:r>
      <w:r w:rsidRPr="00DD544A">
        <w:rPr>
          <w:lang w:val="fr-FR"/>
        </w:rPr>
        <w:t>Assemblée générale dans sa</w:t>
      </w:r>
      <w:r w:rsidR="00864634">
        <w:rPr>
          <w:lang w:val="fr-FR"/>
        </w:rPr>
        <w:t> </w:t>
      </w:r>
      <w:r w:rsidRPr="00DD544A">
        <w:rPr>
          <w:lang w:val="fr-FR"/>
        </w:rPr>
        <w:t>résolution</w:t>
      </w:r>
      <w:r w:rsidR="00F1667C">
        <w:rPr>
          <w:lang w:val="fr-FR"/>
        </w:rPr>
        <w:t> </w:t>
      </w:r>
      <w:r w:rsidRPr="00DD544A">
        <w:rPr>
          <w:lang w:val="fr-FR"/>
        </w:rPr>
        <w:t>73/284, l</w:t>
      </w:r>
      <w:r w:rsidR="00864634">
        <w:rPr>
          <w:lang w:val="fr-FR"/>
        </w:rPr>
        <w:t>’</w:t>
      </w:r>
      <w:r w:rsidRPr="00DD544A">
        <w:rPr>
          <w:lang w:val="fr-FR"/>
        </w:rPr>
        <w:t>Assemblée pour l</w:t>
      </w:r>
      <w:r w:rsidR="00864634">
        <w:rPr>
          <w:lang w:val="fr-FR"/>
        </w:rPr>
        <w:t>’</w:t>
      </w:r>
      <w:r w:rsidRPr="00DD544A">
        <w:rPr>
          <w:lang w:val="fr-FR"/>
        </w:rPr>
        <w:t>environnement a prié la Directrice exécutive de diriger, de</w:t>
      </w:r>
      <w:r w:rsidR="00F1667C">
        <w:rPr>
          <w:lang w:val="fr-FR"/>
        </w:rPr>
        <w:t> </w:t>
      </w:r>
      <w:r w:rsidRPr="00DD544A">
        <w:rPr>
          <w:lang w:val="fr-FR"/>
        </w:rPr>
        <w:t>concert avec l</w:t>
      </w:r>
      <w:r w:rsidR="00864634">
        <w:rPr>
          <w:lang w:val="fr-FR"/>
        </w:rPr>
        <w:t>’</w:t>
      </w:r>
      <w:r w:rsidRPr="00DD544A">
        <w:rPr>
          <w:lang w:val="fr-FR"/>
        </w:rPr>
        <w:t>Organisation des Nations Unies pour l</w:t>
      </w:r>
      <w:r w:rsidR="00864634">
        <w:rPr>
          <w:lang w:val="fr-FR"/>
        </w:rPr>
        <w:t>’</w:t>
      </w:r>
      <w:r w:rsidRPr="00DD544A">
        <w:rPr>
          <w:lang w:val="fr-FR"/>
        </w:rPr>
        <w:t>alimentation et l</w:t>
      </w:r>
      <w:r w:rsidR="00864634">
        <w:rPr>
          <w:lang w:val="fr-FR"/>
        </w:rPr>
        <w:t>’</w:t>
      </w:r>
      <w:r w:rsidRPr="00DD544A">
        <w:rPr>
          <w:lang w:val="fr-FR"/>
        </w:rPr>
        <w:t>agriculture (FAO) et en</w:t>
      </w:r>
      <w:r w:rsidR="00F1667C">
        <w:rPr>
          <w:lang w:val="fr-FR"/>
        </w:rPr>
        <w:t> </w:t>
      </w:r>
      <w:r w:rsidRPr="00DD544A">
        <w:rPr>
          <w:lang w:val="fr-FR"/>
        </w:rPr>
        <w:t>collaboration avec les secrétariats des conventions de Rio et les autres accords multilatéraux sur l</w:t>
      </w:r>
      <w:r w:rsidR="00864634">
        <w:rPr>
          <w:lang w:val="fr-FR"/>
        </w:rPr>
        <w:t>’</w:t>
      </w:r>
      <w:r w:rsidRPr="00DD544A">
        <w:rPr>
          <w:lang w:val="fr-FR"/>
        </w:rPr>
        <w:t>environnement et entités du système des Nations Unies pertinents, la mise en œuvre de la Décennie des Nations Unies pour la restauration des écosystèmes (</w:t>
      </w:r>
      <w:r w:rsidR="00AF3EDF">
        <w:t>2021–2030</w:t>
      </w:r>
      <w:r w:rsidRPr="00DD544A">
        <w:rPr>
          <w:lang w:val="fr-FR"/>
        </w:rPr>
        <w:t>). Elle a également prié la</w:t>
      </w:r>
      <w:r w:rsidR="00864634">
        <w:rPr>
          <w:lang w:val="fr-FR"/>
        </w:rPr>
        <w:t> </w:t>
      </w:r>
      <w:r w:rsidRPr="00DD544A">
        <w:rPr>
          <w:lang w:val="fr-FR"/>
        </w:rPr>
        <w:t xml:space="preserve">Directrice exécutive de soutenir et </w:t>
      </w:r>
      <w:r w:rsidR="00DD544A">
        <w:rPr>
          <w:lang w:val="fr-FR"/>
        </w:rPr>
        <w:t xml:space="preserve">de </w:t>
      </w:r>
      <w:r w:rsidRPr="00DD544A">
        <w:rPr>
          <w:lang w:val="fr-FR"/>
        </w:rPr>
        <w:t>promouvoir la mise en œuvre de l</w:t>
      </w:r>
      <w:r w:rsidR="00864634">
        <w:rPr>
          <w:lang w:val="fr-FR"/>
        </w:rPr>
        <w:t>’</w:t>
      </w:r>
      <w:r w:rsidRPr="00DD544A">
        <w:rPr>
          <w:lang w:val="fr-FR"/>
        </w:rPr>
        <w:t>initiative du Gouvernement égyptien tendant à promouvoir une approche cohérente pour lutter contre l</w:t>
      </w:r>
      <w:r w:rsidR="00864634">
        <w:rPr>
          <w:lang w:val="fr-FR"/>
        </w:rPr>
        <w:t>’</w:t>
      </w:r>
      <w:r w:rsidRPr="00DD544A">
        <w:rPr>
          <w:lang w:val="fr-FR"/>
        </w:rPr>
        <w:t>érosion de la biodiversité, les changements climatiques et la dégradation des terres et des écosystèmes, dans l</w:t>
      </w:r>
      <w:r w:rsidR="00864634">
        <w:rPr>
          <w:lang w:val="fr-FR"/>
        </w:rPr>
        <w:t>’</w:t>
      </w:r>
      <w:r w:rsidRPr="00DD544A">
        <w:rPr>
          <w:lang w:val="fr-FR"/>
        </w:rPr>
        <w:t>esprit de la</w:t>
      </w:r>
      <w:r w:rsidR="00864634">
        <w:rPr>
          <w:lang w:val="fr-FR"/>
        </w:rPr>
        <w:t> </w:t>
      </w:r>
      <w:r w:rsidRPr="00DD544A">
        <w:rPr>
          <w:lang w:val="fr-FR"/>
        </w:rPr>
        <w:t>décision</w:t>
      </w:r>
      <w:r w:rsidR="00AF3EDF">
        <w:rPr>
          <w:lang w:val="fr-FR"/>
        </w:rPr>
        <w:t> </w:t>
      </w:r>
      <w:r w:rsidRPr="00DD544A">
        <w:rPr>
          <w:lang w:val="fr-FR"/>
        </w:rPr>
        <w:t>14/30 sur la coopération avec d</w:t>
      </w:r>
      <w:r w:rsidR="00864634">
        <w:rPr>
          <w:lang w:val="fr-FR"/>
        </w:rPr>
        <w:t>’</w:t>
      </w:r>
      <w:r w:rsidRPr="00DD544A">
        <w:rPr>
          <w:lang w:val="fr-FR"/>
        </w:rPr>
        <w:t xml:space="preserve">autres conventions, organisations et partenariats </w:t>
      </w:r>
      <w:r w:rsidRPr="00DD544A">
        <w:rPr>
          <w:lang w:val="fr-FR"/>
        </w:rPr>
        <w:lastRenderedPageBreak/>
        <w:t>internationaux adoptée par la Conférence des Parties à la Convention sur la diversité biologique. Elle</w:t>
      </w:r>
      <w:r w:rsidR="00932C7B">
        <w:rPr>
          <w:lang w:val="fr-FR"/>
        </w:rPr>
        <w:t> </w:t>
      </w:r>
      <w:r w:rsidRPr="00DD544A">
        <w:rPr>
          <w:lang w:val="fr-FR"/>
        </w:rPr>
        <w:t>a</w:t>
      </w:r>
      <w:r w:rsidR="00932C7B">
        <w:rPr>
          <w:lang w:val="fr-FR"/>
        </w:rPr>
        <w:t> </w:t>
      </w:r>
      <w:r w:rsidRPr="00DD544A">
        <w:rPr>
          <w:lang w:val="fr-FR"/>
        </w:rPr>
        <w:t>en outre demandé à la Directrice exécutive de contribuer, en étroite coopération avec le</w:t>
      </w:r>
      <w:r w:rsidR="00864634">
        <w:rPr>
          <w:lang w:val="fr-FR"/>
        </w:rPr>
        <w:t> </w:t>
      </w:r>
      <w:r w:rsidRPr="00DD544A">
        <w:rPr>
          <w:lang w:val="fr-FR"/>
        </w:rPr>
        <w:t>secrétariat de la Convention sur la diversité biologique, aux préparatifs du forum politique de haut</w:t>
      </w:r>
      <w:r w:rsidR="00864634">
        <w:rPr>
          <w:lang w:val="fr-FR"/>
        </w:rPr>
        <w:t> </w:t>
      </w:r>
      <w:r w:rsidRPr="00DD544A">
        <w:rPr>
          <w:lang w:val="fr-FR"/>
        </w:rPr>
        <w:t>niveau sur le développement durable que l</w:t>
      </w:r>
      <w:r w:rsidR="00864634">
        <w:rPr>
          <w:lang w:val="fr-FR"/>
        </w:rPr>
        <w:t>’</w:t>
      </w:r>
      <w:r w:rsidRPr="00DD544A">
        <w:rPr>
          <w:lang w:val="fr-FR"/>
        </w:rPr>
        <w:t>Assemblée générale prévoit de convoquer au niveau des chefs d</w:t>
      </w:r>
      <w:r w:rsidR="00864634">
        <w:rPr>
          <w:lang w:val="fr-FR"/>
        </w:rPr>
        <w:t>’</w:t>
      </w:r>
      <w:r w:rsidRPr="00DD544A">
        <w:rPr>
          <w:lang w:val="fr-FR"/>
        </w:rPr>
        <w:t>État et de gouvernement.</w:t>
      </w:r>
    </w:p>
    <w:p w14:paraId="7CC4E114" w14:textId="09C8CF3B" w:rsidR="0074679F" w:rsidRPr="00DD544A" w:rsidRDefault="001131A2" w:rsidP="00CB57C7">
      <w:pPr>
        <w:pStyle w:val="Normalnumber"/>
        <w:rPr>
          <w:lang w:val="fr-FR"/>
        </w:rPr>
      </w:pPr>
      <w:r w:rsidRPr="00DD544A">
        <w:rPr>
          <w:lang w:val="fr-FR"/>
        </w:rPr>
        <w:t>L</w:t>
      </w:r>
      <w:r w:rsidR="00864634">
        <w:rPr>
          <w:lang w:val="fr-FR"/>
        </w:rPr>
        <w:t>’</w:t>
      </w:r>
      <w:r w:rsidRPr="00DD544A">
        <w:rPr>
          <w:lang w:val="fr-FR"/>
        </w:rPr>
        <w:t>action collaborative du PNUE dans le cadre du programme de travail pour répondre aux</w:t>
      </w:r>
      <w:r w:rsidR="00864634">
        <w:rPr>
          <w:lang w:val="fr-FR"/>
        </w:rPr>
        <w:t> </w:t>
      </w:r>
      <w:r w:rsidRPr="00DD544A">
        <w:rPr>
          <w:lang w:val="fr-FR"/>
        </w:rPr>
        <w:t xml:space="preserve">demandes </w:t>
      </w:r>
      <w:r w:rsidR="00DD544A" w:rsidRPr="00DD544A">
        <w:rPr>
          <w:lang w:val="fr-FR"/>
        </w:rPr>
        <w:t>susmentionnées</w:t>
      </w:r>
      <w:r w:rsidRPr="00DD544A">
        <w:rPr>
          <w:lang w:val="fr-FR"/>
        </w:rPr>
        <w:t xml:space="preserve"> et restaurer, conserver et utiliser durablement la diversité biologique et</w:t>
      </w:r>
      <w:r w:rsidR="003E48FD">
        <w:rPr>
          <w:lang w:val="fr-FR"/>
        </w:rPr>
        <w:t> </w:t>
      </w:r>
      <w:r w:rsidRPr="00DD544A">
        <w:rPr>
          <w:lang w:val="fr-FR"/>
        </w:rPr>
        <w:t xml:space="preserve">renforcer la résilience des écosystèmes a été </w:t>
      </w:r>
      <w:r w:rsidR="00761DFD">
        <w:rPr>
          <w:lang w:val="fr-FR"/>
        </w:rPr>
        <w:t xml:space="preserve">essentiellement </w:t>
      </w:r>
      <w:r w:rsidRPr="00DD544A">
        <w:rPr>
          <w:lang w:val="fr-FR"/>
        </w:rPr>
        <w:t>menée dans les domaines suivants</w:t>
      </w:r>
      <w:r w:rsidR="00087C6E" w:rsidRPr="00DD544A">
        <w:rPr>
          <w:lang w:val="fr-FR"/>
        </w:rPr>
        <w:t> :</w:t>
      </w:r>
      <w:r w:rsidRPr="00DD544A">
        <w:rPr>
          <w:lang w:val="fr-FR"/>
        </w:rPr>
        <w:t xml:space="preserve"> faire</w:t>
      </w:r>
      <w:r w:rsidR="003E48FD">
        <w:rPr>
          <w:lang w:val="fr-FR"/>
        </w:rPr>
        <w:t> </w:t>
      </w:r>
      <w:r w:rsidRPr="00DD544A">
        <w:rPr>
          <w:lang w:val="fr-FR"/>
        </w:rPr>
        <w:t>progresser le programme mondial en matière de biodiversité, y compris en contribuant au sommet des</w:t>
      </w:r>
      <w:r w:rsidR="00864634">
        <w:rPr>
          <w:lang w:val="fr-FR"/>
        </w:rPr>
        <w:t> </w:t>
      </w:r>
      <w:r w:rsidRPr="00DD544A">
        <w:rPr>
          <w:lang w:val="fr-FR"/>
        </w:rPr>
        <w:t>Nations Unies sur la biodiversité</w:t>
      </w:r>
      <w:r w:rsidR="00087C6E" w:rsidRPr="00DD544A">
        <w:rPr>
          <w:lang w:val="fr-FR"/>
        </w:rPr>
        <w:t> ;</w:t>
      </w:r>
      <w:r w:rsidRPr="00DD544A">
        <w:rPr>
          <w:lang w:val="fr-FR"/>
        </w:rPr>
        <w:t xml:space="preserve"> promouvoir la coexistence des êtres humains et</w:t>
      </w:r>
      <w:r w:rsidR="003E48FD">
        <w:rPr>
          <w:lang w:val="fr-FR"/>
        </w:rPr>
        <w:t> </w:t>
      </w:r>
      <w:r w:rsidRPr="00DD544A">
        <w:rPr>
          <w:lang w:val="fr-FR"/>
        </w:rPr>
        <w:t>des</w:t>
      </w:r>
      <w:r w:rsidR="003E48FD">
        <w:rPr>
          <w:lang w:val="fr-FR"/>
        </w:rPr>
        <w:t> </w:t>
      </w:r>
      <w:r w:rsidRPr="00DD544A">
        <w:rPr>
          <w:lang w:val="fr-FR"/>
        </w:rPr>
        <w:t>espèces sauvages</w:t>
      </w:r>
      <w:r w:rsidR="00087C6E" w:rsidRPr="00DD544A">
        <w:rPr>
          <w:lang w:val="fr-FR"/>
        </w:rPr>
        <w:t> ;</w:t>
      </w:r>
      <w:r w:rsidRPr="00DD544A">
        <w:rPr>
          <w:lang w:val="fr-FR"/>
        </w:rPr>
        <w:t xml:space="preserve"> étendre les modes de financement novateurs pour la restauration et les</w:t>
      </w:r>
      <w:r w:rsidR="003E48FD">
        <w:rPr>
          <w:lang w:val="fr-FR"/>
        </w:rPr>
        <w:t> </w:t>
      </w:r>
      <w:r w:rsidRPr="00DD544A">
        <w:rPr>
          <w:lang w:val="fr-FR"/>
        </w:rPr>
        <w:t>approches écosystémiques</w:t>
      </w:r>
      <w:r w:rsidR="00087C6E" w:rsidRPr="00DD544A">
        <w:rPr>
          <w:lang w:val="fr-FR"/>
        </w:rPr>
        <w:t> ;</w:t>
      </w:r>
      <w:r w:rsidRPr="00DD544A">
        <w:rPr>
          <w:lang w:val="fr-FR"/>
        </w:rPr>
        <w:t xml:space="preserve"> et tenir compte de la biodiversité et des priorités en matière de dégradation des terres et de désertification tout en appuyant la Décennie des Nations Unies pour la restauration des</w:t>
      </w:r>
      <w:r w:rsidR="00864634">
        <w:rPr>
          <w:lang w:val="fr-FR"/>
        </w:rPr>
        <w:t> </w:t>
      </w:r>
      <w:r w:rsidRPr="00DD544A">
        <w:rPr>
          <w:lang w:val="fr-FR"/>
        </w:rPr>
        <w:t>écosystèmes.</w:t>
      </w:r>
    </w:p>
    <w:p w14:paraId="27FBC22A" w14:textId="7BA11CB3" w:rsidR="0074679F" w:rsidRPr="00DD544A" w:rsidRDefault="008E0AC5" w:rsidP="00D62040">
      <w:pPr>
        <w:pStyle w:val="CH1"/>
        <w:rPr>
          <w:lang w:val="fr-FR"/>
        </w:rPr>
      </w:pPr>
      <w:r>
        <w:rPr>
          <w:lang w:val="fr-FR"/>
        </w:rPr>
        <w:tab/>
      </w:r>
      <w:r w:rsidR="0074679F" w:rsidRPr="00DD544A">
        <w:rPr>
          <w:lang w:val="fr-FR"/>
        </w:rPr>
        <w:t>I.</w:t>
      </w:r>
      <w:r w:rsidR="0074679F" w:rsidRPr="00DD544A">
        <w:rPr>
          <w:lang w:val="fr-FR"/>
        </w:rPr>
        <w:tab/>
      </w:r>
      <w:r w:rsidR="0074679F" w:rsidRPr="00DD544A">
        <w:rPr>
          <w:bCs/>
          <w:lang w:val="fr-FR"/>
        </w:rPr>
        <w:t>Progrès accomplis dans l</w:t>
      </w:r>
      <w:r w:rsidR="00864634">
        <w:rPr>
          <w:bCs/>
          <w:lang w:val="fr-FR"/>
        </w:rPr>
        <w:t>’</w:t>
      </w:r>
      <w:r w:rsidR="00470DAD">
        <w:rPr>
          <w:bCs/>
          <w:lang w:val="fr-FR"/>
        </w:rPr>
        <w:t xml:space="preserve">application </w:t>
      </w:r>
      <w:r w:rsidR="0074679F" w:rsidRPr="00DD544A">
        <w:rPr>
          <w:bCs/>
          <w:lang w:val="fr-FR"/>
        </w:rPr>
        <w:t>de la résolution</w:t>
      </w:r>
      <w:r w:rsidR="00B20CA8">
        <w:rPr>
          <w:bCs/>
          <w:lang w:val="fr-FR"/>
        </w:rPr>
        <w:t> </w:t>
      </w:r>
      <w:r w:rsidR="0074679F" w:rsidRPr="00DD544A">
        <w:rPr>
          <w:bCs/>
          <w:lang w:val="fr-FR"/>
        </w:rPr>
        <w:t>4/10</w:t>
      </w:r>
      <w:r w:rsidR="0074679F" w:rsidRPr="00DD544A">
        <w:rPr>
          <w:lang w:val="fr-FR"/>
        </w:rPr>
        <w:t xml:space="preserve"> </w:t>
      </w:r>
    </w:p>
    <w:p w14:paraId="00548F84" w14:textId="109A4E06" w:rsidR="0074679F" w:rsidRPr="00DD544A" w:rsidRDefault="008E0AC5" w:rsidP="00771AE1">
      <w:pPr>
        <w:pStyle w:val="CH2"/>
        <w:rPr>
          <w:lang w:val="fr-FR"/>
        </w:rPr>
      </w:pPr>
      <w:r>
        <w:rPr>
          <w:lang w:val="fr-FR"/>
        </w:rPr>
        <w:tab/>
      </w:r>
      <w:r w:rsidR="0074679F" w:rsidRPr="00DD544A">
        <w:rPr>
          <w:lang w:val="fr-FR"/>
        </w:rPr>
        <w:t>A.</w:t>
      </w:r>
      <w:r w:rsidR="00DD544A">
        <w:rPr>
          <w:lang w:val="fr-FR"/>
        </w:rPr>
        <w:tab/>
      </w:r>
      <w:r w:rsidR="0074679F" w:rsidRPr="00DD544A">
        <w:rPr>
          <w:bCs/>
          <w:lang w:val="fr-FR"/>
        </w:rPr>
        <w:t>Faire progresser le programme mondial en matière de biodiversité</w:t>
      </w:r>
    </w:p>
    <w:p w14:paraId="47126EA7" w14:textId="03EE317A" w:rsidR="0074679F" w:rsidRPr="00DD544A" w:rsidRDefault="0074679F" w:rsidP="00864634">
      <w:pPr>
        <w:pStyle w:val="Normalnumber"/>
        <w:rPr>
          <w:lang w:val="fr-FR"/>
        </w:rPr>
      </w:pPr>
      <w:r w:rsidRPr="00DD544A">
        <w:rPr>
          <w:lang w:val="fr-FR"/>
        </w:rPr>
        <w:t>Avec l</w:t>
      </w:r>
      <w:r w:rsidR="00864634">
        <w:rPr>
          <w:lang w:val="fr-FR"/>
        </w:rPr>
        <w:t>’</w:t>
      </w:r>
      <w:r w:rsidRPr="00DD544A">
        <w:rPr>
          <w:lang w:val="fr-FR"/>
        </w:rPr>
        <w:t>appui financier du Fonds pour l</w:t>
      </w:r>
      <w:r w:rsidR="00864634">
        <w:rPr>
          <w:lang w:val="fr-FR"/>
        </w:rPr>
        <w:t>’</w:t>
      </w:r>
      <w:r w:rsidRPr="00DD544A">
        <w:rPr>
          <w:lang w:val="fr-FR"/>
        </w:rPr>
        <w:t>environnement mondial (FEM), le PNUE et le</w:t>
      </w:r>
      <w:r w:rsidR="00864634">
        <w:rPr>
          <w:lang w:val="fr-FR"/>
        </w:rPr>
        <w:t> </w:t>
      </w:r>
      <w:r w:rsidRPr="00DD544A">
        <w:rPr>
          <w:lang w:val="fr-FR"/>
        </w:rPr>
        <w:t>Programme des Nations Unies pour le développement (PNUD) ont aidé 137</w:t>
      </w:r>
      <w:r w:rsidR="00B20CA8">
        <w:rPr>
          <w:lang w:val="fr-FR"/>
        </w:rPr>
        <w:t> </w:t>
      </w:r>
      <w:r w:rsidRPr="00DD544A">
        <w:rPr>
          <w:lang w:val="fr-FR"/>
        </w:rPr>
        <w:t>États membres à</w:t>
      </w:r>
      <w:r w:rsidR="003E48FD">
        <w:rPr>
          <w:lang w:val="fr-FR"/>
        </w:rPr>
        <w:t> </w:t>
      </w:r>
      <w:r w:rsidRPr="00DD544A">
        <w:rPr>
          <w:lang w:val="fr-FR"/>
        </w:rPr>
        <w:t>soumettre leur sixième rapport national sur la biodiversité, lequel donne des informations sur les</w:t>
      </w:r>
      <w:r w:rsidR="00864634">
        <w:rPr>
          <w:lang w:val="fr-FR"/>
        </w:rPr>
        <w:t> </w:t>
      </w:r>
      <w:r w:rsidRPr="00DD544A">
        <w:rPr>
          <w:lang w:val="fr-FR"/>
        </w:rPr>
        <w:t>progrès dans la réalisation des objectifs d</w:t>
      </w:r>
      <w:r w:rsidR="00864634">
        <w:rPr>
          <w:lang w:val="fr-FR"/>
        </w:rPr>
        <w:t>’</w:t>
      </w:r>
      <w:r w:rsidRPr="00DD544A">
        <w:rPr>
          <w:lang w:val="fr-FR"/>
        </w:rPr>
        <w:t>Aichi relatifs à la diversité biologique. En comparaison avec le cinquième rapport nationa</w:t>
      </w:r>
      <w:r w:rsidR="00E15028">
        <w:rPr>
          <w:lang w:val="fr-FR"/>
        </w:rPr>
        <w:t>l des États membres</w:t>
      </w:r>
      <w:r w:rsidRPr="00DD544A">
        <w:rPr>
          <w:lang w:val="fr-FR"/>
        </w:rPr>
        <w:t>, une utilisation plus cohérente et précise des</w:t>
      </w:r>
      <w:r w:rsidR="00864634">
        <w:rPr>
          <w:lang w:val="fr-FR"/>
        </w:rPr>
        <w:t> </w:t>
      </w:r>
      <w:r w:rsidRPr="00DD544A">
        <w:rPr>
          <w:lang w:val="fr-FR"/>
        </w:rPr>
        <w:t>indicateurs de biodiversité a été constatée en moyenne, ainsi que l</w:t>
      </w:r>
      <w:r w:rsidR="00864634">
        <w:rPr>
          <w:lang w:val="fr-FR"/>
        </w:rPr>
        <w:t>’</w:t>
      </w:r>
      <w:r w:rsidRPr="00DD544A">
        <w:rPr>
          <w:lang w:val="fr-FR"/>
        </w:rPr>
        <w:t xml:space="preserve">inclusion de deux à trois fois plus de données spatiales </w:t>
      </w:r>
      <w:r w:rsidR="00E15028">
        <w:rPr>
          <w:lang w:val="fr-FR"/>
        </w:rPr>
        <w:t>visant à</w:t>
      </w:r>
      <w:r w:rsidRPr="00DD544A">
        <w:rPr>
          <w:lang w:val="fr-FR"/>
        </w:rPr>
        <w:t xml:space="preserve"> améliorer l</w:t>
      </w:r>
      <w:r w:rsidR="00864634">
        <w:rPr>
          <w:lang w:val="fr-FR"/>
        </w:rPr>
        <w:t>’</w:t>
      </w:r>
      <w:r w:rsidRPr="00DD544A">
        <w:rPr>
          <w:lang w:val="fr-FR"/>
        </w:rPr>
        <w:t>analyse et l</w:t>
      </w:r>
      <w:r w:rsidR="00864634">
        <w:rPr>
          <w:lang w:val="fr-FR"/>
        </w:rPr>
        <w:t>’</w:t>
      </w:r>
      <w:r w:rsidRPr="00DD544A">
        <w:rPr>
          <w:lang w:val="fr-FR"/>
        </w:rPr>
        <w:t>utilisation des données dans la prise de</w:t>
      </w:r>
      <w:r w:rsidR="00864634">
        <w:rPr>
          <w:lang w:val="fr-FR"/>
        </w:rPr>
        <w:t> </w:t>
      </w:r>
      <w:r w:rsidRPr="00DD544A">
        <w:rPr>
          <w:lang w:val="fr-FR"/>
        </w:rPr>
        <w:t>décisions.</w:t>
      </w:r>
    </w:p>
    <w:p w14:paraId="292BE33F" w14:textId="3C1F9BA5" w:rsidR="0074679F" w:rsidRPr="00DD544A" w:rsidRDefault="0074679F" w:rsidP="00E56F81">
      <w:pPr>
        <w:pStyle w:val="Normalnumber"/>
        <w:rPr>
          <w:lang w:val="fr-FR"/>
        </w:rPr>
      </w:pPr>
      <w:r w:rsidRPr="00DD544A">
        <w:rPr>
          <w:lang w:val="fr-FR"/>
        </w:rPr>
        <w:t>Le PNUE a aidé le secrétariat de la Convention sur la diversité biologique à progresser dans</w:t>
      </w:r>
      <w:r w:rsidR="004A55FC">
        <w:rPr>
          <w:lang w:val="fr-FR"/>
        </w:rPr>
        <w:t> </w:t>
      </w:r>
      <w:r w:rsidRPr="00DD544A">
        <w:rPr>
          <w:lang w:val="fr-FR"/>
        </w:rPr>
        <w:t>l</w:t>
      </w:r>
      <w:r w:rsidR="00864634">
        <w:rPr>
          <w:lang w:val="fr-FR"/>
        </w:rPr>
        <w:t>’</w:t>
      </w:r>
      <w:r w:rsidRPr="00DD544A">
        <w:rPr>
          <w:lang w:val="fr-FR"/>
        </w:rPr>
        <w:t>élaboration d</w:t>
      </w:r>
      <w:r w:rsidR="00864634">
        <w:rPr>
          <w:lang w:val="fr-FR"/>
        </w:rPr>
        <w:t>’</w:t>
      </w:r>
      <w:r w:rsidRPr="00DD544A">
        <w:rPr>
          <w:lang w:val="fr-FR"/>
        </w:rPr>
        <w:t>un cadre mondial de la biodiversité pour l</w:t>
      </w:r>
      <w:r w:rsidR="00864634">
        <w:rPr>
          <w:lang w:val="fr-FR"/>
        </w:rPr>
        <w:t>’</w:t>
      </w:r>
      <w:r w:rsidRPr="00DD544A">
        <w:rPr>
          <w:lang w:val="fr-FR"/>
        </w:rPr>
        <w:t>après-2020, malgré les importantes difficultés causées par la pandémie de maladie à coronavirus (COVID-19). À la demande des États</w:t>
      </w:r>
      <w:r w:rsidR="004A55FC">
        <w:rPr>
          <w:lang w:val="fr-FR"/>
        </w:rPr>
        <w:t> </w:t>
      </w:r>
      <w:r w:rsidRPr="00DD544A">
        <w:rPr>
          <w:lang w:val="fr-FR"/>
        </w:rPr>
        <w:t>membres, le PNUE a facilité la tenue de dialogues nationaux en vue d</w:t>
      </w:r>
      <w:r w:rsidR="00864634">
        <w:rPr>
          <w:lang w:val="fr-FR"/>
        </w:rPr>
        <w:t>’</w:t>
      </w:r>
      <w:r w:rsidRPr="00DD544A">
        <w:rPr>
          <w:lang w:val="fr-FR"/>
        </w:rPr>
        <w:t>une meilleure compréhension du cadre. Le PNUE, le Centre mondial de surveillance pour la conservation (WCMC) du PNUE et le</w:t>
      </w:r>
      <w:r w:rsidR="00864634">
        <w:rPr>
          <w:lang w:val="fr-FR"/>
        </w:rPr>
        <w:t> </w:t>
      </w:r>
      <w:r w:rsidRPr="00DD544A">
        <w:rPr>
          <w:lang w:val="fr-FR"/>
        </w:rPr>
        <w:t>PNUD ont également élaboré un document à l</w:t>
      </w:r>
      <w:r w:rsidR="00864634">
        <w:rPr>
          <w:lang w:val="fr-FR"/>
        </w:rPr>
        <w:t>’</w:t>
      </w:r>
      <w:r w:rsidRPr="00DD544A">
        <w:rPr>
          <w:lang w:val="fr-FR"/>
        </w:rPr>
        <w:t>intention de l</w:t>
      </w:r>
      <w:r w:rsidR="00864634">
        <w:rPr>
          <w:lang w:val="fr-FR"/>
        </w:rPr>
        <w:t>’</w:t>
      </w:r>
      <w:r w:rsidRPr="00DD544A">
        <w:rPr>
          <w:lang w:val="fr-FR"/>
        </w:rPr>
        <w:t>Organe subsidiaire de mise en œuvre de la Convention sur la diversité biologique contenant des informations relatives à l</w:t>
      </w:r>
      <w:r w:rsidR="00864634">
        <w:rPr>
          <w:lang w:val="fr-FR"/>
        </w:rPr>
        <w:t>’</w:t>
      </w:r>
      <w:r w:rsidRPr="00DD544A">
        <w:rPr>
          <w:lang w:val="fr-FR"/>
        </w:rPr>
        <w:t>appui que le</w:t>
      </w:r>
      <w:r w:rsidR="00864634">
        <w:rPr>
          <w:lang w:val="fr-FR"/>
        </w:rPr>
        <w:t> </w:t>
      </w:r>
      <w:r w:rsidRPr="00DD544A">
        <w:rPr>
          <w:lang w:val="fr-FR"/>
        </w:rPr>
        <w:t xml:space="preserve">système des Nations Unies pourra fournir en vue de la future mise en œuvre du cadre. Le WCMC du PNUE a aidé </w:t>
      </w:r>
      <w:r w:rsidR="00761DFD">
        <w:rPr>
          <w:lang w:val="fr-FR"/>
        </w:rPr>
        <w:t xml:space="preserve">le secrétariat de </w:t>
      </w:r>
      <w:r w:rsidRPr="00DD544A">
        <w:rPr>
          <w:lang w:val="fr-FR"/>
        </w:rPr>
        <w:t>la Convention sur la diversité biologique à traiter les informations issues de l</w:t>
      </w:r>
      <w:r w:rsidR="00864634">
        <w:rPr>
          <w:lang w:val="fr-FR"/>
        </w:rPr>
        <w:t>’</w:t>
      </w:r>
      <w:r w:rsidRPr="00DD544A">
        <w:rPr>
          <w:lang w:val="fr-FR"/>
        </w:rPr>
        <w:t>examen critique par les pairs mené au sujet du cadre de suivi du cadre mondial de la</w:t>
      </w:r>
      <w:r w:rsidR="00864634">
        <w:rPr>
          <w:lang w:val="fr-FR"/>
        </w:rPr>
        <w:t> </w:t>
      </w:r>
      <w:r w:rsidRPr="00DD544A">
        <w:rPr>
          <w:lang w:val="fr-FR"/>
        </w:rPr>
        <w:t>biodiversité pour l</w:t>
      </w:r>
      <w:r w:rsidR="00864634">
        <w:rPr>
          <w:lang w:val="fr-FR"/>
        </w:rPr>
        <w:t>’</w:t>
      </w:r>
      <w:r w:rsidRPr="00DD544A">
        <w:rPr>
          <w:lang w:val="fr-FR"/>
        </w:rPr>
        <w:t>après-2020, ainsi qu</w:t>
      </w:r>
      <w:r w:rsidR="00864634">
        <w:rPr>
          <w:lang w:val="fr-FR"/>
        </w:rPr>
        <w:t>’</w:t>
      </w:r>
      <w:r w:rsidRPr="00DD544A">
        <w:rPr>
          <w:lang w:val="fr-FR"/>
        </w:rPr>
        <w:t>à évaluer l</w:t>
      </w:r>
      <w:r w:rsidR="00864634">
        <w:rPr>
          <w:lang w:val="fr-FR"/>
        </w:rPr>
        <w:t>’</w:t>
      </w:r>
      <w:r w:rsidRPr="00DD544A">
        <w:rPr>
          <w:lang w:val="fr-FR"/>
        </w:rPr>
        <w:t>applicabilité des indicateurs proposés.</w:t>
      </w:r>
    </w:p>
    <w:p w14:paraId="13B9C34D" w14:textId="6A0B91AC" w:rsidR="0074679F" w:rsidRPr="00DD544A" w:rsidRDefault="0074679F" w:rsidP="00E56F81">
      <w:pPr>
        <w:pStyle w:val="Normalnumber"/>
        <w:rPr>
          <w:rFonts w:eastAsia="Arial Unicode MS"/>
          <w:bdr w:val="nil"/>
          <w:lang w:val="fr-FR"/>
        </w:rPr>
      </w:pPr>
      <w:r w:rsidRPr="00DD544A">
        <w:rPr>
          <w:lang w:val="fr-FR"/>
        </w:rPr>
        <w:t>Le PNUE a contribué au Sommet des Nations Unies sur la biodiversité, qui s</w:t>
      </w:r>
      <w:r w:rsidR="00864634">
        <w:rPr>
          <w:lang w:val="fr-FR"/>
        </w:rPr>
        <w:t>’</w:t>
      </w:r>
      <w:r w:rsidRPr="00DD544A">
        <w:rPr>
          <w:lang w:val="fr-FR"/>
        </w:rPr>
        <w:t>est tenu en</w:t>
      </w:r>
      <w:r w:rsidR="00864634">
        <w:rPr>
          <w:lang w:val="fr-FR"/>
        </w:rPr>
        <w:t> </w:t>
      </w:r>
      <w:r w:rsidRPr="00DD544A">
        <w:rPr>
          <w:lang w:val="fr-FR"/>
        </w:rPr>
        <w:t>septembre 2020 en marge du débat général de la soixante-quinzième session de l</w:t>
      </w:r>
      <w:r w:rsidR="00864634">
        <w:rPr>
          <w:lang w:val="fr-FR"/>
        </w:rPr>
        <w:t>’</w:t>
      </w:r>
      <w:r w:rsidRPr="00DD544A">
        <w:rPr>
          <w:lang w:val="fr-FR"/>
        </w:rPr>
        <w:t>Assemblée générale. Le Sommet a abouti, entre autres, à la signature par 70</w:t>
      </w:r>
      <w:r w:rsidR="002D7F35">
        <w:rPr>
          <w:lang w:val="fr-FR"/>
        </w:rPr>
        <w:t> </w:t>
      </w:r>
      <w:r w:rsidRPr="00DD544A">
        <w:rPr>
          <w:lang w:val="fr-FR"/>
        </w:rPr>
        <w:t>États membres de l</w:t>
      </w:r>
      <w:r w:rsidR="00864634">
        <w:rPr>
          <w:lang w:val="fr-FR"/>
        </w:rPr>
        <w:t>’</w:t>
      </w:r>
      <w:r w:rsidRPr="00DD544A">
        <w:rPr>
          <w:lang w:val="fr-FR"/>
        </w:rPr>
        <w:t xml:space="preserve">« Engagement des dirigeants en faveur de la nature » </w:t>
      </w:r>
      <w:r w:rsidR="00E15028">
        <w:rPr>
          <w:lang w:val="fr-FR"/>
        </w:rPr>
        <w:t>visant à</w:t>
      </w:r>
      <w:r w:rsidRPr="00DD544A">
        <w:rPr>
          <w:lang w:val="fr-FR"/>
        </w:rPr>
        <w:t xml:space="preserve"> renforcer l</w:t>
      </w:r>
      <w:r w:rsidR="00864634">
        <w:rPr>
          <w:lang w:val="fr-FR"/>
        </w:rPr>
        <w:t>’</w:t>
      </w:r>
      <w:r w:rsidRPr="00DD544A">
        <w:rPr>
          <w:lang w:val="fr-FR"/>
        </w:rPr>
        <w:t>action pour lutter contre les facteurs de perte de biodiversité.</w:t>
      </w:r>
    </w:p>
    <w:p w14:paraId="58862B86" w14:textId="3EF3F1F0" w:rsidR="0074679F" w:rsidRPr="00DD544A" w:rsidRDefault="0074679F" w:rsidP="00E56F81">
      <w:pPr>
        <w:pStyle w:val="Normalnumber"/>
        <w:rPr>
          <w:rFonts w:eastAsia="Arial Unicode MS"/>
          <w:bdr w:val="nil"/>
          <w:lang w:val="fr-FR"/>
        </w:rPr>
      </w:pPr>
      <w:r w:rsidRPr="00DD544A">
        <w:rPr>
          <w:lang w:val="fr-FR"/>
        </w:rPr>
        <w:t>Le PNUE</w:t>
      </w:r>
      <w:r w:rsidR="00E15028">
        <w:rPr>
          <w:lang w:val="fr-FR"/>
        </w:rPr>
        <w:t xml:space="preserve"> a</w:t>
      </w:r>
      <w:r w:rsidRPr="00DD544A">
        <w:rPr>
          <w:lang w:val="fr-FR"/>
        </w:rPr>
        <w:t xml:space="preserve"> continu</w:t>
      </w:r>
      <w:r w:rsidR="00E15028">
        <w:rPr>
          <w:lang w:val="fr-FR"/>
        </w:rPr>
        <w:t>é</w:t>
      </w:r>
      <w:r w:rsidRPr="00DD544A">
        <w:rPr>
          <w:lang w:val="fr-FR"/>
        </w:rPr>
        <w:t xml:space="preserve"> de collaborer étroitement avec d</w:t>
      </w:r>
      <w:r w:rsidR="00864634">
        <w:rPr>
          <w:lang w:val="fr-FR"/>
        </w:rPr>
        <w:t>’</w:t>
      </w:r>
      <w:r w:rsidRPr="00DD544A">
        <w:rPr>
          <w:lang w:val="fr-FR"/>
        </w:rPr>
        <w:t xml:space="preserve">autres </w:t>
      </w:r>
      <w:r w:rsidR="00761DFD">
        <w:rPr>
          <w:lang w:val="fr-FR"/>
        </w:rPr>
        <w:t xml:space="preserve">organismes </w:t>
      </w:r>
      <w:r w:rsidRPr="00DD544A">
        <w:rPr>
          <w:lang w:val="fr-FR"/>
        </w:rPr>
        <w:t xml:space="preserve">des Nations Unies, États membres et partenaires </w:t>
      </w:r>
      <w:r w:rsidR="00E15028">
        <w:rPr>
          <w:lang w:val="fr-FR"/>
        </w:rPr>
        <w:t>pour</w:t>
      </w:r>
      <w:r w:rsidRPr="00DD544A">
        <w:rPr>
          <w:lang w:val="fr-FR"/>
        </w:rPr>
        <w:t xml:space="preserve"> promouvoir les synergies entre les accords multilatéraux sur l</w:t>
      </w:r>
      <w:r w:rsidR="00864634">
        <w:rPr>
          <w:lang w:val="fr-FR"/>
        </w:rPr>
        <w:t>’</w:t>
      </w:r>
      <w:r w:rsidRPr="00DD544A">
        <w:rPr>
          <w:lang w:val="fr-FR"/>
        </w:rPr>
        <w:t>environnement. Avec l</w:t>
      </w:r>
      <w:r w:rsidR="00864634">
        <w:rPr>
          <w:lang w:val="fr-FR"/>
        </w:rPr>
        <w:t>’</w:t>
      </w:r>
      <w:r w:rsidRPr="00DD544A">
        <w:rPr>
          <w:lang w:val="fr-FR"/>
        </w:rPr>
        <w:t>appui et l</w:t>
      </w:r>
      <w:r w:rsidR="00864634">
        <w:rPr>
          <w:lang w:val="fr-FR"/>
        </w:rPr>
        <w:t>’</w:t>
      </w:r>
      <w:r w:rsidRPr="00DD544A">
        <w:rPr>
          <w:lang w:val="fr-FR"/>
        </w:rPr>
        <w:t xml:space="preserve">accueil </w:t>
      </w:r>
      <w:r w:rsidR="00E15028">
        <w:rPr>
          <w:lang w:val="fr-FR"/>
        </w:rPr>
        <w:t xml:space="preserve">du </w:t>
      </w:r>
      <w:r w:rsidRPr="00DD544A">
        <w:rPr>
          <w:lang w:val="fr-FR"/>
        </w:rPr>
        <w:t>Gouvernement suisse, le PNUE a facilité la tenue d</w:t>
      </w:r>
      <w:r w:rsidR="00864634">
        <w:rPr>
          <w:lang w:val="fr-FR"/>
        </w:rPr>
        <w:t>’</w:t>
      </w:r>
      <w:r w:rsidRPr="00DD544A">
        <w:rPr>
          <w:lang w:val="fr-FR"/>
        </w:rPr>
        <w:t>ateliers techniques entre divers accords multilatéraux sur l</w:t>
      </w:r>
      <w:r w:rsidR="00864634">
        <w:rPr>
          <w:lang w:val="fr-FR"/>
        </w:rPr>
        <w:t>’</w:t>
      </w:r>
      <w:r w:rsidRPr="00DD544A">
        <w:rPr>
          <w:lang w:val="fr-FR"/>
        </w:rPr>
        <w:t>environnement dans les domaines de la</w:t>
      </w:r>
      <w:r w:rsidR="00864634">
        <w:rPr>
          <w:lang w:val="fr-FR"/>
        </w:rPr>
        <w:t> </w:t>
      </w:r>
      <w:r w:rsidRPr="00DD544A">
        <w:rPr>
          <w:lang w:val="fr-FR"/>
        </w:rPr>
        <w:t xml:space="preserve">biodiversité, des produits chimiques et des déchets et les conventions de Rio, afin de recenser </w:t>
      </w:r>
      <w:r w:rsidR="00DE28A2">
        <w:rPr>
          <w:lang w:val="fr-FR"/>
        </w:rPr>
        <w:t>l</w:t>
      </w:r>
      <w:r w:rsidRPr="00DD544A">
        <w:rPr>
          <w:lang w:val="fr-FR"/>
        </w:rPr>
        <w:t>es</w:t>
      </w:r>
      <w:r w:rsidR="00864634">
        <w:rPr>
          <w:lang w:val="fr-FR"/>
        </w:rPr>
        <w:t> </w:t>
      </w:r>
      <w:r w:rsidRPr="00DD544A">
        <w:rPr>
          <w:lang w:val="fr-FR"/>
        </w:rPr>
        <w:t xml:space="preserve">éléments concrets </w:t>
      </w:r>
      <w:r w:rsidR="00E15028">
        <w:rPr>
          <w:lang w:val="fr-FR"/>
        </w:rPr>
        <w:t>dont il pourrait être tenu compte</w:t>
      </w:r>
      <w:r w:rsidRPr="00DD544A">
        <w:rPr>
          <w:lang w:val="fr-FR"/>
        </w:rPr>
        <w:t xml:space="preserve"> pour renforcer le cadre mondial de la</w:t>
      </w:r>
      <w:r w:rsidR="00864634">
        <w:rPr>
          <w:lang w:val="fr-FR"/>
        </w:rPr>
        <w:t> </w:t>
      </w:r>
      <w:r w:rsidRPr="00DD544A">
        <w:rPr>
          <w:lang w:val="fr-FR"/>
        </w:rPr>
        <w:t>biodiversité pour l</w:t>
      </w:r>
      <w:r w:rsidR="00864634">
        <w:rPr>
          <w:lang w:val="fr-FR"/>
        </w:rPr>
        <w:t>’</w:t>
      </w:r>
      <w:r w:rsidRPr="00DD544A">
        <w:rPr>
          <w:lang w:val="fr-FR"/>
        </w:rPr>
        <w:t xml:space="preserve">après-2020, tout en </w:t>
      </w:r>
      <w:r w:rsidR="00E15028">
        <w:rPr>
          <w:lang w:val="fr-FR"/>
        </w:rPr>
        <w:t xml:space="preserve">prenant en compte des </w:t>
      </w:r>
      <w:r w:rsidRPr="00DD544A">
        <w:rPr>
          <w:lang w:val="fr-FR"/>
        </w:rPr>
        <w:t xml:space="preserve">éléments relatifs à la biodiversité dans </w:t>
      </w:r>
      <w:r w:rsidR="00E15028">
        <w:rPr>
          <w:lang w:val="fr-FR"/>
        </w:rPr>
        <w:t xml:space="preserve">le cadre </w:t>
      </w:r>
      <w:r w:rsidRPr="00DD544A">
        <w:rPr>
          <w:lang w:val="fr-FR"/>
        </w:rPr>
        <w:t>d</w:t>
      </w:r>
      <w:r w:rsidR="00864634">
        <w:rPr>
          <w:lang w:val="fr-FR"/>
        </w:rPr>
        <w:t>’</w:t>
      </w:r>
      <w:r w:rsidRPr="00DD544A">
        <w:rPr>
          <w:lang w:val="fr-FR"/>
        </w:rPr>
        <w:t>autres conventions. Par ailleurs, des mesures visant à améliorer la coordination du suivi et du contrôle de la mise en œuvre ont été recensées.</w:t>
      </w:r>
    </w:p>
    <w:p w14:paraId="2E40A99E" w14:textId="2FF35BD2" w:rsidR="0074679F" w:rsidRPr="00DD544A" w:rsidRDefault="0074679F" w:rsidP="00E56F81">
      <w:pPr>
        <w:pStyle w:val="Normalnumber"/>
        <w:rPr>
          <w:rFonts w:eastAsia="Arial Unicode MS"/>
          <w:bdr w:val="nil"/>
          <w:lang w:val="fr-FR"/>
        </w:rPr>
      </w:pPr>
      <w:r w:rsidRPr="00DD544A">
        <w:rPr>
          <w:lang w:val="fr-FR"/>
        </w:rPr>
        <w:t>Avec l</w:t>
      </w:r>
      <w:r w:rsidR="00864634">
        <w:rPr>
          <w:lang w:val="fr-FR"/>
        </w:rPr>
        <w:t>’</w:t>
      </w:r>
      <w:r w:rsidRPr="00DD544A">
        <w:rPr>
          <w:lang w:val="fr-FR"/>
        </w:rPr>
        <w:t>appui du Gouvernement suisse et de l</w:t>
      </w:r>
      <w:r w:rsidR="00864634">
        <w:rPr>
          <w:lang w:val="fr-FR"/>
        </w:rPr>
        <w:t>’</w:t>
      </w:r>
      <w:r w:rsidRPr="00DD544A">
        <w:rPr>
          <w:lang w:val="fr-FR"/>
        </w:rPr>
        <w:t>Union européenne, le PNUE a élaboré l</w:t>
      </w:r>
      <w:r w:rsidR="00864634">
        <w:rPr>
          <w:lang w:val="fr-FR"/>
        </w:rPr>
        <w:t>’</w:t>
      </w:r>
      <w:r w:rsidRPr="00DD544A">
        <w:rPr>
          <w:lang w:val="fr-FR"/>
        </w:rPr>
        <w:t>outil de communication des données à l</w:t>
      </w:r>
      <w:r w:rsidR="00864634">
        <w:rPr>
          <w:lang w:val="fr-FR"/>
        </w:rPr>
        <w:t>’</w:t>
      </w:r>
      <w:r w:rsidRPr="00DD544A">
        <w:rPr>
          <w:lang w:val="fr-FR"/>
        </w:rPr>
        <w:t>intention des accords multilatéraux sur l</w:t>
      </w:r>
      <w:r w:rsidR="00864634">
        <w:rPr>
          <w:lang w:val="fr-FR"/>
        </w:rPr>
        <w:t>’</w:t>
      </w:r>
      <w:r w:rsidRPr="00DD544A">
        <w:rPr>
          <w:lang w:val="fr-FR"/>
        </w:rPr>
        <w:t>environnement. Cet outil permet aux Parties de disposer d</w:t>
      </w:r>
      <w:r w:rsidR="00864634">
        <w:rPr>
          <w:lang w:val="fr-FR"/>
        </w:rPr>
        <w:t>’</w:t>
      </w:r>
      <w:r w:rsidRPr="00DD544A">
        <w:rPr>
          <w:lang w:val="fr-FR"/>
        </w:rPr>
        <w:t>espaces de travail nationaux privés et sécurisés pour échanger des</w:t>
      </w:r>
      <w:r w:rsidR="00864634">
        <w:rPr>
          <w:lang w:val="fr-FR"/>
        </w:rPr>
        <w:t> </w:t>
      </w:r>
      <w:r w:rsidRPr="00DD544A">
        <w:rPr>
          <w:lang w:val="fr-FR"/>
        </w:rPr>
        <w:t>données efficacement et recenser des synergies en matière de suivi et de contrôle de la</w:t>
      </w:r>
      <w:r w:rsidR="00864634">
        <w:rPr>
          <w:lang w:val="fr-FR"/>
        </w:rPr>
        <w:t> </w:t>
      </w:r>
      <w:r w:rsidRPr="00DD544A">
        <w:rPr>
          <w:lang w:val="fr-FR"/>
        </w:rPr>
        <w:t>communication des données nationales dans le cadre de l</w:t>
      </w:r>
      <w:r w:rsidR="00864634">
        <w:rPr>
          <w:lang w:val="fr-FR"/>
        </w:rPr>
        <w:t>’</w:t>
      </w:r>
      <w:r w:rsidRPr="00DD544A">
        <w:rPr>
          <w:lang w:val="fr-FR"/>
        </w:rPr>
        <w:t>ensemble des conventions relatives à</w:t>
      </w:r>
      <w:r w:rsidR="00864634">
        <w:rPr>
          <w:lang w:val="fr-FR"/>
        </w:rPr>
        <w:t> </w:t>
      </w:r>
      <w:r w:rsidRPr="00DD544A">
        <w:rPr>
          <w:lang w:val="fr-FR"/>
        </w:rPr>
        <w:t>la</w:t>
      </w:r>
      <w:r w:rsidR="00864634">
        <w:rPr>
          <w:lang w:val="fr-FR"/>
        </w:rPr>
        <w:t> </w:t>
      </w:r>
      <w:r w:rsidRPr="00DD544A">
        <w:rPr>
          <w:lang w:val="fr-FR"/>
        </w:rPr>
        <w:t>biodiversité.</w:t>
      </w:r>
    </w:p>
    <w:p w14:paraId="01B7E87F" w14:textId="03DB16F7" w:rsidR="0074679F" w:rsidRPr="00DD544A" w:rsidRDefault="00B8722E" w:rsidP="00632C39">
      <w:pPr>
        <w:pStyle w:val="CH2"/>
        <w:rPr>
          <w:lang w:val="fr-FR"/>
        </w:rPr>
      </w:pPr>
      <w:r>
        <w:rPr>
          <w:lang w:val="fr-FR"/>
        </w:rPr>
        <w:lastRenderedPageBreak/>
        <w:tab/>
      </w:r>
      <w:r w:rsidR="00632C39" w:rsidRPr="00DD544A">
        <w:rPr>
          <w:lang w:val="fr-FR"/>
        </w:rPr>
        <w:t>B.</w:t>
      </w:r>
      <w:r w:rsidR="00DD544A">
        <w:rPr>
          <w:lang w:val="fr-FR"/>
        </w:rPr>
        <w:tab/>
      </w:r>
      <w:r w:rsidR="00632C39" w:rsidRPr="00DD544A">
        <w:rPr>
          <w:bCs/>
          <w:lang w:val="fr-FR"/>
        </w:rPr>
        <w:t>Promouvoir la coexistence des êtres humains et des espèces sauvages</w:t>
      </w:r>
    </w:p>
    <w:p w14:paraId="075EF84D" w14:textId="41DB74B5" w:rsidR="0074679F" w:rsidRPr="00DD544A" w:rsidRDefault="0074679F" w:rsidP="00864634">
      <w:pPr>
        <w:pStyle w:val="Normalnumber"/>
        <w:tabs>
          <w:tab w:val="num" w:pos="624"/>
        </w:tabs>
        <w:rPr>
          <w:rFonts w:eastAsia="Arial Unicode MS"/>
          <w:bdr w:val="nil"/>
          <w:lang w:val="fr-FR"/>
        </w:rPr>
      </w:pPr>
      <w:r w:rsidRPr="00DD544A">
        <w:rPr>
          <w:lang w:val="fr-FR"/>
        </w:rPr>
        <w:t>Le PNUE, avec l</w:t>
      </w:r>
      <w:r w:rsidR="00864634">
        <w:rPr>
          <w:lang w:val="fr-FR"/>
        </w:rPr>
        <w:t>’</w:t>
      </w:r>
      <w:r w:rsidRPr="00DD544A">
        <w:rPr>
          <w:lang w:val="fr-FR"/>
        </w:rPr>
        <w:t>aide du Gouvernement zimbabwéen et de l</w:t>
      </w:r>
      <w:r w:rsidR="00864634">
        <w:rPr>
          <w:lang w:val="fr-FR"/>
        </w:rPr>
        <w:t>’</w:t>
      </w:r>
      <w:r w:rsidRPr="00DD544A">
        <w:rPr>
          <w:lang w:val="fr-FR"/>
        </w:rPr>
        <w:t>Union africaine, a organisé le</w:t>
      </w:r>
      <w:r w:rsidR="00864634">
        <w:rPr>
          <w:lang w:val="fr-FR"/>
        </w:rPr>
        <w:t> </w:t>
      </w:r>
      <w:r w:rsidRPr="00DD544A">
        <w:rPr>
          <w:lang w:val="fr-FR"/>
        </w:rPr>
        <w:t>premier Sommet sur l</w:t>
      </w:r>
      <w:r w:rsidR="00864634">
        <w:rPr>
          <w:lang w:val="fr-FR"/>
        </w:rPr>
        <w:t>’</w:t>
      </w:r>
      <w:r w:rsidRPr="00DD544A">
        <w:rPr>
          <w:lang w:val="fr-FR"/>
        </w:rPr>
        <w:t>économie de la faune sauvage en Afrique en juin 2019. Le Sommet a réuni 5</w:t>
      </w:r>
      <w:r w:rsidR="00AE19CE">
        <w:rPr>
          <w:lang w:val="fr-FR"/>
        </w:rPr>
        <w:t> </w:t>
      </w:r>
      <w:r w:rsidRPr="00DD544A">
        <w:rPr>
          <w:lang w:val="fr-FR"/>
        </w:rPr>
        <w:t>chefs d</w:t>
      </w:r>
      <w:r w:rsidR="00864634">
        <w:rPr>
          <w:lang w:val="fr-FR"/>
        </w:rPr>
        <w:t>’</w:t>
      </w:r>
      <w:r w:rsidRPr="00DD544A">
        <w:rPr>
          <w:lang w:val="fr-FR"/>
        </w:rPr>
        <w:t>États, 14</w:t>
      </w:r>
      <w:r w:rsidR="00AE19CE">
        <w:rPr>
          <w:lang w:val="fr-FR"/>
        </w:rPr>
        <w:t> </w:t>
      </w:r>
      <w:r w:rsidRPr="00DD544A">
        <w:rPr>
          <w:lang w:val="fr-FR"/>
        </w:rPr>
        <w:t>ministres et les représentants de 30</w:t>
      </w:r>
      <w:r w:rsidR="00AE19CE">
        <w:rPr>
          <w:lang w:val="fr-FR"/>
        </w:rPr>
        <w:t> </w:t>
      </w:r>
      <w:r w:rsidRPr="00DD544A">
        <w:rPr>
          <w:lang w:val="fr-FR"/>
        </w:rPr>
        <w:t>pays et a permis de renforcer la compréhension des mesures indispensables pour surmonter les difficultés en matière d</w:t>
      </w:r>
      <w:r w:rsidR="00864634">
        <w:rPr>
          <w:lang w:val="fr-FR"/>
        </w:rPr>
        <w:t>’</w:t>
      </w:r>
      <w:r w:rsidRPr="00DD544A">
        <w:rPr>
          <w:lang w:val="fr-FR"/>
        </w:rPr>
        <w:t>investissement public et privé dans les économies axées sur la biodiversité. Les responsables communautaires de 13</w:t>
      </w:r>
      <w:r w:rsidR="00AE19CE">
        <w:rPr>
          <w:lang w:val="fr-FR"/>
        </w:rPr>
        <w:t> </w:t>
      </w:r>
      <w:r w:rsidRPr="00DD544A">
        <w:rPr>
          <w:lang w:val="fr-FR"/>
        </w:rPr>
        <w:t>pays ont prononcé une déclaration en faveur d</w:t>
      </w:r>
      <w:r w:rsidR="00864634">
        <w:rPr>
          <w:lang w:val="fr-FR"/>
        </w:rPr>
        <w:t>’</w:t>
      </w:r>
      <w:r w:rsidRPr="00DD544A">
        <w:rPr>
          <w:lang w:val="fr-FR"/>
        </w:rPr>
        <w:t>une économie équitable de la faune sauvage. Faisant fond sur l</w:t>
      </w:r>
      <w:r w:rsidR="00864634">
        <w:rPr>
          <w:lang w:val="fr-FR"/>
        </w:rPr>
        <w:t>’</w:t>
      </w:r>
      <w:r w:rsidRPr="00DD544A">
        <w:rPr>
          <w:lang w:val="fr-FR"/>
        </w:rPr>
        <w:t xml:space="preserve">élan politique et les échanges techniques suscités par le Sommet, des dialogues politiques </w:t>
      </w:r>
      <w:r w:rsidR="00A526B0">
        <w:rPr>
          <w:lang w:val="fr-FR"/>
        </w:rPr>
        <w:t>ciblant</w:t>
      </w:r>
      <w:r w:rsidRPr="00DD544A">
        <w:rPr>
          <w:lang w:val="fr-FR"/>
        </w:rPr>
        <w:t xml:space="preserve"> l</w:t>
      </w:r>
      <w:r w:rsidR="00864634">
        <w:rPr>
          <w:lang w:val="fr-FR"/>
        </w:rPr>
        <w:t>’</w:t>
      </w:r>
      <w:r w:rsidRPr="00DD544A">
        <w:rPr>
          <w:lang w:val="fr-FR"/>
        </w:rPr>
        <w:t xml:space="preserve">économie de la </w:t>
      </w:r>
      <w:r w:rsidR="00B21CD0">
        <w:rPr>
          <w:lang w:val="fr-FR"/>
        </w:rPr>
        <w:t xml:space="preserve">biodiversité </w:t>
      </w:r>
      <w:r w:rsidRPr="00DD544A">
        <w:rPr>
          <w:lang w:val="fr-FR"/>
        </w:rPr>
        <w:t>se sont tenus dans le cadre de la</w:t>
      </w:r>
      <w:r w:rsidR="00A526B0">
        <w:rPr>
          <w:lang w:val="fr-FR"/>
        </w:rPr>
        <w:t xml:space="preserve"> dix-septième</w:t>
      </w:r>
      <w:r w:rsidRPr="00DD544A">
        <w:rPr>
          <w:lang w:val="fr-FR"/>
        </w:rPr>
        <w:t xml:space="preserve"> </w:t>
      </w:r>
      <w:r w:rsidR="00B21CD0">
        <w:rPr>
          <w:lang w:val="fr-FR"/>
        </w:rPr>
        <w:t xml:space="preserve">session de la </w:t>
      </w:r>
      <w:r w:rsidRPr="00DD544A">
        <w:rPr>
          <w:lang w:val="fr-FR"/>
        </w:rPr>
        <w:t>Conférence ministérielle africaine sur l</w:t>
      </w:r>
      <w:r w:rsidR="00864634">
        <w:rPr>
          <w:lang w:val="fr-FR"/>
        </w:rPr>
        <w:t>’</w:t>
      </w:r>
      <w:r w:rsidRPr="00DD544A">
        <w:rPr>
          <w:lang w:val="fr-FR"/>
        </w:rPr>
        <w:t>environnement, avec l</w:t>
      </w:r>
      <w:r w:rsidR="00864634">
        <w:rPr>
          <w:lang w:val="fr-FR"/>
        </w:rPr>
        <w:t>’</w:t>
      </w:r>
      <w:r w:rsidRPr="00DD544A">
        <w:rPr>
          <w:lang w:val="fr-FR"/>
        </w:rPr>
        <w:t>appui du PNUE et de la Communauté de développement de l</w:t>
      </w:r>
      <w:r w:rsidR="00864634">
        <w:rPr>
          <w:lang w:val="fr-FR"/>
        </w:rPr>
        <w:t>’</w:t>
      </w:r>
      <w:r w:rsidRPr="00DD544A">
        <w:rPr>
          <w:lang w:val="fr-FR"/>
        </w:rPr>
        <w:t>Afrique australe, en vue d</w:t>
      </w:r>
      <w:r w:rsidR="00864634">
        <w:rPr>
          <w:lang w:val="fr-FR"/>
        </w:rPr>
        <w:t>’</w:t>
      </w:r>
      <w:r w:rsidRPr="00DD544A">
        <w:rPr>
          <w:lang w:val="fr-FR"/>
        </w:rPr>
        <w:t>élaborer une stratégie régionale en matière d</w:t>
      </w:r>
      <w:r w:rsidR="00864634">
        <w:rPr>
          <w:lang w:val="fr-FR"/>
        </w:rPr>
        <w:t>’</w:t>
      </w:r>
      <w:r w:rsidRPr="00DD544A">
        <w:rPr>
          <w:lang w:val="fr-FR"/>
        </w:rPr>
        <w:t>économie de la biodiversité. Le PNUE a continué de fournir une assistance technique à certains États membres, tels que l</w:t>
      </w:r>
      <w:r w:rsidR="00864634">
        <w:rPr>
          <w:lang w:val="fr-FR"/>
        </w:rPr>
        <w:t>’</w:t>
      </w:r>
      <w:r w:rsidRPr="00DD544A">
        <w:rPr>
          <w:lang w:val="fr-FR"/>
        </w:rPr>
        <w:t>Afrique du Sud et le Kenya, afin de faire progresser la réalisation des objectifs nationaux visant à élargir les perspectives en matière d</w:t>
      </w:r>
      <w:r w:rsidR="00864634">
        <w:rPr>
          <w:lang w:val="fr-FR"/>
        </w:rPr>
        <w:t>’</w:t>
      </w:r>
      <w:r w:rsidRPr="00DD544A">
        <w:rPr>
          <w:lang w:val="fr-FR"/>
        </w:rPr>
        <w:t>économie équitable de la faune sauvage.</w:t>
      </w:r>
    </w:p>
    <w:p w14:paraId="6168633C" w14:textId="46FB4AD4" w:rsidR="0074679F" w:rsidRPr="00DD544A" w:rsidRDefault="0074679F" w:rsidP="00E56F81">
      <w:pPr>
        <w:pStyle w:val="Normalnumber"/>
        <w:tabs>
          <w:tab w:val="num" w:pos="624"/>
        </w:tabs>
        <w:rPr>
          <w:rFonts w:eastAsia="Arial Unicode MS"/>
          <w:bdr w:val="nil"/>
          <w:lang w:val="fr-FR"/>
        </w:rPr>
      </w:pPr>
      <w:r w:rsidRPr="00DD544A">
        <w:rPr>
          <w:lang w:val="fr-FR"/>
        </w:rPr>
        <w:t>Avec l</w:t>
      </w:r>
      <w:r w:rsidR="00864634">
        <w:rPr>
          <w:lang w:val="fr-FR"/>
        </w:rPr>
        <w:t>’</w:t>
      </w:r>
      <w:r w:rsidRPr="00DD544A">
        <w:rPr>
          <w:lang w:val="fr-FR"/>
        </w:rPr>
        <w:t>aide de l</w:t>
      </w:r>
      <w:r w:rsidR="00864634">
        <w:rPr>
          <w:lang w:val="fr-FR"/>
        </w:rPr>
        <w:t>’</w:t>
      </w:r>
      <w:r w:rsidRPr="00DD544A">
        <w:rPr>
          <w:lang w:val="fr-FR"/>
        </w:rPr>
        <w:t>Union européenne, le PNUE a étendu ses activités en matière d</w:t>
      </w:r>
      <w:r w:rsidR="00864634">
        <w:rPr>
          <w:lang w:val="fr-FR"/>
        </w:rPr>
        <w:t>’</w:t>
      </w:r>
      <w:r w:rsidRPr="00DD544A">
        <w:rPr>
          <w:lang w:val="fr-FR"/>
        </w:rPr>
        <w:t>économie de la faune sauvage et de la biodiversité et a pris en compte la question de la gestion des terres dans l</w:t>
      </w:r>
      <w:r w:rsidR="00864634">
        <w:rPr>
          <w:lang w:val="fr-FR"/>
        </w:rPr>
        <w:t>’</w:t>
      </w:r>
      <w:r w:rsidRPr="00DD544A">
        <w:rPr>
          <w:lang w:val="fr-FR"/>
        </w:rPr>
        <w:t xml:space="preserve">aire de conservation transfrontière du </w:t>
      </w:r>
      <w:proofErr w:type="spellStart"/>
      <w:r w:rsidRPr="00DD544A">
        <w:rPr>
          <w:lang w:val="fr-FR"/>
        </w:rPr>
        <w:t>Kavango-Zambezi</w:t>
      </w:r>
      <w:proofErr w:type="spellEnd"/>
      <w:r w:rsidRPr="00DD544A">
        <w:rPr>
          <w:lang w:val="fr-FR"/>
        </w:rPr>
        <w:t xml:space="preserve"> en Afrique du Sud, laquelle abrite les populations d</w:t>
      </w:r>
      <w:r w:rsidR="00864634">
        <w:rPr>
          <w:lang w:val="fr-FR"/>
        </w:rPr>
        <w:t>’</w:t>
      </w:r>
      <w:r w:rsidRPr="00DD544A">
        <w:rPr>
          <w:lang w:val="fr-FR"/>
        </w:rPr>
        <w:t>éléphants les plus nombreuses d</w:t>
      </w:r>
      <w:r w:rsidR="00864634">
        <w:rPr>
          <w:lang w:val="fr-FR"/>
        </w:rPr>
        <w:t>’</w:t>
      </w:r>
      <w:r w:rsidRPr="00DD544A">
        <w:rPr>
          <w:lang w:val="fr-FR"/>
        </w:rPr>
        <w:t>Afrique et d</w:t>
      </w:r>
      <w:r w:rsidR="00864634">
        <w:rPr>
          <w:lang w:val="fr-FR"/>
        </w:rPr>
        <w:t>’</w:t>
      </w:r>
      <w:r w:rsidRPr="00DD544A">
        <w:rPr>
          <w:lang w:val="fr-FR"/>
        </w:rPr>
        <w:t>importantes populations de rhinocéros, de lycaons, de</w:t>
      </w:r>
      <w:r w:rsidR="00C142C1">
        <w:rPr>
          <w:lang w:val="fr-FR"/>
        </w:rPr>
        <w:t> </w:t>
      </w:r>
      <w:r w:rsidRPr="00DD544A">
        <w:rPr>
          <w:lang w:val="fr-FR"/>
        </w:rPr>
        <w:t>lions et d</w:t>
      </w:r>
      <w:r w:rsidR="00864634">
        <w:rPr>
          <w:lang w:val="fr-FR"/>
        </w:rPr>
        <w:t>’</w:t>
      </w:r>
      <w:r w:rsidRPr="00DD544A">
        <w:rPr>
          <w:lang w:val="fr-FR"/>
        </w:rPr>
        <w:t>autres espèces menacées, ainsi que dans l</w:t>
      </w:r>
      <w:r w:rsidR="00864634">
        <w:rPr>
          <w:lang w:val="fr-FR"/>
        </w:rPr>
        <w:t>’</w:t>
      </w:r>
      <w:r w:rsidRPr="00DD544A">
        <w:rPr>
          <w:lang w:val="fr-FR"/>
        </w:rPr>
        <w:t xml:space="preserve">aire de conservation transfrontière du </w:t>
      </w:r>
      <w:proofErr w:type="spellStart"/>
      <w:r w:rsidRPr="00DD544A">
        <w:rPr>
          <w:lang w:val="fr-FR"/>
        </w:rPr>
        <w:t>Trinational</w:t>
      </w:r>
      <w:proofErr w:type="spellEnd"/>
      <w:r w:rsidRPr="00DD544A">
        <w:rPr>
          <w:lang w:val="fr-FR"/>
        </w:rPr>
        <w:t xml:space="preserve"> de la Sangha dans le bassin du Congo, laquelle abrite des populations essentielles d</w:t>
      </w:r>
      <w:r w:rsidR="00864634">
        <w:rPr>
          <w:lang w:val="fr-FR"/>
        </w:rPr>
        <w:t>’</w:t>
      </w:r>
      <w:r w:rsidRPr="00DD544A">
        <w:rPr>
          <w:lang w:val="fr-FR"/>
        </w:rPr>
        <w:t>éléphants de forêt et de grands singes. Dans l</w:t>
      </w:r>
      <w:r w:rsidR="00864634">
        <w:rPr>
          <w:lang w:val="fr-FR"/>
        </w:rPr>
        <w:t>’</w:t>
      </w:r>
      <w:r w:rsidRPr="00DD544A">
        <w:rPr>
          <w:lang w:val="fr-FR"/>
        </w:rPr>
        <w:t xml:space="preserve">aire de conservation transfrontière du </w:t>
      </w:r>
      <w:proofErr w:type="spellStart"/>
      <w:r w:rsidRPr="00DD544A">
        <w:rPr>
          <w:lang w:val="fr-FR"/>
        </w:rPr>
        <w:t>Kavango-Zambezi</w:t>
      </w:r>
      <w:proofErr w:type="spellEnd"/>
      <w:r w:rsidRPr="00DD544A">
        <w:rPr>
          <w:lang w:val="fr-FR"/>
        </w:rPr>
        <w:t>, un modèle dynamique intersectoriel composé de processus naturels et d</w:t>
      </w:r>
      <w:r w:rsidR="00864634">
        <w:rPr>
          <w:lang w:val="fr-FR"/>
        </w:rPr>
        <w:t>’</w:t>
      </w:r>
      <w:r w:rsidRPr="00DD544A">
        <w:rPr>
          <w:lang w:val="fr-FR"/>
        </w:rPr>
        <w:t xml:space="preserve">origine humaine a été élaboré en se fondant sur les connaissances des parties prenantes locales. Le modèle est utilisé comme un outil de gestion adapté </w:t>
      </w:r>
      <w:r w:rsidR="00C84CDF">
        <w:rPr>
          <w:lang w:val="fr-FR"/>
        </w:rPr>
        <w:t>au</w:t>
      </w:r>
      <w:r w:rsidRPr="00DD544A">
        <w:rPr>
          <w:lang w:val="fr-FR"/>
        </w:rPr>
        <w:t xml:space="preserve"> contexte pour analyser des scénarios à l</w:t>
      </w:r>
      <w:r w:rsidR="00864634">
        <w:rPr>
          <w:lang w:val="fr-FR"/>
        </w:rPr>
        <w:t>’</w:t>
      </w:r>
      <w:r w:rsidRPr="00DD544A">
        <w:rPr>
          <w:lang w:val="fr-FR"/>
        </w:rPr>
        <w:t>appui du renforcement des politiques sectorielles et de la planification de l</w:t>
      </w:r>
      <w:r w:rsidR="00864634">
        <w:rPr>
          <w:lang w:val="fr-FR"/>
        </w:rPr>
        <w:t>’</w:t>
      </w:r>
      <w:r w:rsidRPr="00DD544A">
        <w:rPr>
          <w:lang w:val="fr-FR"/>
        </w:rPr>
        <w:t>utilisation des terres dans les aires essentielles de protection de la</w:t>
      </w:r>
      <w:r w:rsidR="00864634">
        <w:rPr>
          <w:lang w:val="fr-FR"/>
        </w:rPr>
        <w:t> </w:t>
      </w:r>
      <w:r w:rsidRPr="00DD544A">
        <w:rPr>
          <w:lang w:val="fr-FR"/>
        </w:rPr>
        <w:t>faune sauvage.</w:t>
      </w:r>
    </w:p>
    <w:p w14:paraId="7CB3EDA5" w14:textId="1EEB9A0F" w:rsidR="0074679F" w:rsidRPr="00DD544A" w:rsidRDefault="0074679F" w:rsidP="00E56F81">
      <w:pPr>
        <w:pStyle w:val="Normalnumber"/>
        <w:tabs>
          <w:tab w:val="num" w:pos="624"/>
        </w:tabs>
        <w:rPr>
          <w:color w:val="000000"/>
          <w:lang w:val="fr-FR"/>
        </w:rPr>
      </w:pPr>
      <w:r w:rsidRPr="00DD544A">
        <w:rPr>
          <w:lang w:val="fr-FR"/>
        </w:rPr>
        <w:t xml:space="preserve">La coexistence des êtres humains et des espèces sauvages étant intimement liée à la menace </w:t>
      </w:r>
      <w:r w:rsidR="00C84CDF">
        <w:rPr>
          <w:lang w:val="fr-FR"/>
        </w:rPr>
        <w:t xml:space="preserve">de </w:t>
      </w:r>
      <w:r w:rsidRPr="00DD544A">
        <w:rPr>
          <w:lang w:val="fr-FR"/>
        </w:rPr>
        <w:t>multiplication des zoonoses, le PNUE a noué un partenariat avec l</w:t>
      </w:r>
      <w:r w:rsidR="00864634">
        <w:rPr>
          <w:lang w:val="fr-FR"/>
        </w:rPr>
        <w:t>’</w:t>
      </w:r>
      <w:r w:rsidRPr="00DD544A">
        <w:rPr>
          <w:lang w:val="fr-FR"/>
        </w:rPr>
        <w:t xml:space="preserve">International </w:t>
      </w:r>
      <w:proofErr w:type="spellStart"/>
      <w:r w:rsidRPr="00DD544A">
        <w:rPr>
          <w:lang w:val="fr-FR"/>
        </w:rPr>
        <w:t>Livestock</w:t>
      </w:r>
      <w:proofErr w:type="spellEnd"/>
      <w:r w:rsidRPr="00DD544A">
        <w:rPr>
          <w:lang w:val="fr-FR"/>
        </w:rPr>
        <w:t xml:space="preserve"> </w:t>
      </w:r>
      <w:proofErr w:type="spellStart"/>
      <w:r w:rsidRPr="00DD544A">
        <w:rPr>
          <w:lang w:val="fr-FR"/>
        </w:rPr>
        <w:t>Research</w:t>
      </w:r>
      <w:proofErr w:type="spellEnd"/>
      <w:r w:rsidRPr="00DD544A">
        <w:rPr>
          <w:lang w:val="fr-FR"/>
        </w:rPr>
        <w:t xml:space="preserve"> Institute en vue de mener une rapide évaluation scientifique et d</w:t>
      </w:r>
      <w:r w:rsidR="00864634">
        <w:rPr>
          <w:lang w:val="fr-FR"/>
        </w:rPr>
        <w:t>’</w:t>
      </w:r>
      <w:r w:rsidRPr="00DD544A">
        <w:rPr>
          <w:lang w:val="fr-FR"/>
        </w:rPr>
        <w:t>élaborer des recommandations dans le</w:t>
      </w:r>
      <w:r w:rsidR="00864634">
        <w:rPr>
          <w:lang w:val="fr-FR"/>
        </w:rPr>
        <w:t> </w:t>
      </w:r>
      <w:r w:rsidRPr="00DD544A">
        <w:rPr>
          <w:lang w:val="fr-FR"/>
        </w:rPr>
        <w:t xml:space="preserve">rapport intitulé </w:t>
      </w:r>
      <w:r w:rsidRPr="00DD544A">
        <w:rPr>
          <w:i/>
          <w:iCs/>
          <w:lang w:val="fr-FR"/>
        </w:rPr>
        <w:t>Prévenir de prochaines pandémies – Zoonoses et comment briser la chaîne de transmission.</w:t>
      </w:r>
      <w:r w:rsidRPr="00DD544A">
        <w:rPr>
          <w:lang w:val="fr-FR"/>
        </w:rPr>
        <w:t xml:space="preserve"> </w:t>
      </w:r>
      <w:r w:rsidR="00C51535">
        <w:rPr>
          <w:lang w:val="fr-FR"/>
        </w:rPr>
        <w:t>L</w:t>
      </w:r>
      <w:r w:rsidRPr="00DD544A">
        <w:rPr>
          <w:lang w:val="fr-FR"/>
        </w:rPr>
        <w:t>e rapport, qui comptait environ 12 000 téléchargements en octobre 2020, s</w:t>
      </w:r>
      <w:r w:rsidR="00864634">
        <w:rPr>
          <w:lang w:val="fr-FR"/>
        </w:rPr>
        <w:t>’</w:t>
      </w:r>
      <w:r w:rsidRPr="00DD544A">
        <w:rPr>
          <w:lang w:val="fr-FR"/>
        </w:rPr>
        <w:t>accompagne d</w:t>
      </w:r>
      <w:r w:rsidR="00864634">
        <w:rPr>
          <w:lang w:val="fr-FR"/>
        </w:rPr>
        <w:t>’</w:t>
      </w:r>
      <w:r w:rsidRPr="00DD544A">
        <w:rPr>
          <w:lang w:val="fr-FR"/>
        </w:rPr>
        <w:t>une campagne en cours visant à sensibiliser à la question et à appuyer les dialogues politiques avec les États membres et d</w:t>
      </w:r>
      <w:r w:rsidR="00864634">
        <w:rPr>
          <w:lang w:val="fr-FR"/>
        </w:rPr>
        <w:t>’</w:t>
      </w:r>
      <w:r w:rsidRPr="00DD544A">
        <w:rPr>
          <w:lang w:val="fr-FR"/>
        </w:rPr>
        <w:t>autres partenaires, afin de mieux comprendre les aspects environnementaux des zoonoses.</w:t>
      </w:r>
    </w:p>
    <w:p w14:paraId="1DB0C356" w14:textId="2C58A6ED" w:rsidR="0074679F" w:rsidRPr="00DD544A" w:rsidRDefault="00771AE1" w:rsidP="00771AE1">
      <w:pPr>
        <w:pStyle w:val="CH2"/>
        <w:rPr>
          <w:lang w:val="fr-FR"/>
        </w:rPr>
      </w:pPr>
      <w:r w:rsidRPr="00DD544A">
        <w:rPr>
          <w:lang w:val="fr-FR"/>
        </w:rPr>
        <w:t>C.</w:t>
      </w:r>
      <w:r w:rsidRPr="00DD544A">
        <w:rPr>
          <w:lang w:val="fr-FR"/>
        </w:rPr>
        <w:tab/>
      </w:r>
      <w:r w:rsidR="00DD544A">
        <w:rPr>
          <w:lang w:val="fr-FR"/>
        </w:rPr>
        <w:tab/>
      </w:r>
      <w:r w:rsidRPr="00DD544A">
        <w:rPr>
          <w:bCs/>
          <w:lang w:val="fr-FR"/>
        </w:rPr>
        <w:t>Étendre les modes de financement novateurs pour la restauration et</w:t>
      </w:r>
      <w:r w:rsidR="00E079B8">
        <w:rPr>
          <w:bCs/>
          <w:lang w:val="fr-FR"/>
        </w:rPr>
        <w:t> </w:t>
      </w:r>
      <w:r w:rsidRPr="00DD544A">
        <w:rPr>
          <w:bCs/>
          <w:lang w:val="fr-FR"/>
        </w:rPr>
        <w:t>le</w:t>
      </w:r>
      <w:r w:rsidR="00864634">
        <w:rPr>
          <w:bCs/>
          <w:lang w:val="fr-FR"/>
        </w:rPr>
        <w:t>s </w:t>
      </w:r>
      <w:r w:rsidRPr="00DD544A">
        <w:rPr>
          <w:bCs/>
          <w:lang w:val="fr-FR"/>
        </w:rPr>
        <w:t>approches écosystémiques</w:t>
      </w:r>
    </w:p>
    <w:p w14:paraId="21427F67" w14:textId="002F63F0" w:rsidR="0074679F" w:rsidRPr="00DD544A" w:rsidRDefault="0074679F" w:rsidP="00E56F81">
      <w:pPr>
        <w:pStyle w:val="Normalnumber"/>
        <w:tabs>
          <w:tab w:val="num" w:pos="624"/>
        </w:tabs>
        <w:rPr>
          <w:rFonts w:eastAsia="Arial Unicode MS"/>
          <w:bdr w:val="nil"/>
          <w:lang w:val="fr-FR"/>
        </w:rPr>
      </w:pPr>
      <w:r w:rsidRPr="00DD544A">
        <w:rPr>
          <w:lang w:val="fr-FR"/>
        </w:rPr>
        <w:t>Le PNUE appuie l</w:t>
      </w:r>
      <w:r w:rsidR="00864634">
        <w:rPr>
          <w:lang w:val="fr-FR"/>
        </w:rPr>
        <w:t>’</w:t>
      </w:r>
      <w:r w:rsidRPr="00DD544A">
        <w:rPr>
          <w:lang w:val="fr-FR"/>
        </w:rPr>
        <w:t>élaboration de plusieurs nouveaux mécanismes de financement, y compris le Mécanisme de financement pour les paysages tropicaux élaboré en Indonésie en partenariat avec BNP Paribas, ADM Capital et le Centre international pour la recherche en agroforesterie. Ainsi, les</w:t>
      </w:r>
      <w:r w:rsidR="00864634">
        <w:rPr>
          <w:lang w:val="fr-FR"/>
        </w:rPr>
        <w:t> </w:t>
      </w:r>
      <w:r w:rsidRPr="00DD544A">
        <w:rPr>
          <w:lang w:val="fr-FR"/>
        </w:rPr>
        <w:t>« obligations à impact sur les paysages », d</w:t>
      </w:r>
      <w:r w:rsidR="00864634">
        <w:rPr>
          <w:lang w:val="fr-FR"/>
        </w:rPr>
        <w:t>’</w:t>
      </w:r>
      <w:r w:rsidRPr="00DD544A">
        <w:rPr>
          <w:lang w:val="fr-FR"/>
        </w:rPr>
        <w:t xml:space="preserve">une valeur de 95 millions de dollars, financent </w:t>
      </w:r>
      <w:r w:rsidR="00C51535">
        <w:rPr>
          <w:lang w:val="fr-FR"/>
        </w:rPr>
        <w:t>la</w:t>
      </w:r>
      <w:r w:rsidR="00864634">
        <w:rPr>
          <w:lang w:val="fr-FR"/>
        </w:rPr>
        <w:t> </w:t>
      </w:r>
      <w:r w:rsidRPr="00DD544A">
        <w:rPr>
          <w:lang w:val="fr-FR"/>
        </w:rPr>
        <w:t xml:space="preserve">plantation durable de caoutchouc naturel comprenant des zones dédiées à la restauration et </w:t>
      </w:r>
      <w:r w:rsidR="00C51535">
        <w:rPr>
          <w:lang w:val="fr-FR"/>
        </w:rPr>
        <w:t>à</w:t>
      </w:r>
      <w:r w:rsidR="00864634">
        <w:rPr>
          <w:lang w:val="fr-FR"/>
        </w:rPr>
        <w:t> la p</w:t>
      </w:r>
      <w:r w:rsidRPr="00DD544A">
        <w:rPr>
          <w:lang w:val="fr-FR"/>
        </w:rPr>
        <w:t>rotection de la forêt, ainsi que des petites exploitations de caoutchouc qui créent des revenus et</w:t>
      </w:r>
      <w:r w:rsidR="00864634">
        <w:rPr>
          <w:lang w:val="fr-FR"/>
        </w:rPr>
        <w:t> </w:t>
      </w:r>
      <w:r w:rsidRPr="00DD544A">
        <w:rPr>
          <w:lang w:val="fr-FR"/>
        </w:rPr>
        <w:t>améliorent les moyens de subsistance en milieu rural.</w:t>
      </w:r>
    </w:p>
    <w:p w14:paraId="0F1E5EFF" w14:textId="0BC749AD" w:rsidR="0074679F" w:rsidRPr="00DD544A" w:rsidRDefault="0074679F" w:rsidP="00E56F81">
      <w:pPr>
        <w:pStyle w:val="Normalnumber"/>
        <w:tabs>
          <w:tab w:val="num" w:pos="624"/>
        </w:tabs>
        <w:rPr>
          <w:rFonts w:eastAsia="Arial Unicode MS"/>
          <w:bdr w:val="nil"/>
          <w:lang w:val="fr-FR"/>
        </w:rPr>
      </w:pPr>
      <w:r w:rsidRPr="00DD544A">
        <w:rPr>
          <w:lang w:val="fr-FR"/>
        </w:rPr>
        <w:t xml:space="preserve">Le PNUE a appuyé la création du </w:t>
      </w:r>
      <w:r w:rsidR="00556AE1">
        <w:rPr>
          <w:lang w:val="fr-FR"/>
        </w:rPr>
        <w:t>f</w:t>
      </w:r>
      <w:r w:rsidRPr="00DD544A">
        <w:rPr>
          <w:lang w:val="fr-FR"/>
        </w:rPr>
        <w:t xml:space="preserve">onds AGRI3 en collaboration avec Rabobank, </w:t>
      </w:r>
      <w:proofErr w:type="spellStart"/>
      <w:r w:rsidRPr="00DD544A">
        <w:rPr>
          <w:lang w:val="fr-FR"/>
        </w:rPr>
        <w:t>Mirova</w:t>
      </w:r>
      <w:r w:rsidR="00864634">
        <w:rPr>
          <w:lang w:val="fr-FR"/>
        </w:rPr>
        <w:noBreakHyphen/>
      </w:r>
      <w:r w:rsidRPr="00DD544A">
        <w:rPr>
          <w:lang w:val="fr-FR"/>
        </w:rPr>
        <w:t>Althelia</w:t>
      </w:r>
      <w:proofErr w:type="spellEnd"/>
      <w:r w:rsidRPr="00DD544A">
        <w:rPr>
          <w:lang w:val="fr-FR"/>
        </w:rPr>
        <w:t xml:space="preserve"> et IDH</w:t>
      </w:r>
      <w:r w:rsidR="00F72A05">
        <w:rPr>
          <w:lang w:val="fr-FR"/>
        </w:rPr>
        <w:t xml:space="preserve"> – </w:t>
      </w:r>
      <w:r w:rsidRPr="00DD544A">
        <w:rPr>
          <w:lang w:val="fr-FR"/>
        </w:rPr>
        <w:t xml:space="preserve">The </w:t>
      </w:r>
      <w:proofErr w:type="spellStart"/>
      <w:r w:rsidRPr="00DD544A">
        <w:rPr>
          <w:lang w:val="fr-FR"/>
        </w:rPr>
        <w:t>Sustainable</w:t>
      </w:r>
      <w:proofErr w:type="spellEnd"/>
      <w:r w:rsidRPr="00DD544A">
        <w:rPr>
          <w:lang w:val="fr-FR"/>
        </w:rPr>
        <w:t xml:space="preserve"> Trade Initiative. Le </w:t>
      </w:r>
      <w:r w:rsidR="00556AE1">
        <w:rPr>
          <w:lang w:val="fr-FR"/>
        </w:rPr>
        <w:t>f</w:t>
      </w:r>
      <w:r w:rsidRPr="00DD544A">
        <w:rPr>
          <w:lang w:val="fr-FR"/>
        </w:rPr>
        <w:t>onds AGRI3 est un fonds public-privé créé pour financer des projets visant à protéger ou restaurer les forêts, renforcer l</w:t>
      </w:r>
      <w:r w:rsidR="00864634">
        <w:rPr>
          <w:lang w:val="fr-FR"/>
        </w:rPr>
        <w:t>’</w:t>
      </w:r>
      <w:r w:rsidRPr="00DD544A">
        <w:rPr>
          <w:lang w:val="fr-FR"/>
        </w:rPr>
        <w:t>agriculture durable et</w:t>
      </w:r>
      <w:r w:rsidR="00586FEF">
        <w:rPr>
          <w:lang w:val="fr-FR"/>
        </w:rPr>
        <w:t> </w:t>
      </w:r>
      <w:r w:rsidRPr="00DD544A">
        <w:rPr>
          <w:lang w:val="fr-FR"/>
        </w:rPr>
        <w:t>améliorer les moyens de subsistance en milieu rural. À ce jour, le Fonds a engagé 90 millions de dollars de capitaux (l</w:t>
      </w:r>
      <w:r w:rsidR="00864634">
        <w:rPr>
          <w:lang w:val="fr-FR"/>
        </w:rPr>
        <w:t>’</w:t>
      </w:r>
      <w:r w:rsidRPr="00DD544A">
        <w:rPr>
          <w:lang w:val="fr-FR"/>
        </w:rPr>
        <w:t xml:space="preserve">objectif étant </w:t>
      </w:r>
      <w:r w:rsidR="00C51535">
        <w:rPr>
          <w:lang w:val="fr-FR"/>
        </w:rPr>
        <w:t>fixé à</w:t>
      </w:r>
      <w:r w:rsidRPr="00DD544A">
        <w:rPr>
          <w:lang w:val="fr-FR"/>
        </w:rPr>
        <w:t xml:space="preserve"> 150 millions de dollars) fournis par le Gouvernement néerlandais, Rabobank et le FEM. Les activités du Fonds sont essentielles pour atteindre l</w:t>
      </w:r>
      <w:r w:rsidR="00864634">
        <w:rPr>
          <w:lang w:val="fr-FR"/>
        </w:rPr>
        <w:t>’</w:t>
      </w:r>
      <w:r w:rsidRPr="00DD544A">
        <w:rPr>
          <w:lang w:val="fr-FR"/>
        </w:rPr>
        <w:t>objectif d</w:t>
      </w:r>
      <w:r w:rsidR="00864634">
        <w:rPr>
          <w:lang w:val="fr-FR"/>
        </w:rPr>
        <w:t>’</w:t>
      </w:r>
      <w:r w:rsidRPr="00DD544A">
        <w:rPr>
          <w:lang w:val="fr-FR"/>
        </w:rPr>
        <w:t>un milliard de dollars fixé par Rabobank et le PNUE en matière de financement d</w:t>
      </w:r>
      <w:r w:rsidR="00864634">
        <w:rPr>
          <w:lang w:val="fr-FR"/>
        </w:rPr>
        <w:t>’</w:t>
      </w:r>
      <w:r w:rsidRPr="00DD544A">
        <w:rPr>
          <w:lang w:val="fr-FR"/>
        </w:rPr>
        <w:t>une production des produits de base qui ne contribue pas à la déforestation, ainsi que d</w:t>
      </w:r>
      <w:r w:rsidR="00864634">
        <w:rPr>
          <w:lang w:val="fr-FR"/>
        </w:rPr>
        <w:t>’</w:t>
      </w:r>
      <w:r w:rsidRPr="00DD544A">
        <w:rPr>
          <w:lang w:val="fr-FR"/>
        </w:rPr>
        <w:t>autres formes d</w:t>
      </w:r>
      <w:r w:rsidR="00864634">
        <w:rPr>
          <w:lang w:val="fr-FR"/>
        </w:rPr>
        <w:t>’</w:t>
      </w:r>
      <w:r w:rsidRPr="00DD544A">
        <w:rPr>
          <w:lang w:val="fr-FR"/>
        </w:rPr>
        <w:t>utilisation durable des terres.</w:t>
      </w:r>
    </w:p>
    <w:p w14:paraId="1B2F288B" w14:textId="16C6D2F7" w:rsidR="0074679F" w:rsidRPr="00DD544A" w:rsidRDefault="0074679F" w:rsidP="00E56F81">
      <w:pPr>
        <w:pStyle w:val="Normalnumber"/>
        <w:rPr>
          <w:bdr w:val="nil"/>
          <w:lang w:val="fr-FR"/>
        </w:rPr>
      </w:pPr>
      <w:r w:rsidRPr="00DD544A">
        <w:rPr>
          <w:lang w:val="fr-FR"/>
        </w:rPr>
        <w:t xml:space="preserve">Le PNUE a noué un partenariat avec le </w:t>
      </w:r>
      <w:r w:rsidR="00556AE1">
        <w:rPr>
          <w:lang w:val="fr-FR"/>
        </w:rPr>
        <w:t>f</w:t>
      </w:r>
      <w:r w:rsidRPr="00DD544A">
        <w:rPr>
          <w:lang w:val="fr-FR"/>
        </w:rPr>
        <w:t>onds &amp;Green au moyen de capitaux fournis par le</w:t>
      </w:r>
      <w:r w:rsidR="00864634">
        <w:rPr>
          <w:lang w:val="fr-FR"/>
        </w:rPr>
        <w:t> </w:t>
      </w:r>
      <w:r w:rsidRPr="00DD544A">
        <w:rPr>
          <w:lang w:val="fr-FR"/>
        </w:rPr>
        <w:t>Gouvernement norvégien, Unilever et le FEM (par le biais du PNUE). Au cours de l</w:t>
      </w:r>
      <w:r w:rsidR="00864634">
        <w:rPr>
          <w:lang w:val="fr-FR"/>
        </w:rPr>
        <w:t>’</w:t>
      </w:r>
      <w:r w:rsidRPr="00DD544A">
        <w:rPr>
          <w:lang w:val="fr-FR"/>
        </w:rPr>
        <w:t>année passée, le</w:t>
      </w:r>
      <w:r w:rsidR="00A82287">
        <w:rPr>
          <w:lang w:val="fr-FR"/>
        </w:rPr>
        <w:t> </w:t>
      </w:r>
      <w:r w:rsidR="00556AE1">
        <w:rPr>
          <w:lang w:val="fr-FR"/>
        </w:rPr>
        <w:t>f</w:t>
      </w:r>
      <w:r w:rsidRPr="00DD544A">
        <w:rPr>
          <w:lang w:val="fr-FR"/>
        </w:rPr>
        <w:t>onds &amp;Green a investi dans des transactions novatrices dans le domaine de la production durable de caoutchouc et d</w:t>
      </w:r>
      <w:r w:rsidR="00864634">
        <w:rPr>
          <w:lang w:val="fr-FR"/>
        </w:rPr>
        <w:t>’</w:t>
      </w:r>
      <w:r w:rsidRPr="00DD544A">
        <w:rPr>
          <w:lang w:val="fr-FR"/>
        </w:rPr>
        <w:t xml:space="preserve">huile de palme en Indonésie, ainsi que dans une ferme durable intégrée de soja et </w:t>
      </w:r>
      <w:r w:rsidR="00C51535">
        <w:rPr>
          <w:lang w:val="fr-FR"/>
        </w:rPr>
        <w:t xml:space="preserve">de </w:t>
      </w:r>
      <w:r w:rsidRPr="00DD544A">
        <w:rPr>
          <w:lang w:val="fr-FR"/>
        </w:rPr>
        <w:t>bétail au Brésil, en vue de faire progresser l</w:t>
      </w:r>
      <w:r w:rsidR="00864634">
        <w:rPr>
          <w:lang w:val="fr-FR"/>
        </w:rPr>
        <w:t>’</w:t>
      </w:r>
      <w:r w:rsidRPr="00DD544A">
        <w:rPr>
          <w:lang w:val="fr-FR"/>
        </w:rPr>
        <w:t>agriculture et les systèmes alimentaires durables.</w:t>
      </w:r>
    </w:p>
    <w:p w14:paraId="7B33100B" w14:textId="5722FD72" w:rsidR="0074679F" w:rsidRPr="00DD544A" w:rsidRDefault="0074679F" w:rsidP="00E56F81">
      <w:pPr>
        <w:pStyle w:val="Normalnumber"/>
        <w:rPr>
          <w:bdr w:val="nil"/>
          <w:lang w:val="fr-FR"/>
        </w:rPr>
      </w:pPr>
      <w:r w:rsidRPr="00DD544A">
        <w:rPr>
          <w:lang w:val="fr-FR"/>
        </w:rPr>
        <w:lastRenderedPageBreak/>
        <w:t xml:space="preserve">Le </w:t>
      </w:r>
      <w:proofErr w:type="spellStart"/>
      <w:r w:rsidRPr="00DD544A">
        <w:rPr>
          <w:lang w:val="fr-FR"/>
        </w:rPr>
        <w:t>Restoration</w:t>
      </w:r>
      <w:proofErr w:type="spellEnd"/>
      <w:r w:rsidRPr="00DD544A">
        <w:rPr>
          <w:lang w:val="fr-FR"/>
        </w:rPr>
        <w:t xml:space="preserve"> </w:t>
      </w:r>
      <w:proofErr w:type="spellStart"/>
      <w:r w:rsidRPr="00DD544A">
        <w:rPr>
          <w:lang w:val="fr-FR"/>
        </w:rPr>
        <w:t>Seed</w:t>
      </w:r>
      <w:proofErr w:type="spellEnd"/>
      <w:r w:rsidRPr="00DD544A">
        <w:rPr>
          <w:lang w:val="fr-FR"/>
        </w:rPr>
        <w:t xml:space="preserve"> Capital Facility (mécanisme de capital d</w:t>
      </w:r>
      <w:r w:rsidR="00864634">
        <w:rPr>
          <w:lang w:val="fr-FR"/>
        </w:rPr>
        <w:t>’</w:t>
      </w:r>
      <w:r w:rsidRPr="00DD544A">
        <w:rPr>
          <w:lang w:val="fr-FR"/>
        </w:rPr>
        <w:t>amorçage pour la restauration) a</w:t>
      </w:r>
      <w:r w:rsidR="00864634">
        <w:rPr>
          <w:lang w:val="fr-FR"/>
        </w:rPr>
        <w:t> </w:t>
      </w:r>
      <w:r w:rsidRPr="00DD544A">
        <w:rPr>
          <w:lang w:val="fr-FR"/>
        </w:rPr>
        <w:t>été créé avec l</w:t>
      </w:r>
      <w:r w:rsidR="00864634">
        <w:rPr>
          <w:lang w:val="fr-FR"/>
        </w:rPr>
        <w:t>’</w:t>
      </w:r>
      <w:r w:rsidRPr="00DD544A">
        <w:rPr>
          <w:lang w:val="fr-FR"/>
        </w:rPr>
        <w:t>appui de l</w:t>
      </w:r>
      <w:r w:rsidR="00864634">
        <w:rPr>
          <w:lang w:val="fr-FR"/>
        </w:rPr>
        <w:t>’</w:t>
      </w:r>
      <w:r w:rsidRPr="00DD544A">
        <w:rPr>
          <w:lang w:val="fr-FR"/>
        </w:rPr>
        <w:t>Allemagne et du Luxembourg pour promouvoir l</w:t>
      </w:r>
      <w:r w:rsidR="00864634">
        <w:rPr>
          <w:lang w:val="fr-FR"/>
        </w:rPr>
        <w:t>’</w:t>
      </w:r>
      <w:r w:rsidRPr="00DD544A">
        <w:rPr>
          <w:lang w:val="fr-FR"/>
        </w:rPr>
        <w:t>investissement privé dans la restauration des paysages forestiers. Ce nouveau mécanisme assure également la fourniture d</w:t>
      </w:r>
      <w:r w:rsidR="00864634">
        <w:rPr>
          <w:lang w:val="fr-FR"/>
        </w:rPr>
        <w:t>’</w:t>
      </w:r>
      <w:r w:rsidRPr="00DD544A">
        <w:rPr>
          <w:lang w:val="fr-FR"/>
        </w:rPr>
        <w:t>une</w:t>
      </w:r>
      <w:r w:rsidR="00864634">
        <w:rPr>
          <w:lang w:val="fr-FR"/>
        </w:rPr>
        <w:t> </w:t>
      </w:r>
      <w:r w:rsidRPr="00DD544A">
        <w:rPr>
          <w:lang w:val="fr-FR"/>
        </w:rPr>
        <w:t>assistance technique aux gestionnaires de fonds et aux conseillers en investissement sur la base d</w:t>
      </w:r>
      <w:r w:rsidR="00864634">
        <w:rPr>
          <w:lang w:val="fr-FR"/>
        </w:rPr>
        <w:t>’</w:t>
      </w:r>
      <w:r w:rsidRPr="00DD544A">
        <w:rPr>
          <w:lang w:val="fr-FR"/>
        </w:rPr>
        <w:t>un partage des coûts, afin de développer une filière de projets durable, le lancement des</w:t>
      </w:r>
      <w:r w:rsidR="00864634">
        <w:rPr>
          <w:lang w:val="fr-FR"/>
        </w:rPr>
        <w:t> </w:t>
      </w:r>
      <w:r w:rsidRPr="00DD544A">
        <w:rPr>
          <w:lang w:val="fr-FR"/>
        </w:rPr>
        <w:t>premiers</w:t>
      </w:r>
      <w:r w:rsidR="00864634">
        <w:rPr>
          <w:lang w:val="fr-FR"/>
        </w:rPr>
        <w:t> </w:t>
      </w:r>
      <w:r w:rsidRPr="00DD544A">
        <w:rPr>
          <w:lang w:val="fr-FR"/>
        </w:rPr>
        <w:t>projets étant prévu pour 2021.</w:t>
      </w:r>
    </w:p>
    <w:p w14:paraId="70FB74FF" w14:textId="6A1B2307" w:rsidR="0074679F" w:rsidRPr="00DD544A" w:rsidRDefault="0074679F" w:rsidP="00E56F81">
      <w:pPr>
        <w:pStyle w:val="Normalnumber"/>
        <w:rPr>
          <w:bdr w:val="nil"/>
          <w:lang w:val="fr-FR"/>
        </w:rPr>
      </w:pPr>
      <w:r w:rsidRPr="00DD544A">
        <w:rPr>
          <w:lang w:val="fr-FR"/>
        </w:rPr>
        <w:t>Une analyse a été entreprise pour déterminer les enseignements tirés des mécanismes de</w:t>
      </w:r>
      <w:r w:rsidR="00864634">
        <w:rPr>
          <w:lang w:val="fr-FR"/>
        </w:rPr>
        <w:t> </w:t>
      </w:r>
      <w:r w:rsidRPr="00DD544A">
        <w:rPr>
          <w:lang w:val="fr-FR"/>
        </w:rPr>
        <w:t xml:space="preserve">financement </w:t>
      </w:r>
      <w:r w:rsidR="00AA1A49">
        <w:rPr>
          <w:lang w:val="fr-FR"/>
        </w:rPr>
        <w:t>bénéficiant de l</w:t>
      </w:r>
      <w:r w:rsidR="00864634">
        <w:rPr>
          <w:lang w:val="fr-FR"/>
        </w:rPr>
        <w:t>’</w:t>
      </w:r>
      <w:r w:rsidR="00AA1A49">
        <w:rPr>
          <w:lang w:val="fr-FR"/>
        </w:rPr>
        <w:t>appui</w:t>
      </w:r>
      <w:r w:rsidR="00556AE1">
        <w:rPr>
          <w:lang w:val="fr-FR"/>
        </w:rPr>
        <w:t xml:space="preserve"> du</w:t>
      </w:r>
      <w:r w:rsidR="00AA1A49">
        <w:rPr>
          <w:lang w:val="fr-FR"/>
        </w:rPr>
        <w:t xml:space="preserve"> </w:t>
      </w:r>
      <w:r w:rsidRPr="00DD544A">
        <w:rPr>
          <w:lang w:val="fr-FR"/>
        </w:rPr>
        <w:t xml:space="preserve">PNUE qui </w:t>
      </w:r>
      <w:r w:rsidR="00AA1A49">
        <w:rPr>
          <w:lang w:val="fr-FR"/>
        </w:rPr>
        <w:t xml:space="preserve">sont en faveur de </w:t>
      </w:r>
      <w:r w:rsidRPr="00DD544A">
        <w:rPr>
          <w:lang w:val="fr-FR"/>
        </w:rPr>
        <w:t>la restauration et d</w:t>
      </w:r>
      <w:r w:rsidR="00864634">
        <w:rPr>
          <w:lang w:val="fr-FR"/>
        </w:rPr>
        <w:t>’</w:t>
      </w:r>
      <w:r w:rsidRPr="00DD544A">
        <w:rPr>
          <w:lang w:val="fr-FR"/>
        </w:rPr>
        <w:t>autres solutions axées sur la nature.</w:t>
      </w:r>
    </w:p>
    <w:p w14:paraId="79C45657" w14:textId="0E0E5573" w:rsidR="0074679F" w:rsidRPr="00DD544A" w:rsidRDefault="00ED4622" w:rsidP="00E56F81">
      <w:pPr>
        <w:pStyle w:val="CH2"/>
        <w:rPr>
          <w:lang w:val="fr-FR"/>
        </w:rPr>
      </w:pPr>
      <w:r>
        <w:rPr>
          <w:lang w:val="fr-FR"/>
        </w:rPr>
        <w:tab/>
      </w:r>
      <w:r w:rsidR="00E56F81" w:rsidRPr="00DD544A">
        <w:rPr>
          <w:lang w:val="fr-FR"/>
        </w:rPr>
        <w:t>D.</w:t>
      </w:r>
      <w:r w:rsidR="00E56F81" w:rsidRPr="00DD544A">
        <w:rPr>
          <w:lang w:val="fr-FR"/>
        </w:rPr>
        <w:tab/>
      </w:r>
      <w:r w:rsidR="00E56F81" w:rsidRPr="00DD544A">
        <w:rPr>
          <w:bCs/>
          <w:lang w:val="fr-FR"/>
        </w:rPr>
        <w:t>Tenir compte de la biodiversité et des priorités en matière de dégradation de</w:t>
      </w:r>
      <w:r w:rsidR="00864634">
        <w:rPr>
          <w:bCs/>
          <w:lang w:val="fr-FR"/>
        </w:rPr>
        <w:t>s </w:t>
      </w:r>
      <w:r w:rsidR="00E56F81" w:rsidRPr="00DD544A">
        <w:rPr>
          <w:bCs/>
          <w:lang w:val="fr-FR"/>
        </w:rPr>
        <w:t>terres et de désertification</w:t>
      </w:r>
    </w:p>
    <w:p w14:paraId="7C31439C" w14:textId="07025FC0" w:rsidR="0074679F" w:rsidRPr="00DD544A" w:rsidRDefault="0074679F" w:rsidP="00E56F81">
      <w:pPr>
        <w:pStyle w:val="Normalnumber"/>
        <w:rPr>
          <w:bdr w:val="nil"/>
          <w:lang w:val="fr-FR"/>
        </w:rPr>
      </w:pPr>
      <w:r w:rsidRPr="00DD544A">
        <w:rPr>
          <w:lang w:val="fr-FR"/>
        </w:rPr>
        <w:t>Le PNUE a élaboré un plan d</w:t>
      </w:r>
      <w:r w:rsidR="00864634">
        <w:rPr>
          <w:lang w:val="fr-FR"/>
        </w:rPr>
        <w:t>’</w:t>
      </w:r>
      <w:r w:rsidRPr="00DD544A">
        <w:rPr>
          <w:lang w:val="fr-FR"/>
        </w:rPr>
        <w:t>action à l</w:t>
      </w:r>
      <w:r w:rsidR="00864634">
        <w:rPr>
          <w:lang w:val="fr-FR"/>
        </w:rPr>
        <w:t>’</w:t>
      </w:r>
      <w:r w:rsidRPr="00DD544A">
        <w:rPr>
          <w:lang w:val="fr-FR"/>
        </w:rPr>
        <w:t>échelle du système des Nations Unies afin de mettre en</w:t>
      </w:r>
      <w:r w:rsidR="00EB1D88">
        <w:rPr>
          <w:lang w:val="fr-FR"/>
        </w:rPr>
        <w:t> </w:t>
      </w:r>
      <w:r w:rsidRPr="00DD544A">
        <w:rPr>
          <w:lang w:val="fr-FR"/>
        </w:rPr>
        <w:t>œuvre l</w:t>
      </w:r>
      <w:r w:rsidR="00864634">
        <w:rPr>
          <w:lang w:val="fr-FR"/>
        </w:rPr>
        <w:t>’</w:t>
      </w:r>
      <w:r w:rsidRPr="00DD544A">
        <w:rPr>
          <w:lang w:val="fr-FR"/>
        </w:rPr>
        <w:t xml:space="preserve">initiative Grande Muraille verte pour le Sahara et le Sahel, laquelle </w:t>
      </w:r>
      <w:r w:rsidR="00B2416C">
        <w:rPr>
          <w:lang w:val="fr-FR"/>
        </w:rPr>
        <w:t>permettra de</w:t>
      </w:r>
      <w:r w:rsidRPr="00DD544A">
        <w:rPr>
          <w:lang w:val="fr-FR"/>
        </w:rPr>
        <w:t xml:space="preserve"> </w:t>
      </w:r>
      <w:r w:rsidRPr="00DD544A">
        <w:rPr>
          <w:lang w:val="fr-FR"/>
        </w:rPr>
        <w:t>restaurer 100 millions d</w:t>
      </w:r>
      <w:r w:rsidR="00864634">
        <w:rPr>
          <w:lang w:val="fr-FR"/>
        </w:rPr>
        <w:t>’</w:t>
      </w:r>
      <w:r w:rsidRPr="00DD544A">
        <w:rPr>
          <w:lang w:val="fr-FR"/>
        </w:rPr>
        <w:t>hectares de terres dégradées, piéger 250 millions de tonnes de dioxyde de carbone et créer 10 millions d</w:t>
      </w:r>
      <w:r w:rsidR="00864634">
        <w:rPr>
          <w:lang w:val="fr-FR"/>
        </w:rPr>
        <w:t>’</w:t>
      </w:r>
      <w:r w:rsidRPr="00DD544A">
        <w:rPr>
          <w:lang w:val="fr-FR"/>
        </w:rPr>
        <w:t>emplois verts. En partenariat avec la Banque mondiale, le</w:t>
      </w:r>
      <w:r w:rsidR="004D5FE2">
        <w:rPr>
          <w:lang w:val="fr-FR"/>
        </w:rPr>
        <w:t> </w:t>
      </w:r>
      <w:r w:rsidRPr="00DD544A">
        <w:rPr>
          <w:lang w:val="fr-FR"/>
        </w:rPr>
        <w:t>PNUE a appuyé la réalisation d</w:t>
      </w:r>
      <w:r w:rsidR="00864634">
        <w:rPr>
          <w:lang w:val="fr-FR"/>
        </w:rPr>
        <w:t>’</w:t>
      </w:r>
      <w:r w:rsidRPr="00DD544A">
        <w:rPr>
          <w:lang w:val="fr-FR"/>
        </w:rPr>
        <w:t>une analyse de la fragilité au Sahel. La fourniture d</w:t>
      </w:r>
      <w:r w:rsidR="00864634">
        <w:rPr>
          <w:lang w:val="fr-FR"/>
        </w:rPr>
        <w:t>’</w:t>
      </w:r>
      <w:r w:rsidRPr="00DD544A">
        <w:rPr>
          <w:lang w:val="fr-FR"/>
        </w:rPr>
        <w:t xml:space="preserve">une assistance technique supplémentaire et continue </w:t>
      </w:r>
      <w:r w:rsidR="000142A8">
        <w:rPr>
          <w:lang w:val="fr-FR"/>
        </w:rPr>
        <w:t xml:space="preserve">a permis de mieux cerner les liens </w:t>
      </w:r>
      <w:r w:rsidRPr="00DD544A">
        <w:rPr>
          <w:lang w:val="fr-FR"/>
        </w:rPr>
        <w:t>entre l</w:t>
      </w:r>
      <w:r w:rsidR="00864634">
        <w:rPr>
          <w:lang w:val="fr-FR"/>
        </w:rPr>
        <w:t>’</w:t>
      </w:r>
      <w:r w:rsidRPr="00DD544A">
        <w:rPr>
          <w:lang w:val="fr-FR"/>
        </w:rPr>
        <w:t>environnement et les</w:t>
      </w:r>
      <w:r w:rsidR="00864634">
        <w:rPr>
          <w:lang w:val="fr-FR"/>
        </w:rPr>
        <w:t> </w:t>
      </w:r>
      <w:r w:rsidRPr="00DD544A">
        <w:rPr>
          <w:lang w:val="fr-FR"/>
        </w:rPr>
        <w:t>conflits dans la région, divers produits étant en cours d</w:t>
      </w:r>
      <w:r w:rsidR="00864634">
        <w:rPr>
          <w:lang w:val="fr-FR"/>
        </w:rPr>
        <w:t>’</w:t>
      </w:r>
      <w:r w:rsidRPr="00DD544A">
        <w:rPr>
          <w:lang w:val="fr-FR"/>
        </w:rPr>
        <w:t>élaboration.</w:t>
      </w:r>
    </w:p>
    <w:p w14:paraId="08FBA931" w14:textId="55F23E9D" w:rsidR="0074679F" w:rsidRPr="00DD544A" w:rsidRDefault="003D1AD5" w:rsidP="00E56F81">
      <w:pPr>
        <w:pStyle w:val="Normalnumber"/>
        <w:rPr>
          <w:rFonts w:eastAsia="Arial Unicode MS"/>
          <w:color w:val="000000"/>
          <w:bdr w:val="nil"/>
          <w:lang w:val="fr-FR"/>
        </w:rPr>
      </w:pPr>
      <w:r w:rsidRPr="00DD544A">
        <w:rPr>
          <w:lang w:val="fr-FR"/>
        </w:rPr>
        <w:t xml:space="preserve">Par ailleurs, un projet de proposition tendant à </w:t>
      </w:r>
      <w:r w:rsidR="00DB24B4">
        <w:rPr>
          <w:lang w:val="fr-FR"/>
        </w:rPr>
        <w:t xml:space="preserve">proclamer </w:t>
      </w:r>
      <w:r w:rsidRPr="00DD544A">
        <w:rPr>
          <w:lang w:val="fr-FR"/>
        </w:rPr>
        <w:t xml:space="preserve">2026 </w:t>
      </w:r>
      <w:r w:rsidR="00DB24B4">
        <w:rPr>
          <w:lang w:val="fr-FR"/>
        </w:rPr>
        <w:t>« An</w:t>
      </w:r>
      <w:r w:rsidRPr="00DD544A">
        <w:rPr>
          <w:lang w:val="fr-FR"/>
        </w:rPr>
        <w:t>née internationale des</w:t>
      </w:r>
      <w:r w:rsidR="00864634">
        <w:rPr>
          <w:lang w:val="fr-FR"/>
        </w:rPr>
        <w:t> </w:t>
      </w:r>
      <w:r w:rsidRPr="00DD544A">
        <w:rPr>
          <w:lang w:val="fr-FR"/>
        </w:rPr>
        <w:t>p</w:t>
      </w:r>
      <w:r w:rsidR="00B674DB">
        <w:rPr>
          <w:lang w:val="fr-FR"/>
        </w:rPr>
        <w:t>arcours et des éleveurs pastoraux</w:t>
      </w:r>
      <w:r w:rsidR="00DB24B4">
        <w:rPr>
          <w:lang w:val="fr-FR"/>
        </w:rPr>
        <w:t> »</w:t>
      </w:r>
      <w:r w:rsidRPr="00DD544A">
        <w:rPr>
          <w:lang w:val="fr-FR"/>
        </w:rPr>
        <w:t xml:space="preserve"> a été présenté avec l</w:t>
      </w:r>
      <w:r w:rsidR="00864634">
        <w:rPr>
          <w:lang w:val="fr-FR"/>
        </w:rPr>
        <w:t>’</w:t>
      </w:r>
      <w:r w:rsidRPr="00DD544A">
        <w:rPr>
          <w:lang w:val="fr-FR"/>
        </w:rPr>
        <w:t>appui du PNUE et d</w:t>
      </w:r>
      <w:r w:rsidR="00864634">
        <w:rPr>
          <w:lang w:val="fr-FR"/>
        </w:rPr>
        <w:t>’</w:t>
      </w:r>
      <w:r w:rsidRPr="00DD544A">
        <w:rPr>
          <w:lang w:val="fr-FR"/>
        </w:rPr>
        <w:t>autres partenaires, tels que l</w:t>
      </w:r>
      <w:r w:rsidR="00864634">
        <w:rPr>
          <w:lang w:val="fr-FR"/>
        </w:rPr>
        <w:t>’</w:t>
      </w:r>
      <w:r w:rsidRPr="00DD544A">
        <w:rPr>
          <w:lang w:val="fr-FR"/>
        </w:rPr>
        <w:t xml:space="preserve">International </w:t>
      </w:r>
      <w:proofErr w:type="spellStart"/>
      <w:r w:rsidRPr="00DD544A">
        <w:rPr>
          <w:lang w:val="fr-FR"/>
        </w:rPr>
        <w:t>Livestock</w:t>
      </w:r>
      <w:proofErr w:type="spellEnd"/>
      <w:r w:rsidRPr="00DD544A">
        <w:rPr>
          <w:lang w:val="fr-FR"/>
        </w:rPr>
        <w:t xml:space="preserve"> </w:t>
      </w:r>
      <w:proofErr w:type="spellStart"/>
      <w:r w:rsidRPr="00DD544A">
        <w:rPr>
          <w:lang w:val="fr-FR"/>
        </w:rPr>
        <w:t>Research</w:t>
      </w:r>
      <w:proofErr w:type="spellEnd"/>
      <w:r w:rsidRPr="00DD544A">
        <w:rPr>
          <w:lang w:val="fr-FR"/>
        </w:rPr>
        <w:t xml:space="preserve"> Institute, l</w:t>
      </w:r>
      <w:r w:rsidR="00864634">
        <w:rPr>
          <w:lang w:val="fr-FR"/>
        </w:rPr>
        <w:t>’</w:t>
      </w:r>
      <w:r w:rsidRPr="00DD544A">
        <w:rPr>
          <w:lang w:val="fr-FR"/>
        </w:rPr>
        <w:t>Union internationale pour la conservation de la</w:t>
      </w:r>
      <w:r w:rsidR="00864634">
        <w:rPr>
          <w:lang w:val="fr-FR"/>
        </w:rPr>
        <w:t> </w:t>
      </w:r>
      <w:r w:rsidRPr="00DD544A">
        <w:rPr>
          <w:lang w:val="fr-FR"/>
        </w:rPr>
        <w:t>nature et de ses ressources (UICN), la FAO, l</w:t>
      </w:r>
      <w:r w:rsidR="00864634">
        <w:rPr>
          <w:lang w:val="fr-FR"/>
        </w:rPr>
        <w:t>’</w:t>
      </w:r>
      <w:r w:rsidRPr="00DD544A">
        <w:rPr>
          <w:lang w:val="fr-FR"/>
        </w:rPr>
        <w:t xml:space="preserve">International Center for Agricultural </w:t>
      </w:r>
      <w:proofErr w:type="spellStart"/>
      <w:r w:rsidRPr="00DD544A">
        <w:rPr>
          <w:lang w:val="fr-FR"/>
        </w:rPr>
        <w:t>Research</w:t>
      </w:r>
      <w:proofErr w:type="spellEnd"/>
      <w:r w:rsidRPr="00DD544A">
        <w:rPr>
          <w:lang w:val="fr-FR"/>
        </w:rPr>
        <w:t xml:space="preserve"> in the Dry Areas et la Coalition internationale pour l</w:t>
      </w:r>
      <w:r w:rsidR="00864634">
        <w:rPr>
          <w:lang w:val="fr-FR"/>
        </w:rPr>
        <w:t>’</w:t>
      </w:r>
      <w:r w:rsidRPr="00DD544A">
        <w:rPr>
          <w:lang w:val="fr-FR"/>
        </w:rPr>
        <w:t>accès à la terre, afin de promouvoir des mesures supplémentaires sur ces questions et de contribuer au programme mondial en matière de restauration.</w:t>
      </w:r>
    </w:p>
    <w:p w14:paraId="39967778" w14:textId="0FCD87EF" w:rsidR="0074679F" w:rsidRPr="00DD544A" w:rsidRDefault="0074679F" w:rsidP="00E56F81">
      <w:pPr>
        <w:pStyle w:val="Normalnumber"/>
        <w:rPr>
          <w:bdr w:val="nil"/>
          <w:lang w:val="fr-FR"/>
        </w:rPr>
      </w:pPr>
      <w:r w:rsidRPr="00DD544A">
        <w:rPr>
          <w:lang w:val="fr-FR"/>
        </w:rPr>
        <w:t xml:space="preserve">Au niveau national, le PNUE a fourni une assistance technique et a mobilisé des ressources, entraînant </w:t>
      </w:r>
      <w:r w:rsidR="009E1295">
        <w:rPr>
          <w:lang w:val="fr-FR"/>
        </w:rPr>
        <w:t xml:space="preserve">un </w:t>
      </w:r>
      <w:r w:rsidRPr="00DD544A">
        <w:rPr>
          <w:lang w:val="fr-FR"/>
        </w:rPr>
        <w:t xml:space="preserve">appui renouvelé </w:t>
      </w:r>
      <w:r w:rsidR="009E1295">
        <w:rPr>
          <w:lang w:val="fr-FR"/>
        </w:rPr>
        <w:t>a</w:t>
      </w:r>
      <w:r w:rsidRPr="00DD544A">
        <w:rPr>
          <w:lang w:val="fr-FR"/>
        </w:rPr>
        <w:t xml:space="preserve">u Fonds pour un partenariat mondial en faveur du climat </w:t>
      </w:r>
      <w:r w:rsidR="00133018">
        <w:rPr>
          <w:lang w:val="fr-FR"/>
        </w:rPr>
        <w:t>en vue de</w:t>
      </w:r>
      <w:r w:rsidRPr="00DD544A">
        <w:rPr>
          <w:lang w:val="fr-FR"/>
        </w:rPr>
        <w:t xml:space="preserve"> mettre un terme à la déforestation en Mauritanie. En partenariat avec la FAO et le Partenariat mondial sur les sols pour la sécurité alimentaire et l</w:t>
      </w:r>
      <w:r w:rsidR="00864634">
        <w:rPr>
          <w:lang w:val="fr-FR"/>
        </w:rPr>
        <w:t>’</w:t>
      </w:r>
      <w:r w:rsidRPr="00DD544A">
        <w:rPr>
          <w:lang w:val="fr-FR"/>
        </w:rPr>
        <w:t>adaptation au changement climatique ainsi que l</w:t>
      </w:r>
      <w:r w:rsidR="00864634">
        <w:rPr>
          <w:lang w:val="fr-FR"/>
        </w:rPr>
        <w:t>’</w:t>
      </w:r>
      <w:r w:rsidRPr="00DD544A">
        <w:rPr>
          <w:lang w:val="fr-FR"/>
        </w:rPr>
        <w:t>atténuation de ses effets, des travaux techniques ont été entrepris en vue de l</w:t>
      </w:r>
      <w:r w:rsidR="00864634">
        <w:rPr>
          <w:lang w:val="fr-FR"/>
        </w:rPr>
        <w:t>’</w:t>
      </w:r>
      <w:r w:rsidRPr="00DD544A">
        <w:rPr>
          <w:lang w:val="fr-FR"/>
        </w:rPr>
        <w:t>élaboration d</w:t>
      </w:r>
      <w:r w:rsidR="00864634">
        <w:rPr>
          <w:lang w:val="fr-FR"/>
        </w:rPr>
        <w:t>’</w:t>
      </w:r>
      <w:r w:rsidRPr="00DD544A">
        <w:rPr>
          <w:lang w:val="fr-FR"/>
        </w:rPr>
        <w:t>un rapport sur la pollution des sols au niveau mondial</w:t>
      </w:r>
      <w:r w:rsidR="009E1295">
        <w:rPr>
          <w:lang w:val="fr-FR"/>
        </w:rPr>
        <w:t>,</w:t>
      </w:r>
      <w:r w:rsidRPr="00DD544A">
        <w:rPr>
          <w:lang w:val="fr-FR"/>
        </w:rPr>
        <w:t xml:space="preserve"> qui sera </w:t>
      </w:r>
      <w:r w:rsidR="008B2206">
        <w:rPr>
          <w:lang w:val="fr-FR"/>
        </w:rPr>
        <w:t>lancée</w:t>
      </w:r>
      <w:r w:rsidRPr="00DD544A">
        <w:rPr>
          <w:lang w:val="fr-FR"/>
        </w:rPr>
        <w:t xml:space="preserve"> à la cinquième session de l</w:t>
      </w:r>
      <w:r w:rsidR="00864634">
        <w:rPr>
          <w:lang w:val="fr-FR"/>
        </w:rPr>
        <w:t>’</w:t>
      </w:r>
      <w:r w:rsidRPr="00DD544A">
        <w:rPr>
          <w:lang w:val="fr-FR"/>
        </w:rPr>
        <w:t>Assemblée pour l</w:t>
      </w:r>
      <w:r w:rsidR="00864634">
        <w:rPr>
          <w:lang w:val="fr-FR"/>
        </w:rPr>
        <w:t>’</w:t>
      </w:r>
      <w:r w:rsidRPr="00DD544A">
        <w:rPr>
          <w:lang w:val="fr-FR"/>
        </w:rPr>
        <w:t>environnement.</w:t>
      </w:r>
    </w:p>
    <w:p w14:paraId="5C72190C" w14:textId="7E849374" w:rsidR="0074679F" w:rsidRPr="00DD544A" w:rsidRDefault="00A262F3" w:rsidP="00864634">
      <w:pPr>
        <w:pStyle w:val="CH2"/>
        <w:rPr>
          <w:lang w:val="fr-FR"/>
        </w:rPr>
      </w:pPr>
      <w:r>
        <w:rPr>
          <w:lang w:val="fr-FR"/>
        </w:rPr>
        <w:tab/>
      </w:r>
      <w:r w:rsidR="00E56F81" w:rsidRPr="00DD544A">
        <w:rPr>
          <w:lang w:val="fr-FR"/>
        </w:rPr>
        <w:t>E.</w:t>
      </w:r>
      <w:r w:rsidR="00E56F81" w:rsidRPr="00DD544A">
        <w:rPr>
          <w:lang w:val="fr-FR"/>
        </w:rPr>
        <w:tab/>
        <w:t xml:space="preserve">Appuyer la Décennie des Nations Unies pour la restauration </w:t>
      </w:r>
      <w:r w:rsidR="00E56F81" w:rsidRPr="00864634">
        <w:t>des</w:t>
      </w:r>
      <w:r w:rsidR="00E56F81" w:rsidRPr="00DD544A">
        <w:rPr>
          <w:lang w:val="fr-FR"/>
        </w:rPr>
        <w:t xml:space="preserve"> écosystèmes</w:t>
      </w:r>
    </w:p>
    <w:p w14:paraId="2037D520" w14:textId="73D742F3" w:rsidR="0074679F" w:rsidRPr="00DD544A" w:rsidRDefault="0074679F" w:rsidP="00E56F81">
      <w:pPr>
        <w:pStyle w:val="Normalnumber"/>
        <w:rPr>
          <w:rFonts w:eastAsia="Arial Unicode MS"/>
          <w:bdr w:val="nil"/>
          <w:lang w:val="fr-FR"/>
        </w:rPr>
      </w:pPr>
      <w:r w:rsidRPr="00DD544A">
        <w:rPr>
          <w:lang w:val="fr-FR"/>
        </w:rPr>
        <w:t>Une stratégie visant à orienter la mise en œuvre de la Décennie des Nations Unies pour la</w:t>
      </w:r>
      <w:r w:rsidR="00864634">
        <w:rPr>
          <w:lang w:val="fr-FR"/>
        </w:rPr>
        <w:t> </w:t>
      </w:r>
      <w:r w:rsidRPr="00DD544A">
        <w:rPr>
          <w:lang w:val="fr-FR"/>
        </w:rPr>
        <w:t>restauration des écosystèmes a été élaborée au moyen d</w:t>
      </w:r>
      <w:r w:rsidR="00864634">
        <w:rPr>
          <w:lang w:val="fr-FR"/>
        </w:rPr>
        <w:t>’</w:t>
      </w:r>
      <w:r w:rsidRPr="00DD544A">
        <w:rPr>
          <w:lang w:val="fr-FR"/>
        </w:rPr>
        <w:t>un processus consultatif ouvert et inclusif, au</w:t>
      </w:r>
      <w:r w:rsidR="00003BAB">
        <w:rPr>
          <w:lang w:val="fr-FR"/>
        </w:rPr>
        <w:t> </w:t>
      </w:r>
      <w:r w:rsidRPr="00DD544A">
        <w:rPr>
          <w:lang w:val="fr-FR"/>
        </w:rPr>
        <w:t xml:space="preserve">cours duquel plus de 2 000 </w:t>
      </w:r>
      <w:r w:rsidR="009E1295">
        <w:rPr>
          <w:lang w:val="fr-FR"/>
        </w:rPr>
        <w:t>observations</w:t>
      </w:r>
      <w:r w:rsidRPr="00DD544A">
        <w:rPr>
          <w:lang w:val="fr-FR"/>
        </w:rPr>
        <w:t xml:space="preserve"> ont été reçu</w:t>
      </w:r>
      <w:r w:rsidR="009E1295">
        <w:rPr>
          <w:lang w:val="fr-FR"/>
        </w:rPr>
        <w:t>e</w:t>
      </w:r>
      <w:r w:rsidRPr="00DD544A">
        <w:rPr>
          <w:lang w:val="fr-FR"/>
        </w:rPr>
        <w:t xml:space="preserve">s </w:t>
      </w:r>
      <w:r w:rsidR="009E1295">
        <w:rPr>
          <w:lang w:val="fr-FR"/>
        </w:rPr>
        <w:t xml:space="preserve">en provenance </w:t>
      </w:r>
      <w:r w:rsidRPr="00DD544A">
        <w:rPr>
          <w:lang w:val="fr-FR"/>
        </w:rPr>
        <w:t>du monde entier. La stratégie a été lancée en septembre 2020, parallèlement à la marque et à l</w:t>
      </w:r>
      <w:r w:rsidR="00864634">
        <w:rPr>
          <w:lang w:val="fr-FR"/>
        </w:rPr>
        <w:t>’</w:t>
      </w:r>
      <w:r w:rsidRPr="00DD544A">
        <w:rPr>
          <w:lang w:val="fr-FR"/>
        </w:rPr>
        <w:t xml:space="preserve">identité élaborées pour la Décennie. </w:t>
      </w:r>
    </w:p>
    <w:p w14:paraId="18F7F875" w14:textId="20C097BC" w:rsidR="0074679F" w:rsidRPr="00DD544A" w:rsidRDefault="0074679F" w:rsidP="00E56F81">
      <w:pPr>
        <w:pStyle w:val="Normalnumber"/>
        <w:rPr>
          <w:rFonts w:eastAsia="Arial Unicode MS"/>
          <w:bdr w:val="nil"/>
          <w:lang w:val="fr-FR"/>
        </w:rPr>
      </w:pPr>
      <w:r w:rsidRPr="00DD544A">
        <w:rPr>
          <w:lang w:val="fr-FR"/>
        </w:rPr>
        <w:t>Le site Web de la Décennie, interactif et avenant, a été développé et rendu opérationnel. Il</w:t>
      </w:r>
      <w:r w:rsidR="00003BAB">
        <w:rPr>
          <w:lang w:val="fr-FR"/>
        </w:rPr>
        <w:t> </w:t>
      </w:r>
      <w:r w:rsidRPr="00DD544A">
        <w:rPr>
          <w:lang w:val="fr-FR"/>
        </w:rPr>
        <w:t>contient divers produits de communication, tels qu</w:t>
      </w:r>
      <w:r w:rsidR="00864634">
        <w:rPr>
          <w:lang w:val="fr-FR"/>
        </w:rPr>
        <w:t>’</w:t>
      </w:r>
      <w:r w:rsidRPr="00DD544A">
        <w:rPr>
          <w:lang w:val="fr-FR"/>
        </w:rPr>
        <w:t>un guide relatif à l</w:t>
      </w:r>
      <w:r w:rsidR="00864634">
        <w:rPr>
          <w:lang w:val="fr-FR"/>
        </w:rPr>
        <w:t>’</w:t>
      </w:r>
      <w:r w:rsidRPr="00DD544A">
        <w:rPr>
          <w:lang w:val="fr-FR"/>
        </w:rPr>
        <w:t>image de marque, une trousse d</w:t>
      </w:r>
      <w:r w:rsidR="00864634">
        <w:rPr>
          <w:lang w:val="fr-FR"/>
        </w:rPr>
        <w:t>’</w:t>
      </w:r>
      <w:r w:rsidRPr="00DD544A">
        <w:rPr>
          <w:lang w:val="fr-FR"/>
        </w:rPr>
        <w:t>information sur les partenariats et un ensemble de ressources en matière de médias sociaux.</w:t>
      </w:r>
    </w:p>
    <w:p w14:paraId="7C034D15" w14:textId="79D717A2" w:rsidR="0074679F" w:rsidRPr="00DD544A" w:rsidRDefault="0074679F" w:rsidP="00E56F81">
      <w:pPr>
        <w:pStyle w:val="Normalnumber"/>
        <w:rPr>
          <w:rFonts w:eastAsia="Arial Unicode MS"/>
          <w:bdr w:val="nil"/>
          <w:lang w:val="fr-FR"/>
        </w:rPr>
      </w:pPr>
      <w:r w:rsidRPr="00DD544A">
        <w:rPr>
          <w:lang w:val="fr-FR"/>
        </w:rPr>
        <w:t xml:space="preserve">Un groupe de travail a été créé </w:t>
      </w:r>
      <w:r w:rsidR="00201647">
        <w:rPr>
          <w:lang w:val="fr-FR"/>
        </w:rPr>
        <w:t>pour</w:t>
      </w:r>
      <w:r w:rsidRPr="00DD544A">
        <w:rPr>
          <w:lang w:val="fr-FR"/>
        </w:rPr>
        <w:t xml:space="preserve"> suivre les progrès des efforts en matière de restauration déployés durant la mise en œuvre de la Décennie et rendre compte à ce sujet. Au cours des prochains mois, le cadre de suivi sera mis au point sous la coordination de la FAO et du WCMC du PNUE et avec la contribution de plus de 60</w:t>
      </w:r>
      <w:r w:rsidR="00003BAB">
        <w:rPr>
          <w:lang w:val="fr-FR"/>
        </w:rPr>
        <w:t> </w:t>
      </w:r>
      <w:r w:rsidRPr="00DD544A">
        <w:rPr>
          <w:lang w:val="fr-FR"/>
        </w:rPr>
        <w:t>organisations et 190</w:t>
      </w:r>
      <w:r w:rsidR="00003BAB">
        <w:rPr>
          <w:lang w:val="fr-FR"/>
        </w:rPr>
        <w:t> </w:t>
      </w:r>
      <w:r w:rsidRPr="00DD544A">
        <w:rPr>
          <w:lang w:val="fr-FR"/>
        </w:rPr>
        <w:t>experts. Le groupe de travail est composé d</w:t>
      </w:r>
      <w:r w:rsidR="00864634">
        <w:rPr>
          <w:lang w:val="fr-FR"/>
        </w:rPr>
        <w:t>’</w:t>
      </w:r>
      <w:r w:rsidRPr="00DD544A">
        <w:rPr>
          <w:lang w:val="fr-FR"/>
        </w:rPr>
        <w:t xml:space="preserve">experts </w:t>
      </w:r>
      <w:r w:rsidR="009E1295">
        <w:rPr>
          <w:lang w:val="fr-FR"/>
        </w:rPr>
        <w:t xml:space="preserve">issus </w:t>
      </w:r>
      <w:r w:rsidRPr="00DD544A">
        <w:rPr>
          <w:lang w:val="fr-FR"/>
        </w:rPr>
        <w:t>d</w:t>
      </w:r>
      <w:r w:rsidR="00864634">
        <w:rPr>
          <w:lang w:val="fr-FR"/>
        </w:rPr>
        <w:t>’</w:t>
      </w:r>
      <w:r w:rsidRPr="00DD544A">
        <w:rPr>
          <w:lang w:val="fr-FR"/>
        </w:rPr>
        <w:t>organismes tels que l</w:t>
      </w:r>
      <w:r w:rsidR="00864634">
        <w:rPr>
          <w:lang w:val="fr-FR"/>
        </w:rPr>
        <w:t>’</w:t>
      </w:r>
      <w:r w:rsidRPr="00DD544A">
        <w:rPr>
          <w:lang w:val="fr-FR"/>
        </w:rPr>
        <w:t>Agence spatiale européenne, l</w:t>
      </w:r>
      <w:r w:rsidR="00864634">
        <w:rPr>
          <w:lang w:val="fr-FR"/>
        </w:rPr>
        <w:t>’</w:t>
      </w:r>
      <w:r w:rsidRPr="00DD544A">
        <w:rPr>
          <w:lang w:val="fr-FR"/>
        </w:rPr>
        <w:t>Institut des ressources mondiales, l</w:t>
      </w:r>
      <w:r w:rsidR="00864634">
        <w:rPr>
          <w:lang w:val="fr-FR"/>
        </w:rPr>
        <w:t>’</w:t>
      </w:r>
      <w:r w:rsidRPr="00DD544A">
        <w:rPr>
          <w:lang w:val="fr-FR"/>
        </w:rPr>
        <w:t>UICN et le Groupe d</w:t>
      </w:r>
      <w:r w:rsidR="00864634">
        <w:rPr>
          <w:lang w:val="fr-FR"/>
        </w:rPr>
        <w:t>’</w:t>
      </w:r>
      <w:r w:rsidRPr="00DD544A">
        <w:rPr>
          <w:lang w:val="fr-FR"/>
        </w:rPr>
        <w:t>experts intergouvernemental sur l</w:t>
      </w:r>
      <w:r w:rsidR="00864634">
        <w:rPr>
          <w:lang w:val="fr-FR"/>
        </w:rPr>
        <w:t>’</w:t>
      </w:r>
      <w:r w:rsidRPr="00DD544A">
        <w:rPr>
          <w:lang w:val="fr-FR"/>
        </w:rPr>
        <w:t>évolution du climat.</w:t>
      </w:r>
    </w:p>
    <w:p w14:paraId="25B121C1" w14:textId="7D613FBF" w:rsidR="0074679F" w:rsidRPr="00DD544A" w:rsidRDefault="0074679F" w:rsidP="00E56F81">
      <w:pPr>
        <w:pStyle w:val="Normalnumber"/>
        <w:rPr>
          <w:rFonts w:eastAsia="Arial Unicode MS"/>
          <w:bdr w:val="nil"/>
          <w:lang w:val="fr-FR"/>
        </w:rPr>
      </w:pPr>
      <w:r w:rsidRPr="00DD544A">
        <w:rPr>
          <w:lang w:val="fr-FR"/>
        </w:rPr>
        <w:t>Des progrès ont été réalisés s</w:t>
      </w:r>
      <w:r w:rsidR="00864634">
        <w:rPr>
          <w:lang w:val="fr-FR"/>
        </w:rPr>
        <w:t>’</w:t>
      </w:r>
      <w:r w:rsidRPr="00DD544A">
        <w:rPr>
          <w:lang w:val="fr-FR"/>
        </w:rPr>
        <w:t>agissant de l</w:t>
      </w:r>
      <w:r w:rsidR="00864634">
        <w:rPr>
          <w:lang w:val="fr-FR"/>
        </w:rPr>
        <w:t>’</w:t>
      </w:r>
      <w:r w:rsidRPr="00DD544A">
        <w:rPr>
          <w:lang w:val="fr-FR"/>
        </w:rPr>
        <w:t>élaboration de programmes phares essentiels et de la</w:t>
      </w:r>
      <w:r w:rsidR="00864634">
        <w:rPr>
          <w:lang w:val="fr-FR"/>
        </w:rPr>
        <w:t> c</w:t>
      </w:r>
      <w:r w:rsidRPr="00DD544A">
        <w:rPr>
          <w:lang w:val="fr-FR"/>
        </w:rPr>
        <w:t>réation d</w:t>
      </w:r>
      <w:r w:rsidR="00864634">
        <w:rPr>
          <w:lang w:val="fr-FR"/>
        </w:rPr>
        <w:t>’</w:t>
      </w:r>
      <w:r w:rsidRPr="00DD544A">
        <w:rPr>
          <w:lang w:val="fr-FR"/>
        </w:rPr>
        <w:t>un fonds d</w:t>
      </w:r>
      <w:r w:rsidR="00864634">
        <w:rPr>
          <w:lang w:val="fr-FR"/>
        </w:rPr>
        <w:t>’</w:t>
      </w:r>
      <w:r w:rsidRPr="00DD544A">
        <w:rPr>
          <w:lang w:val="fr-FR"/>
        </w:rPr>
        <w:t xml:space="preserve">affectation spéciale </w:t>
      </w:r>
      <w:proofErr w:type="spellStart"/>
      <w:r w:rsidRPr="00DD544A">
        <w:rPr>
          <w:lang w:val="fr-FR"/>
        </w:rPr>
        <w:t>multidonateur</w:t>
      </w:r>
      <w:proofErr w:type="spellEnd"/>
      <w:r w:rsidRPr="00DD544A">
        <w:rPr>
          <w:lang w:val="fr-FR"/>
        </w:rPr>
        <w:t xml:space="preserve"> en vue de financer les éléments stratégiques de la Décennie et de stimuler l</w:t>
      </w:r>
      <w:r w:rsidR="00864634">
        <w:rPr>
          <w:lang w:val="fr-FR"/>
        </w:rPr>
        <w:t>’</w:t>
      </w:r>
      <w:r w:rsidRPr="00DD544A">
        <w:rPr>
          <w:lang w:val="fr-FR"/>
        </w:rPr>
        <w:t>entreprise d</w:t>
      </w:r>
      <w:r w:rsidR="00864634">
        <w:rPr>
          <w:lang w:val="fr-FR"/>
        </w:rPr>
        <w:t>’</w:t>
      </w:r>
      <w:r w:rsidRPr="00DD544A">
        <w:rPr>
          <w:lang w:val="fr-FR"/>
        </w:rPr>
        <w:t>une action de plus grande envergure. Le fonds deviendra opérationnel en 2021.</w:t>
      </w:r>
    </w:p>
    <w:p w14:paraId="1768BE29" w14:textId="0A8D831E" w:rsidR="0074679F" w:rsidRPr="00DD544A" w:rsidRDefault="0074679F" w:rsidP="00E56F81">
      <w:pPr>
        <w:pStyle w:val="Normalnumber"/>
        <w:rPr>
          <w:rFonts w:eastAsia="Arial Unicode MS"/>
          <w:bdr w:val="nil"/>
          <w:lang w:val="fr-FR"/>
        </w:rPr>
      </w:pPr>
      <w:r w:rsidRPr="00DD544A">
        <w:rPr>
          <w:lang w:val="fr-FR"/>
        </w:rPr>
        <w:t>Des partenariats pour la mise en œuvre des objectifs de la Décennie ont été noués avec, entre autres, l</w:t>
      </w:r>
      <w:r w:rsidR="00864634">
        <w:rPr>
          <w:lang w:val="fr-FR"/>
        </w:rPr>
        <w:t>’</w:t>
      </w:r>
      <w:r w:rsidRPr="00DD544A">
        <w:rPr>
          <w:lang w:val="fr-FR"/>
        </w:rPr>
        <w:t>Organisation des Nations Unies pour l</w:t>
      </w:r>
      <w:r w:rsidR="00864634">
        <w:rPr>
          <w:lang w:val="fr-FR"/>
        </w:rPr>
        <w:t>’</w:t>
      </w:r>
      <w:r w:rsidRPr="00DD544A">
        <w:rPr>
          <w:lang w:val="fr-FR"/>
        </w:rPr>
        <w:t>éducation, la science et la culture, les secrétariats des</w:t>
      </w:r>
      <w:r w:rsidR="00864634">
        <w:rPr>
          <w:lang w:val="fr-FR"/>
        </w:rPr>
        <w:t> </w:t>
      </w:r>
      <w:r w:rsidR="009E1295">
        <w:rPr>
          <w:lang w:val="fr-FR"/>
        </w:rPr>
        <w:t>trois c</w:t>
      </w:r>
      <w:r w:rsidRPr="00DD544A">
        <w:rPr>
          <w:lang w:val="fr-FR"/>
        </w:rPr>
        <w:t>onventions de Rio, l</w:t>
      </w:r>
      <w:r w:rsidR="00864634">
        <w:rPr>
          <w:lang w:val="fr-FR"/>
        </w:rPr>
        <w:t>’</w:t>
      </w:r>
      <w:r w:rsidRPr="00DD544A">
        <w:rPr>
          <w:lang w:val="fr-FR"/>
        </w:rPr>
        <w:t>UICN, le Forum mondial sur les paysages, l</w:t>
      </w:r>
      <w:r w:rsidR="00864634">
        <w:rPr>
          <w:lang w:val="fr-FR"/>
        </w:rPr>
        <w:t>’</w:t>
      </w:r>
      <w:r w:rsidRPr="00DD544A">
        <w:rPr>
          <w:lang w:val="fr-FR"/>
        </w:rPr>
        <w:t>Institut des ressources mondiales, le Forum économique mondial et la Banque mondiale, en vue d</w:t>
      </w:r>
      <w:r w:rsidR="00864634">
        <w:rPr>
          <w:lang w:val="fr-FR"/>
        </w:rPr>
        <w:t>’</w:t>
      </w:r>
      <w:r w:rsidRPr="00DD544A">
        <w:rPr>
          <w:lang w:val="fr-FR"/>
        </w:rPr>
        <w:t>harmoniser les activités et</w:t>
      </w:r>
      <w:r w:rsidR="00864634">
        <w:rPr>
          <w:lang w:val="fr-FR"/>
        </w:rPr>
        <w:t> </w:t>
      </w:r>
      <w:r w:rsidRPr="00DD544A">
        <w:rPr>
          <w:lang w:val="fr-FR"/>
        </w:rPr>
        <w:t>d</w:t>
      </w:r>
      <w:r w:rsidR="00864634">
        <w:rPr>
          <w:lang w:val="fr-FR"/>
        </w:rPr>
        <w:t>’</w:t>
      </w:r>
      <w:r w:rsidRPr="00DD544A">
        <w:rPr>
          <w:lang w:val="fr-FR"/>
        </w:rPr>
        <w:t>élargir la collaboration à l</w:t>
      </w:r>
      <w:r w:rsidR="00864634">
        <w:rPr>
          <w:lang w:val="fr-FR"/>
        </w:rPr>
        <w:t>’</w:t>
      </w:r>
      <w:r w:rsidRPr="00DD544A">
        <w:rPr>
          <w:lang w:val="fr-FR"/>
        </w:rPr>
        <w:t>appui de la restauration.</w:t>
      </w:r>
    </w:p>
    <w:p w14:paraId="2853E497" w14:textId="7CF560EA" w:rsidR="0074679F" w:rsidRPr="00DD544A" w:rsidRDefault="00763119" w:rsidP="00E56F81">
      <w:pPr>
        <w:pStyle w:val="Normalnumber"/>
        <w:rPr>
          <w:rFonts w:eastAsia="Arial Unicode MS"/>
          <w:bdr w:val="nil"/>
          <w:lang w:val="fr-FR"/>
        </w:rPr>
      </w:pPr>
      <w:r w:rsidRPr="00DD544A">
        <w:rPr>
          <w:lang w:val="fr-FR"/>
        </w:rPr>
        <w:lastRenderedPageBreak/>
        <w:t>Le WCMC du PNUE, en sa qualité de responsable des données dans le cadre du projet Nature</w:t>
      </w:r>
      <w:r w:rsidR="00221EF6">
        <w:rPr>
          <w:lang w:val="fr-FR"/>
        </w:rPr>
        <w:t> </w:t>
      </w:r>
      <w:proofErr w:type="spellStart"/>
      <w:r w:rsidRPr="00DD544A">
        <w:rPr>
          <w:lang w:val="fr-FR"/>
        </w:rPr>
        <w:t>Map</w:t>
      </w:r>
      <w:proofErr w:type="spellEnd"/>
      <w:r w:rsidRPr="00DD544A">
        <w:rPr>
          <w:lang w:val="fr-FR"/>
        </w:rPr>
        <w:t>, a élaboré des cartes du monde intégrées mettant en lumière les priorités en matière de restauration et de conservation de la biodiversité et de stockage du carbone, afin d</w:t>
      </w:r>
      <w:r w:rsidR="00864634">
        <w:rPr>
          <w:lang w:val="fr-FR"/>
        </w:rPr>
        <w:t>’</w:t>
      </w:r>
      <w:r w:rsidRPr="00DD544A">
        <w:rPr>
          <w:lang w:val="fr-FR"/>
        </w:rPr>
        <w:t>aider les</w:t>
      </w:r>
      <w:r w:rsidR="00864634">
        <w:rPr>
          <w:lang w:val="fr-FR"/>
        </w:rPr>
        <w:t> </w:t>
      </w:r>
      <w:r w:rsidRPr="00DD544A">
        <w:rPr>
          <w:lang w:val="fr-FR"/>
        </w:rPr>
        <w:t>États</w:t>
      </w:r>
      <w:r w:rsidR="00221EF6">
        <w:rPr>
          <w:lang w:val="fr-FR"/>
        </w:rPr>
        <w:t> </w:t>
      </w:r>
      <w:r w:rsidRPr="00DD544A">
        <w:rPr>
          <w:lang w:val="fr-FR"/>
        </w:rPr>
        <w:t>membres.</w:t>
      </w:r>
    </w:p>
    <w:p w14:paraId="35754973" w14:textId="5957BA8A" w:rsidR="0074679F" w:rsidRPr="00DD544A" w:rsidRDefault="00221EF6" w:rsidP="00E56F81">
      <w:pPr>
        <w:pStyle w:val="CH2"/>
        <w:rPr>
          <w:lang w:val="fr-FR"/>
        </w:rPr>
      </w:pPr>
      <w:r>
        <w:rPr>
          <w:lang w:val="fr-FR"/>
        </w:rPr>
        <w:tab/>
      </w:r>
      <w:r w:rsidR="00E56F81" w:rsidRPr="00DD544A">
        <w:rPr>
          <w:lang w:val="fr-FR"/>
        </w:rPr>
        <w:t>F.</w:t>
      </w:r>
      <w:r w:rsidR="00E56F81" w:rsidRPr="00DD544A">
        <w:rPr>
          <w:lang w:val="fr-FR"/>
        </w:rPr>
        <w:tab/>
      </w:r>
      <w:r w:rsidR="00E56F81" w:rsidRPr="00DD544A">
        <w:rPr>
          <w:bCs/>
          <w:lang w:val="fr-FR"/>
        </w:rPr>
        <w:t>Restaurer, conserver et utiliser durablement la diversité biologique et</w:t>
      </w:r>
      <w:r w:rsidR="0031571B">
        <w:rPr>
          <w:bCs/>
          <w:lang w:val="fr-FR"/>
        </w:rPr>
        <w:t> </w:t>
      </w:r>
      <w:r w:rsidR="00E56F81" w:rsidRPr="00DD544A">
        <w:rPr>
          <w:bCs/>
          <w:lang w:val="fr-FR"/>
        </w:rPr>
        <w:t>renforcer la résilience des écosystèmes</w:t>
      </w:r>
    </w:p>
    <w:p w14:paraId="6F8F9D63" w14:textId="03402EDE" w:rsidR="0074679F" w:rsidRPr="00DD544A" w:rsidRDefault="0074679F" w:rsidP="00771AE1">
      <w:pPr>
        <w:pStyle w:val="Normalnumber"/>
        <w:rPr>
          <w:rFonts w:eastAsia="Arial Unicode MS"/>
          <w:bdr w:val="nil"/>
          <w:lang w:val="fr-FR"/>
        </w:rPr>
      </w:pPr>
      <w:r w:rsidRPr="00DD544A">
        <w:rPr>
          <w:lang w:val="fr-FR"/>
        </w:rPr>
        <w:t xml:space="preserve">Par suite des projets du PNUE mis en œuvre au moyen du financement du FEM durant </w:t>
      </w:r>
      <w:r w:rsidR="008804A2">
        <w:rPr>
          <w:lang w:val="fr-FR"/>
        </w:rPr>
        <w:t>la</w:t>
      </w:r>
      <w:r w:rsidR="00864634">
        <w:rPr>
          <w:lang w:val="fr-FR"/>
        </w:rPr>
        <w:t> </w:t>
      </w:r>
      <w:r w:rsidR="008804A2">
        <w:rPr>
          <w:lang w:val="fr-FR"/>
        </w:rPr>
        <w:t xml:space="preserve">période considérée </w:t>
      </w:r>
      <w:r w:rsidRPr="00DD544A">
        <w:rPr>
          <w:lang w:val="fr-FR"/>
        </w:rPr>
        <w:t>allant de juillet 2019 à juin 2020, les effet</w:t>
      </w:r>
      <w:r w:rsidR="008804A2">
        <w:rPr>
          <w:lang w:val="fr-FR"/>
        </w:rPr>
        <w:t>s</w:t>
      </w:r>
      <w:r w:rsidRPr="00DD544A">
        <w:rPr>
          <w:lang w:val="fr-FR"/>
        </w:rPr>
        <w:t xml:space="preserve"> suivants ont pu être observés</w:t>
      </w:r>
      <w:r w:rsidR="00087C6E" w:rsidRPr="00DD544A">
        <w:rPr>
          <w:lang w:val="fr-FR"/>
        </w:rPr>
        <w:t> :</w:t>
      </w:r>
    </w:p>
    <w:p w14:paraId="7395CC48" w14:textId="72B1A24E" w:rsidR="0074679F" w:rsidRPr="00DD544A" w:rsidRDefault="0074679F" w:rsidP="00864634">
      <w:pPr>
        <w:pStyle w:val="Normalnumber"/>
        <w:numPr>
          <w:ilvl w:val="1"/>
          <w:numId w:val="19"/>
        </w:numPr>
        <w:rPr>
          <w:rFonts w:eastAsia="Arial Unicode MS"/>
          <w:bdr w:val="nil"/>
          <w:lang w:val="fr-FR"/>
        </w:rPr>
      </w:pPr>
      <w:r w:rsidRPr="00DD544A">
        <w:rPr>
          <w:lang w:val="fr-FR"/>
        </w:rPr>
        <w:t>2 millions d</w:t>
      </w:r>
      <w:r w:rsidR="00864634">
        <w:rPr>
          <w:lang w:val="fr-FR"/>
        </w:rPr>
        <w:t>’</w:t>
      </w:r>
      <w:r w:rsidRPr="00DD544A">
        <w:rPr>
          <w:lang w:val="fr-FR"/>
        </w:rPr>
        <w:t>hectares de terres agricoles présentant une productivité accrue</w:t>
      </w:r>
      <w:r w:rsidR="00087C6E" w:rsidRPr="00DD544A">
        <w:rPr>
          <w:lang w:val="fr-FR"/>
        </w:rPr>
        <w:t> ;</w:t>
      </w:r>
    </w:p>
    <w:p w14:paraId="54CAE6F5" w14:textId="6B8D658A" w:rsidR="0074679F" w:rsidRPr="00DD544A" w:rsidRDefault="0074679F" w:rsidP="00864634">
      <w:pPr>
        <w:pStyle w:val="Normalnumber"/>
        <w:numPr>
          <w:ilvl w:val="1"/>
          <w:numId w:val="19"/>
        </w:numPr>
        <w:rPr>
          <w:rFonts w:eastAsia="Arial Unicode MS"/>
          <w:bdr w:val="nil"/>
          <w:lang w:val="fr-FR"/>
        </w:rPr>
      </w:pPr>
      <w:r w:rsidRPr="00DD544A">
        <w:rPr>
          <w:lang w:val="fr-FR"/>
        </w:rPr>
        <w:t>0,5 million d</w:t>
      </w:r>
      <w:r w:rsidR="00864634">
        <w:rPr>
          <w:lang w:val="fr-FR"/>
        </w:rPr>
        <w:t>’</w:t>
      </w:r>
      <w:r w:rsidRPr="00DD544A">
        <w:rPr>
          <w:lang w:val="fr-FR"/>
        </w:rPr>
        <w:t>hectares de terres présentant une production agroécologique et/ou respectueuse de la biodiversité</w:t>
      </w:r>
      <w:r w:rsidR="00087C6E" w:rsidRPr="00DD544A">
        <w:rPr>
          <w:lang w:val="fr-FR"/>
        </w:rPr>
        <w:t> ;</w:t>
      </w:r>
    </w:p>
    <w:p w14:paraId="070B2823" w14:textId="7C1E43AC" w:rsidR="0074679F" w:rsidRPr="00DD544A" w:rsidRDefault="0074679F" w:rsidP="00864634">
      <w:pPr>
        <w:pStyle w:val="Normalnumber"/>
        <w:numPr>
          <w:ilvl w:val="1"/>
          <w:numId w:val="19"/>
        </w:numPr>
        <w:rPr>
          <w:rFonts w:eastAsia="Arial Unicode MS"/>
          <w:bdr w:val="nil"/>
          <w:lang w:val="fr-FR"/>
        </w:rPr>
      </w:pPr>
      <w:r w:rsidRPr="00DD544A">
        <w:rPr>
          <w:lang w:val="fr-FR"/>
        </w:rPr>
        <w:t>3,5</w:t>
      </w:r>
      <w:r w:rsidR="00DE3226">
        <w:rPr>
          <w:lang w:val="fr-FR"/>
        </w:rPr>
        <w:t> </w:t>
      </w:r>
      <w:r w:rsidRPr="00DD544A">
        <w:rPr>
          <w:lang w:val="fr-FR"/>
        </w:rPr>
        <w:t>millions d</w:t>
      </w:r>
      <w:r w:rsidR="00864634">
        <w:rPr>
          <w:lang w:val="fr-FR"/>
        </w:rPr>
        <w:t>’</w:t>
      </w:r>
      <w:r w:rsidRPr="00DD544A">
        <w:rPr>
          <w:lang w:val="fr-FR"/>
        </w:rPr>
        <w:t>hectares d</w:t>
      </w:r>
      <w:r w:rsidR="00864634">
        <w:rPr>
          <w:lang w:val="fr-FR"/>
        </w:rPr>
        <w:t>’</w:t>
      </w:r>
      <w:r w:rsidRPr="00DD544A">
        <w:rPr>
          <w:lang w:val="fr-FR"/>
        </w:rPr>
        <w:t>aires protégées dont la gestion a été améliorée</w:t>
      </w:r>
      <w:r w:rsidR="00087C6E" w:rsidRPr="00DD544A">
        <w:rPr>
          <w:lang w:val="fr-FR"/>
        </w:rPr>
        <w:t> ;</w:t>
      </w:r>
    </w:p>
    <w:p w14:paraId="520F861A" w14:textId="19A33E0E" w:rsidR="0074679F" w:rsidRPr="00DD544A" w:rsidRDefault="0074679F" w:rsidP="00864634">
      <w:pPr>
        <w:pStyle w:val="Normalnumber"/>
        <w:numPr>
          <w:ilvl w:val="1"/>
          <w:numId w:val="19"/>
        </w:numPr>
        <w:rPr>
          <w:rFonts w:eastAsia="Arial Unicode MS"/>
          <w:bdr w:val="nil"/>
          <w:lang w:val="fr-FR"/>
        </w:rPr>
      </w:pPr>
      <w:r w:rsidRPr="00DD544A">
        <w:rPr>
          <w:lang w:val="fr-FR"/>
        </w:rPr>
        <w:t>1,7</w:t>
      </w:r>
      <w:r w:rsidR="00EE1251">
        <w:rPr>
          <w:lang w:val="fr-FR"/>
        </w:rPr>
        <w:t> </w:t>
      </w:r>
      <w:r w:rsidRPr="00DD544A">
        <w:rPr>
          <w:lang w:val="fr-FR"/>
        </w:rPr>
        <w:t>million de bénéficiaires directs.</w:t>
      </w:r>
    </w:p>
    <w:p w14:paraId="389886E9" w14:textId="377F455D" w:rsidR="0074679F" w:rsidRPr="00DD544A" w:rsidRDefault="00EE1251" w:rsidP="00632C39">
      <w:pPr>
        <w:pStyle w:val="CH1"/>
        <w:rPr>
          <w:rFonts w:eastAsia="MS Mincho"/>
          <w:lang w:val="fr-FR"/>
        </w:rPr>
      </w:pPr>
      <w:r>
        <w:rPr>
          <w:lang w:val="fr-FR"/>
        </w:rPr>
        <w:tab/>
      </w:r>
      <w:r w:rsidR="00E56F81" w:rsidRPr="00DD544A">
        <w:rPr>
          <w:lang w:val="fr-FR"/>
        </w:rPr>
        <w:t>II.</w:t>
      </w:r>
      <w:r w:rsidR="00E56F81" w:rsidRPr="00DD544A">
        <w:rPr>
          <w:lang w:val="fr-FR"/>
        </w:rPr>
        <w:tab/>
      </w:r>
      <w:r w:rsidR="00E56F81" w:rsidRPr="00DD544A">
        <w:rPr>
          <w:bCs/>
          <w:lang w:val="fr-FR"/>
        </w:rPr>
        <w:t>Enseignements tirés</w:t>
      </w:r>
    </w:p>
    <w:p w14:paraId="4E7C6EF6" w14:textId="041DDF61" w:rsidR="0074679F" w:rsidRPr="00DD544A" w:rsidRDefault="0074679F" w:rsidP="00EE1251">
      <w:pPr>
        <w:pStyle w:val="Normalnumber"/>
        <w:rPr>
          <w:rFonts w:eastAsia="Arial Unicode MS"/>
          <w:bdr w:val="nil"/>
          <w:lang w:val="fr-FR"/>
        </w:rPr>
      </w:pPr>
      <w:r w:rsidRPr="00DD544A">
        <w:rPr>
          <w:lang w:val="fr-FR"/>
        </w:rPr>
        <w:t xml:space="preserve">La pandémie de COVID-19 a </w:t>
      </w:r>
      <w:r w:rsidR="008804A2">
        <w:rPr>
          <w:lang w:val="fr-FR"/>
        </w:rPr>
        <w:t xml:space="preserve">eu pour effet de </w:t>
      </w:r>
      <w:r w:rsidRPr="00DD544A">
        <w:rPr>
          <w:lang w:val="fr-FR"/>
        </w:rPr>
        <w:t>mettre en lumière l</w:t>
      </w:r>
      <w:r w:rsidR="00864634">
        <w:rPr>
          <w:lang w:val="fr-FR"/>
        </w:rPr>
        <w:t>’</w:t>
      </w:r>
      <w:r w:rsidRPr="00DD544A">
        <w:rPr>
          <w:lang w:val="fr-FR"/>
        </w:rPr>
        <w:t>importance de la relation des</w:t>
      </w:r>
      <w:r w:rsidR="00864634">
        <w:rPr>
          <w:lang w:val="fr-FR"/>
        </w:rPr>
        <w:t> </w:t>
      </w:r>
      <w:r w:rsidRPr="00DD544A">
        <w:rPr>
          <w:lang w:val="fr-FR"/>
        </w:rPr>
        <w:t>êtres humains avec la nature. Alors que les plans pour la relance à l</w:t>
      </w:r>
      <w:r w:rsidR="00864634">
        <w:rPr>
          <w:lang w:val="fr-FR"/>
        </w:rPr>
        <w:t>’</w:t>
      </w:r>
      <w:r w:rsidRPr="00DD544A">
        <w:rPr>
          <w:lang w:val="fr-FR"/>
        </w:rPr>
        <w:t>issue de la pandémie sont en cours d</w:t>
      </w:r>
      <w:r w:rsidR="00864634">
        <w:rPr>
          <w:lang w:val="fr-FR"/>
        </w:rPr>
        <w:t>’</w:t>
      </w:r>
      <w:r w:rsidRPr="00DD544A">
        <w:rPr>
          <w:lang w:val="fr-FR"/>
        </w:rPr>
        <w:t>élaboration, la tenue de l</w:t>
      </w:r>
      <w:r w:rsidR="00864634">
        <w:rPr>
          <w:lang w:val="fr-FR"/>
        </w:rPr>
        <w:t>’</w:t>
      </w:r>
      <w:r w:rsidRPr="00DD544A">
        <w:rPr>
          <w:lang w:val="fr-FR"/>
        </w:rPr>
        <w:t>Assemblée pour l</w:t>
      </w:r>
      <w:r w:rsidR="00864634">
        <w:rPr>
          <w:lang w:val="fr-FR"/>
        </w:rPr>
        <w:t>’</w:t>
      </w:r>
      <w:r w:rsidRPr="00DD544A">
        <w:rPr>
          <w:lang w:val="fr-FR"/>
        </w:rPr>
        <w:t>environnement offre la possibilité de rehausser le</w:t>
      </w:r>
      <w:r w:rsidR="00864634">
        <w:rPr>
          <w:lang w:val="fr-FR"/>
        </w:rPr>
        <w:t> </w:t>
      </w:r>
      <w:r w:rsidRPr="00DD544A">
        <w:rPr>
          <w:lang w:val="fr-FR"/>
        </w:rPr>
        <w:t>niveau des ambitions et d</w:t>
      </w:r>
      <w:r w:rsidR="00864634">
        <w:rPr>
          <w:lang w:val="fr-FR"/>
        </w:rPr>
        <w:t>’</w:t>
      </w:r>
      <w:r w:rsidRPr="00DD544A">
        <w:rPr>
          <w:lang w:val="fr-FR"/>
        </w:rPr>
        <w:t>accélérer les interventions systémiques visant à placer la nature au centre des efforts de relance et de transformation.</w:t>
      </w:r>
    </w:p>
    <w:p w14:paraId="16B9B6CD" w14:textId="48EC5DF4" w:rsidR="0074679F" w:rsidRPr="00DD544A" w:rsidRDefault="0074679F" w:rsidP="00EE1251">
      <w:pPr>
        <w:pStyle w:val="Normalnumber"/>
        <w:rPr>
          <w:rFonts w:eastAsia="Arial Unicode MS"/>
          <w:bdr w:val="nil"/>
          <w:lang w:val="fr-FR"/>
        </w:rPr>
      </w:pPr>
      <w:r w:rsidRPr="00DD544A">
        <w:rPr>
          <w:lang w:val="fr-FR"/>
        </w:rPr>
        <w:t>La pandémie de COVID-19 a révélé les risques liés aux zoonoses et le besoin de renforcer les</w:t>
      </w:r>
      <w:r w:rsidR="00864634">
        <w:rPr>
          <w:lang w:val="fr-FR"/>
        </w:rPr>
        <w:t> </w:t>
      </w:r>
      <w:r w:rsidRPr="00DD544A">
        <w:rPr>
          <w:lang w:val="fr-FR"/>
        </w:rPr>
        <w:t>aspects environnementaux des approches relevant du principe « Un monde, une santé ». Il importe d</w:t>
      </w:r>
      <w:r w:rsidR="00864634">
        <w:rPr>
          <w:lang w:val="fr-FR"/>
        </w:rPr>
        <w:t>’</w:t>
      </w:r>
      <w:r w:rsidRPr="00DD544A">
        <w:rPr>
          <w:lang w:val="fr-FR"/>
        </w:rPr>
        <w:t>adopter un discours nuancé et axé sur les données scientifiques concernant la façon de traiter ces</w:t>
      </w:r>
      <w:r w:rsidR="00864634">
        <w:rPr>
          <w:lang w:val="fr-FR"/>
        </w:rPr>
        <w:t> </w:t>
      </w:r>
      <w:r w:rsidRPr="00DD544A">
        <w:rPr>
          <w:lang w:val="fr-FR"/>
        </w:rPr>
        <w:t xml:space="preserve">questions dans le cadre des mesures </w:t>
      </w:r>
      <w:r w:rsidR="006B048D">
        <w:rPr>
          <w:lang w:val="fr-FR"/>
        </w:rPr>
        <w:t xml:space="preserve">prises aux niveaux </w:t>
      </w:r>
      <w:r w:rsidRPr="00DD544A">
        <w:rPr>
          <w:lang w:val="fr-FR"/>
        </w:rPr>
        <w:t>mondial, régional et national.</w:t>
      </w:r>
    </w:p>
    <w:p w14:paraId="6DA68B5F" w14:textId="22BD6B09" w:rsidR="0074679F" w:rsidRPr="00DD544A" w:rsidRDefault="0074679F" w:rsidP="00C87249">
      <w:pPr>
        <w:pStyle w:val="Normalnumber"/>
        <w:rPr>
          <w:rFonts w:eastAsia="Arial Unicode MS"/>
          <w:bdr w:val="nil"/>
          <w:lang w:val="fr-FR"/>
        </w:rPr>
      </w:pPr>
      <w:r w:rsidRPr="00DD544A">
        <w:rPr>
          <w:lang w:val="fr-FR"/>
        </w:rPr>
        <w:t xml:space="preserve">Afin de parvenir à </w:t>
      </w:r>
      <w:r w:rsidR="008E31BB">
        <w:rPr>
          <w:lang w:val="fr-FR"/>
        </w:rPr>
        <w:t>mettre</w:t>
      </w:r>
      <w:r w:rsidRPr="00DD544A">
        <w:rPr>
          <w:lang w:val="fr-FR"/>
        </w:rPr>
        <w:t xml:space="preserve"> en place </w:t>
      </w:r>
      <w:r w:rsidR="008E31BB">
        <w:rPr>
          <w:lang w:val="fr-FR"/>
        </w:rPr>
        <w:t>l</w:t>
      </w:r>
      <w:r w:rsidRPr="00DD544A">
        <w:rPr>
          <w:lang w:val="fr-FR"/>
        </w:rPr>
        <w:t xml:space="preserve">es changements porteurs de transformation prévus </w:t>
      </w:r>
      <w:r w:rsidR="00C65851">
        <w:rPr>
          <w:lang w:val="fr-FR"/>
        </w:rPr>
        <w:t>par le</w:t>
      </w:r>
      <w:r w:rsidR="00864634">
        <w:rPr>
          <w:lang w:val="fr-FR"/>
        </w:rPr>
        <w:t> </w:t>
      </w:r>
      <w:r w:rsidRPr="00DD544A">
        <w:rPr>
          <w:lang w:val="fr-FR"/>
        </w:rPr>
        <w:t>cadre mondial de la biodiversité pour l</w:t>
      </w:r>
      <w:r w:rsidR="00864634">
        <w:rPr>
          <w:lang w:val="fr-FR"/>
        </w:rPr>
        <w:t>’</w:t>
      </w:r>
      <w:r w:rsidRPr="00DD544A">
        <w:rPr>
          <w:lang w:val="fr-FR"/>
        </w:rPr>
        <w:t xml:space="preserve">après-2020, il est essentiel de mener une action plus collective, afin de </w:t>
      </w:r>
      <w:r w:rsidR="001A60D7">
        <w:rPr>
          <w:lang w:val="fr-FR"/>
        </w:rPr>
        <w:t>veiller à</w:t>
      </w:r>
      <w:r w:rsidRPr="00DD544A">
        <w:rPr>
          <w:lang w:val="fr-FR"/>
        </w:rPr>
        <w:t xml:space="preserve"> la participation et</w:t>
      </w:r>
      <w:r w:rsidR="001A60D7">
        <w:rPr>
          <w:lang w:val="fr-FR"/>
        </w:rPr>
        <w:t xml:space="preserve"> à</w:t>
      </w:r>
      <w:r w:rsidRPr="00DD544A">
        <w:rPr>
          <w:lang w:val="fr-FR"/>
        </w:rPr>
        <w:t xml:space="preserve"> l</w:t>
      </w:r>
      <w:r w:rsidR="00864634">
        <w:rPr>
          <w:lang w:val="fr-FR"/>
        </w:rPr>
        <w:t>’</w:t>
      </w:r>
      <w:r w:rsidRPr="00DD544A">
        <w:rPr>
          <w:lang w:val="fr-FR"/>
        </w:rPr>
        <w:t xml:space="preserve">appui </w:t>
      </w:r>
      <w:r w:rsidR="004B598D">
        <w:rPr>
          <w:lang w:val="fr-FR"/>
        </w:rPr>
        <w:t xml:space="preserve">concrets </w:t>
      </w:r>
      <w:r w:rsidRPr="00DD544A">
        <w:rPr>
          <w:lang w:val="fr-FR"/>
        </w:rPr>
        <w:t>d</w:t>
      </w:r>
      <w:r w:rsidR="00864634">
        <w:rPr>
          <w:lang w:val="fr-FR"/>
        </w:rPr>
        <w:t>’</w:t>
      </w:r>
      <w:r w:rsidRPr="00DD544A">
        <w:rPr>
          <w:lang w:val="fr-FR"/>
        </w:rPr>
        <w:t xml:space="preserve">acteurs autres que ceux habituellement jugés pertinents dans de tels contextes, </w:t>
      </w:r>
      <w:r w:rsidR="004B598D">
        <w:rPr>
          <w:lang w:val="fr-FR"/>
        </w:rPr>
        <w:t>y compris dans</w:t>
      </w:r>
      <w:r w:rsidRPr="00DD544A">
        <w:rPr>
          <w:lang w:val="fr-FR"/>
        </w:rPr>
        <w:t xml:space="preserve"> les secteurs de la finance, des</w:t>
      </w:r>
      <w:r w:rsidR="00864634">
        <w:rPr>
          <w:lang w:val="fr-FR"/>
        </w:rPr>
        <w:t> </w:t>
      </w:r>
      <w:r w:rsidRPr="00DD544A">
        <w:rPr>
          <w:lang w:val="fr-FR"/>
        </w:rPr>
        <w:t>transports, de la planification et des infrastructures. Il importe que les organismes de financement et d</w:t>
      </w:r>
      <w:r w:rsidR="00864634">
        <w:rPr>
          <w:lang w:val="fr-FR"/>
        </w:rPr>
        <w:t>’</w:t>
      </w:r>
      <w:r w:rsidRPr="00DD544A">
        <w:rPr>
          <w:lang w:val="fr-FR"/>
        </w:rPr>
        <w:t>autres acteurs non traditionnels fassent preuve d</w:t>
      </w:r>
      <w:r w:rsidR="00864634">
        <w:rPr>
          <w:lang w:val="fr-FR"/>
        </w:rPr>
        <w:t>’</w:t>
      </w:r>
      <w:r w:rsidRPr="00DD544A">
        <w:rPr>
          <w:lang w:val="fr-FR"/>
        </w:rPr>
        <w:t>un engagement fort au moyen d</w:t>
      </w:r>
      <w:r w:rsidR="00864634">
        <w:rPr>
          <w:lang w:val="fr-FR"/>
        </w:rPr>
        <w:t>’</w:t>
      </w:r>
      <w:r w:rsidRPr="00DD544A">
        <w:rPr>
          <w:lang w:val="fr-FR"/>
        </w:rPr>
        <w:t>investissements accrus en faveur de la biodiversité.</w:t>
      </w:r>
    </w:p>
    <w:p w14:paraId="293D9E7E" w14:textId="7AAF59F1" w:rsidR="0074679F" w:rsidRPr="00DD544A" w:rsidRDefault="0074679F" w:rsidP="00C87249">
      <w:pPr>
        <w:pStyle w:val="Normalnumber"/>
        <w:rPr>
          <w:rFonts w:eastAsia="DengXian"/>
          <w:color w:val="000000"/>
          <w:bdr w:val="nil"/>
          <w:lang w:val="fr-FR"/>
        </w:rPr>
      </w:pPr>
      <w:r w:rsidRPr="00DD544A">
        <w:rPr>
          <w:lang w:val="fr-FR"/>
        </w:rPr>
        <w:t>L</w:t>
      </w:r>
      <w:r w:rsidR="00864634">
        <w:rPr>
          <w:lang w:val="fr-FR"/>
        </w:rPr>
        <w:t>’</w:t>
      </w:r>
      <w:r w:rsidRPr="00DD544A">
        <w:rPr>
          <w:lang w:val="fr-FR"/>
        </w:rPr>
        <w:t>appui du financement privé est indispensable pour réaliser les engagements internationaux pris au titre des objectifs de développement durable, de l</w:t>
      </w:r>
      <w:r w:rsidR="00864634">
        <w:rPr>
          <w:lang w:val="fr-FR"/>
        </w:rPr>
        <w:t>’</w:t>
      </w:r>
      <w:r w:rsidRPr="00DD544A">
        <w:rPr>
          <w:lang w:val="fr-FR"/>
        </w:rPr>
        <w:t>Accord de Paris, du cadre mondial de la</w:t>
      </w:r>
      <w:r w:rsidR="00864634">
        <w:rPr>
          <w:lang w:val="fr-FR"/>
        </w:rPr>
        <w:t> </w:t>
      </w:r>
      <w:r w:rsidRPr="00DD544A">
        <w:rPr>
          <w:lang w:val="fr-FR"/>
        </w:rPr>
        <w:t>biodiversité pour l</w:t>
      </w:r>
      <w:r w:rsidR="00864634">
        <w:rPr>
          <w:lang w:val="fr-FR"/>
        </w:rPr>
        <w:t>’</w:t>
      </w:r>
      <w:r w:rsidRPr="00DD544A">
        <w:rPr>
          <w:lang w:val="fr-FR"/>
        </w:rPr>
        <w:t>après-2020</w:t>
      </w:r>
      <w:r w:rsidR="005D17B1">
        <w:rPr>
          <w:lang w:val="fr-FR"/>
        </w:rPr>
        <w:t>,</w:t>
      </w:r>
      <w:r w:rsidRPr="00DD544A">
        <w:rPr>
          <w:lang w:val="fr-FR"/>
        </w:rPr>
        <w:t xml:space="preserve"> de la Convention sur la diversité biologique et d</w:t>
      </w:r>
      <w:r w:rsidR="00864634">
        <w:rPr>
          <w:lang w:val="fr-FR"/>
        </w:rPr>
        <w:t>’</w:t>
      </w:r>
      <w:r w:rsidRPr="00DD544A">
        <w:rPr>
          <w:lang w:val="fr-FR"/>
        </w:rPr>
        <w:t>autres instruments. Le</w:t>
      </w:r>
      <w:r w:rsidR="0020166C">
        <w:rPr>
          <w:lang w:val="fr-FR"/>
        </w:rPr>
        <w:t> </w:t>
      </w:r>
      <w:r w:rsidRPr="00DD544A">
        <w:rPr>
          <w:lang w:val="fr-FR"/>
        </w:rPr>
        <w:t>PNUE devrait s</w:t>
      </w:r>
      <w:r w:rsidR="00864634">
        <w:rPr>
          <w:lang w:val="fr-FR"/>
        </w:rPr>
        <w:t>’</w:t>
      </w:r>
      <w:r w:rsidRPr="00DD544A">
        <w:rPr>
          <w:lang w:val="fr-FR"/>
        </w:rPr>
        <w:t xml:space="preserve">appuyer sur les enseignements tirés concernant la façon dont le secteur privé </w:t>
      </w:r>
      <w:r w:rsidR="004B598D">
        <w:rPr>
          <w:lang w:val="fr-FR"/>
        </w:rPr>
        <w:t>peut</w:t>
      </w:r>
      <w:r w:rsidRPr="00DD544A">
        <w:rPr>
          <w:lang w:val="fr-FR"/>
        </w:rPr>
        <w:t xml:space="preserve"> contribuer aux projets auxquels participe le PNUE pour faire progresser les objectifs, établissant ainsi de nouvelles normes quant à la façon dont les capitaux publics et privés doivent être gérés en vue de l</w:t>
      </w:r>
      <w:r w:rsidR="00864634">
        <w:rPr>
          <w:lang w:val="fr-FR"/>
        </w:rPr>
        <w:t>’</w:t>
      </w:r>
      <w:r w:rsidRPr="00DD544A">
        <w:rPr>
          <w:lang w:val="fr-FR"/>
        </w:rPr>
        <w:t>utilisation durable des ressources terrestres et marines.</w:t>
      </w:r>
    </w:p>
    <w:p w14:paraId="3BF61FAA" w14:textId="230BCC7F" w:rsidR="0074679F" w:rsidRPr="00DD544A" w:rsidRDefault="00C87249" w:rsidP="00771AE1">
      <w:pPr>
        <w:pStyle w:val="CH1"/>
        <w:rPr>
          <w:lang w:val="fr-FR"/>
        </w:rPr>
      </w:pPr>
      <w:r>
        <w:rPr>
          <w:lang w:val="fr-FR"/>
        </w:rPr>
        <w:tab/>
      </w:r>
      <w:r w:rsidR="00E56F81" w:rsidRPr="00DD544A">
        <w:rPr>
          <w:lang w:val="fr-FR"/>
        </w:rPr>
        <w:t>III.</w:t>
      </w:r>
      <w:r w:rsidR="00E56F81" w:rsidRPr="00DD544A">
        <w:rPr>
          <w:lang w:val="fr-FR"/>
        </w:rPr>
        <w:tab/>
      </w:r>
      <w:r w:rsidR="00E56F81" w:rsidRPr="00DD544A">
        <w:rPr>
          <w:bCs/>
          <w:lang w:val="fr-FR"/>
        </w:rPr>
        <w:t>Recommandations et mesures proposées</w:t>
      </w:r>
    </w:p>
    <w:p w14:paraId="6C299911" w14:textId="22C64541" w:rsidR="00516312" w:rsidRPr="00DD544A" w:rsidRDefault="0074679F" w:rsidP="00F807CB">
      <w:pPr>
        <w:pStyle w:val="Normalnumber"/>
        <w:rPr>
          <w:rFonts w:eastAsia="Arial Unicode MS"/>
          <w:bdr w:val="nil"/>
          <w:lang w:val="fr-FR"/>
        </w:rPr>
      </w:pPr>
      <w:r w:rsidRPr="00DD544A">
        <w:rPr>
          <w:lang w:val="fr-FR"/>
        </w:rPr>
        <w:t>L</w:t>
      </w:r>
      <w:r w:rsidR="00864634">
        <w:rPr>
          <w:lang w:val="fr-FR"/>
        </w:rPr>
        <w:t>’</w:t>
      </w:r>
      <w:r w:rsidRPr="00DD544A">
        <w:rPr>
          <w:lang w:val="fr-FR"/>
        </w:rPr>
        <w:t>Assemblée pour l</w:t>
      </w:r>
      <w:r w:rsidR="00864634">
        <w:rPr>
          <w:lang w:val="fr-FR"/>
        </w:rPr>
        <w:t>’</w:t>
      </w:r>
      <w:r w:rsidRPr="00DD544A">
        <w:rPr>
          <w:lang w:val="fr-FR"/>
        </w:rPr>
        <w:t>environnement souhaitera peut-être envisager ce qui suit</w:t>
      </w:r>
      <w:r w:rsidR="00087C6E" w:rsidRPr="00DD544A">
        <w:rPr>
          <w:lang w:val="fr-FR"/>
        </w:rPr>
        <w:t> :</w:t>
      </w:r>
    </w:p>
    <w:p w14:paraId="12E218FD" w14:textId="3CF3CAB5" w:rsidR="0074679F" w:rsidRPr="00DD544A" w:rsidRDefault="00516312" w:rsidP="00864634">
      <w:pPr>
        <w:pStyle w:val="Normalnumber"/>
        <w:numPr>
          <w:ilvl w:val="1"/>
          <w:numId w:val="19"/>
        </w:numPr>
        <w:rPr>
          <w:rFonts w:eastAsia="Arial Unicode MS"/>
          <w:bdr w:val="nil"/>
          <w:lang w:val="fr-FR"/>
        </w:rPr>
      </w:pPr>
      <w:r w:rsidRPr="00DD544A">
        <w:rPr>
          <w:lang w:val="fr-FR"/>
        </w:rPr>
        <w:t>Exhorter les États membres à recourir à des stratégies</w:t>
      </w:r>
      <w:r w:rsidR="004B598D">
        <w:rPr>
          <w:lang w:val="fr-FR"/>
        </w:rPr>
        <w:t xml:space="preserve"> globales,</w:t>
      </w:r>
      <w:r w:rsidRPr="00DD544A">
        <w:rPr>
          <w:lang w:val="fr-FR"/>
        </w:rPr>
        <w:t xml:space="preserve"> inclusives et de long terme qui protègent ou restaurent activement la biodiversité, en tirant pleinement parti de la myriade de services écosystémiques fournis par la nature</w:t>
      </w:r>
      <w:r w:rsidR="00D14796">
        <w:rPr>
          <w:lang w:val="fr-FR"/>
        </w:rPr>
        <w:t>,</w:t>
      </w:r>
      <w:r w:rsidRPr="00DD544A">
        <w:rPr>
          <w:lang w:val="fr-FR"/>
        </w:rPr>
        <w:t xml:space="preserve"> et les engage</w:t>
      </w:r>
      <w:r w:rsidR="00D14796">
        <w:rPr>
          <w:lang w:val="fr-FR"/>
        </w:rPr>
        <w:t>r</w:t>
      </w:r>
      <w:r w:rsidRPr="00DD544A">
        <w:rPr>
          <w:lang w:val="fr-FR"/>
        </w:rPr>
        <w:t xml:space="preserve"> vivement à tenir explicitement compte de ces services dans les politiques relevant de tous les niveaux gouvernementaux et de l</w:t>
      </w:r>
      <w:r w:rsidR="00864634">
        <w:rPr>
          <w:lang w:val="fr-FR"/>
        </w:rPr>
        <w:t>’</w:t>
      </w:r>
      <w:r w:rsidRPr="00DD544A">
        <w:rPr>
          <w:lang w:val="fr-FR"/>
        </w:rPr>
        <w:t>ensemble des</w:t>
      </w:r>
      <w:r w:rsidR="00864634">
        <w:rPr>
          <w:lang w:val="fr-FR"/>
        </w:rPr>
        <w:t> </w:t>
      </w:r>
      <w:r w:rsidRPr="00DD544A">
        <w:rPr>
          <w:lang w:val="fr-FR"/>
        </w:rPr>
        <w:t>secteurs économiques. Il faut établir des domaines clefs de changement, afin de faire progresser la</w:t>
      </w:r>
      <w:r w:rsidR="00864634">
        <w:rPr>
          <w:lang w:val="fr-FR"/>
        </w:rPr>
        <w:t> </w:t>
      </w:r>
      <w:r w:rsidRPr="00DD544A">
        <w:rPr>
          <w:lang w:val="fr-FR"/>
        </w:rPr>
        <w:t>transformation vers des systèmes alimentaires et agricoles durables, de tenir compte du capital naturel et des risques d</w:t>
      </w:r>
      <w:r w:rsidR="00864634">
        <w:rPr>
          <w:lang w:val="fr-FR"/>
        </w:rPr>
        <w:t>’</w:t>
      </w:r>
      <w:r w:rsidRPr="00DD544A">
        <w:rPr>
          <w:lang w:val="fr-FR"/>
        </w:rPr>
        <w:t>ordre naturel dans les systèmes financiers et d</w:t>
      </w:r>
      <w:r w:rsidR="00864634">
        <w:rPr>
          <w:lang w:val="fr-FR"/>
        </w:rPr>
        <w:t>’</w:t>
      </w:r>
      <w:r w:rsidRPr="00DD544A">
        <w:rPr>
          <w:lang w:val="fr-FR"/>
        </w:rPr>
        <w:t>améliorer les modèles de consommation et de production dans des secteurs clefs, y compris les infrastructures, le tourisme et les</w:t>
      </w:r>
      <w:r w:rsidR="00864634">
        <w:rPr>
          <w:lang w:val="fr-FR"/>
        </w:rPr>
        <w:t> </w:t>
      </w:r>
      <w:r w:rsidRPr="00DD544A">
        <w:rPr>
          <w:lang w:val="fr-FR"/>
        </w:rPr>
        <w:t>transports, ainsi que les chaînes d</w:t>
      </w:r>
      <w:r w:rsidR="00864634">
        <w:rPr>
          <w:lang w:val="fr-FR"/>
        </w:rPr>
        <w:t>’</w:t>
      </w:r>
      <w:r w:rsidRPr="00DD544A">
        <w:rPr>
          <w:lang w:val="fr-FR"/>
        </w:rPr>
        <w:t xml:space="preserve">approvisionnement vertes </w:t>
      </w:r>
      <w:r w:rsidR="004B598D">
        <w:rPr>
          <w:lang w:val="fr-FR"/>
        </w:rPr>
        <w:t xml:space="preserve">aux niveaux </w:t>
      </w:r>
      <w:r w:rsidRPr="00DD544A">
        <w:rPr>
          <w:lang w:val="fr-FR"/>
        </w:rPr>
        <w:t>mondial</w:t>
      </w:r>
      <w:r w:rsidR="004B598D">
        <w:rPr>
          <w:lang w:val="fr-FR"/>
        </w:rPr>
        <w:t xml:space="preserve"> </w:t>
      </w:r>
      <w:r w:rsidRPr="00DD544A">
        <w:rPr>
          <w:lang w:val="fr-FR"/>
        </w:rPr>
        <w:t>et régional</w:t>
      </w:r>
      <w:r w:rsidR="00087C6E" w:rsidRPr="00DD544A">
        <w:rPr>
          <w:lang w:val="fr-FR"/>
        </w:rPr>
        <w:t> ;</w:t>
      </w:r>
    </w:p>
    <w:p w14:paraId="06E56679" w14:textId="73561CF8" w:rsidR="0074679F" w:rsidRPr="00DD544A" w:rsidRDefault="00F43DC0" w:rsidP="00864634">
      <w:pPr>
        <w:pStyle w:val="Normalnumber"/>
        <w:numPr>
          <w:ilvl w:val="1"/>
          <w:numId w:val="19"/>
        </w:numPr>
        <w:rPr>
          <w:rFonts w:eastAsia="Arial Unicode MS"/>
          <w:bdr w:val="nil"/>
          <w:lang w:val="fr-FR"/>
        </w:rPr>
      </w:pPr>
      <w:r w:rsidRPr="00DD544A">
        <w:rPr>
          <w:lang w:val="fr-FR"/>
        </w:rPr>
        <w:t>Élargir le mandat du PNUE en vue de proposer et d</w:t>
      </w:r>
      <w:r w:rsidR="00864634">
        <w:rPr>
          <w:lang w:val="fr-FR"/>
        </w:rPr>
        <w:t>’</w:t>
      </w:r>
      <w:r w:rsidRPr="00DD544A">
        <w:rPr>
          <w:lang w:val="fr-FR"/>
        </w:rPr>
        <w:t>élaborer des solutions réalistes et systémiques pour répondre à ces questions complexes. L</w:t>
      </w:r>
      <w:r w:rsidR="00864634">
        <w:rPr>
          <w:lang w:val="fr-FR"/>
        </w:rPr>
        <w:t>’</w:t>
      </w:r>
      <w:r w:rsidRPr="00DD544A">
        <w:rPr>
          <w:lang w:val="fr-FR"/>
        </w:rPr>
        <w:t>Assemblée pour l</w:t>
      </w:r>
      <w:r w:rsidR="00864634">
        <w:rPr>
          <w:lang w:val="fr-FR"/>
        </w:rPr>
        <w:t>’</w:t>
      </w:r>
      <w:r w:rsidRPr="00DD544A">
        <w:rPr>
          <w:lang w:val="fr-FR"/>
        </w:rPr>
        <w:t>environnement offre la</w:t>
      </w:r>
      <w:r w:rsidR="00864634">
        <w:rPr>
          <w:lang w:val="fr-FR"/>
        </w:rPr>
        <w:t> </w:t>
      </w:r>
      <w:r w:rsidRPr="00DD544A">
        <w:rPr>
          <w:lang w:val="fr-FR"/>
        </w:rPr>
        <w:t>possibilité de mobiliser les appuis en faveur de recommandations fondées sur des données factuelles, y compris en attirant l</w:t>
      </w:r>
      <w:r w:rsidR="00864634">
        <w:rPr>
          <w:lang w:val="fr-FR"/>
        </w:rPr>
        <w:t>’</w:t>
      </w:r>
      <w:r w:rsidRPr="00DD544A">
        <w:rPr>
          <w:lang w:val="fr-FR"/>
        </w:rPr>
        <w:t xml:space="preserve">attention des participants sur la contribution du commerce durable </w:t>
      </w:r>
      <w:bookmarkStart w:id="1" w:name="_GoBack"/>
      <w:bookmarkEnd w:id="1"/>
      <w:r w:rsidRPr="00DD544A">
        <w:rPr>
          <w:lang w:val="fr-FR"/>
        </w:rPr>
        <w:lastRenderedPageBreak/>
        <w:t xml:space="preserve">des espèces sauvages </w:t>
      </w:r>
      <w:r w:rsidR="00981481">
        <w:rPr>
          <w:lang w:val="fr-FR"/>
        </w:rPr>
        <w:t>en matière de</w:t>
      </w:r>
      <w:r w:rsidRPr="00DD544A">
        <w:rPr>
          <w:lang w:val="fr-FR"/>
        </w:rPr>
        <w:t xml:space="preserve"> préservation de la biodiversité, conformément aux engagements mondiaux pris au titre, entre autres, de la Convention sur la diversité biologique et de</w:t>
      </w:r>
      <w:r w:rsidR="00981481">
        <w:rPr>
          <w:lang w:val="fr-FR"/>
        </w:rPr>
        <w:t xml:space="preserve"> la</w:t>
      </w:r>
      <w:r w:rsidRPr="00DD544A">
        <w:rPr>
          <w:lang w:val="fr-FR"/>
        </w:rPr>
        <w:t xml:space="preserve"> Convention sur le commerce international des espèces de faune et de flore sauvages menacées d</w:t>
      </w:r>
      <w:r w:rsidR="00864634">
        <w:rPr>
          <w:lang w:val="fr-FR"/>
        </w:rPr>
        <w:t>’</w:t>
      </w:r>
      <w:r w:rsidRPr="00DD544A">
        <w:rPr>
          <w:lang w:val="fr-FR"/>
        </w:rPr>
        <w:t>extinction</w:t>
      </w:r>
      <w:r w:rsidR="00087C6E" w:rsidRPr="00DD544A">
        <w:rPr>
          <w:lang w:val="fr-FR"/>
        </w:rPr>
        <w:t> ;</w:t>
      </w:r>
    </w:p>
    <w:p w14:paraId="2998EB27" w14:textId="30986C9E" w:rsidR="0074679F" w:rsidRPr="00DD544A" w:rsidRDefault="00F43DC0" w:rsidP="00864634">
      <w:pPr>
        <w:pStyle w:val="Normalnumber"/>
        <w:numPr>
          <w:ilvl w:val="1"/>
          <w:numId w:val="19"/>
        </w:numPr>
        <w:rPr>
          <w:rFonts w:eastAsia="Arial Unicode MS"/>
          <w:bdr w:val="nil"/>
          <w:lang w:val="fr-FR"/>
        </w:rPr>
      </w:pPr>
      <w:r w:rsidRPr="00DD544A">
        <w:rPr>
          <w:lang w:val="fr-FR"/>
        </w:rPr>
        <w:t>Prier le PNUE de jouer un rôle central en renforçant les capacités</w:t>
      </w:r>
      <w:r w:rsidR="00981481">
        <w:rPr>
          <w:lang w:val="fr-FR"/>
        </w:rPr>
        <w:t xml:space="preserve"> et</w:t>
      </w:r>
      <w:r w:rsidRPr="00DD544A">
        <w:rPr>
          <w:lang w:val="fr-FR"/>
        </w:rPr>
        <w:t xml:space="preserve"> en proposant</w:t>
      </w:r>
      <w:r w:rsidR="00964ECC">
        <w:rPr>
          <w:lang w:val="fr-FR"/>
        </w:rPr>
        <w:t xml:space="preserve"> </w:t>
      </w:r>
      <w:r w:rsidRPr="00DD544A">
        <w:rPr>
          <w:lang w:val="fr-FR"/>
        </w:rPr>
        <w:t>d</w:t>
      </w:r>
      <w:r w:rsidR="00964ECC">
        <w:rPr>
          <w:lang w:val="fr-FR"/>
        </w:rPr>
        <w:t>es</w:t>
      </w:r>
      <w:r w:rsidR="00864634">
        <w:rPr>
          <w:lang w:val="fr-FR"/>
        </w:rPr>
        <w:t> </w:t>
      </w:r>
      <w:r w:rsidRPr="00DD544A">
        <w:rPr>
          <w:lang w:val="fr-FR"/>
        </w:rPr>
        <w:t>instruments visant à mobiliser des financements publics et à réunir des capitaux privés pour remédier à la déforestation et à d</w:t>
      </w:r>
      <w:r w:rsidR="00864634">
        <w:rPr>
          <w:lang w:val="fr-FR"/>
        </w:rPr>
        <w:t>’</w:t>
      </w:r>
      <w:r w:rsidRPr="00DD544A">
        <w:rPr>
          <w:lang w:val="fr-FR"/>
        </w:rPr>
        <w:t>autres types de dégradation des écosystèmes</w:t>
      </w:r>
      <w:r w:rsidR="00964ECC">
        <w:rPr>
          <w:lang w:val="fr-FR"/>
        </w:rPr>
        <w:t xml:space="preserve">, voire </w:t>
      </w:r>
      <w:r w:rsidR="00964ECC" w:rsidRPr="00DD544A">
        <w:rPr>
          <w:lang w:val="fr-FR"/>
        </w:rPr>
        <w:t>en étant parfois le</w:t>
      </w:r>
      <w:r w:rsidR="00864634">
        <w:rPr>
          <w:lang w:val="fr-FR"/>
        </w:rPr>
        <w:t> </w:t>
      </w:r>
      <w:r w:rsidR="00964ECC" w:rsidRPr="00DD544A">
        <w:rPr>
          <w:lang w:val="fr-FR"/>
        </w:rPr>
        <w:t>premier à mener le test de validation</w:t>
      </w:r>
      <w:r w:rsidR="00964ECC">
        <w:rPr>
          <w:lang w:val="fr-FR"/>
        </w:rPr>
        <w:t xml:space="preserve"> de tels instruments</w:t>
      </w:r>
      <w:r w:rsidRPr="00DD544A">
        <w:rPr>
          <w:lang w:val="fr-FR"/>
        </w:rPr>
        <w:t>. Par ailleurs, le PNUE peut jouer un rôle clef en tenant les États membres informés du montant total des investissements publics et privés dans des solutions naturelles et en le comparant aux besoins. Attirer l</w:t>
      </w:r>
      <w:r w:rsidR="00864634">
        <w:rPr>
          <w:lang w:val="fr-FR"/>
        </w:rPr>
        <w:t>’</w:t>
      </w:r>
      <w:r w:rsidRPr="00DD544A">
        <w:rPr>
          <w:lang w:val="fr-FR"/>
        </w:rPr>
        <w:t>attention des États membres sur la</w:t>
      </w:r>
      <w:r w:rsidR="00864634">
        <w:rPr>
          <w:lang w:val="fr-FR"/>
        </w:rPr>
        <w:t> </w:t>
      </w:r>
      <w:r w:rsidRPr="00DD544A">
        <w:rPr>
          <w:lang w:val="fr-FR"/>
        </w:rPr>
        <w:t xml:space="preserve">différence entre le montant requis et le montant réel </w:t>
      </w:r>
      <w:r w:rsidR="00981481">
        <w:rPr>
          <w:lang w:val="fr-FR"/>
        </w:rPr>
        <w:t xml:space="preserve">des investissements </w:t>
      </w:r>
      <w:r w:rsidRPr="00DD544A">
        <w:rPr>
          <w:lang w:val="fr-FR"/>
        </w:rPr>
        <w:t>peut contribuer à donner une impulsion pour combler ce manque.</w:t>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4679F" w:rsidRPr="00DD544A" w14:paraId="2378A998" w14:textId="77777777" w:rsidTr="00632C39">
        <w:tc>
          <w:tcPr>
            <w:tcW w:w="1897" w:type="dxa"/>
          </w:tcPr>
          <w:p w14:paraId="17EDACC4" w14:textId="77777777" w:rsidR="0074679F" w:rsidRPr="00DD544A" w:rsidRDefault="0074679F" w:rsidP="00864634">
            <w:pPr>
              <w:tabs>
                <w:tab w:val="clear" w:pos="1247"/>
                <w:tab w:val="clear" w:pos="1814"/>
                <w:tab w:val="clear" w:pos="2381"/>
                <w:tab w:val="clear" w:pos="2948"/>
                <w:tab w:val="clear" w:pos="3515"/>
                <w:tab w:val="left" w:pos="624"/>
              </w:tabs>
              <w:spacing w:before="480" w:after="0"/>
            </w:pPr>
          </w:p>
        </w:tc>
        <w:tc>
          <w:tcPr>
            <w:tcW w:w="1897" w:type="dxa"/>
          </w:tcPr>
          <w:p w14:paraId="1409A9A8" w14:textId="77777777" w:rsidR="0074679F" w:rsidRPr="00DD544A" w:rsidRDefault="0074679F" w:rsidP="00864634">
            <w:pPr>
              <w:tabs>
                <w:tab w:val="clear" w:pos="1247"/>
                <w:tab w:val="clear" w:pos="1814"/>
                <w:tab w:val="clear" w:pos="2381"/>
                <w:tab w:val="clear" w:pos="2948"/>
                <w:tab w:val="clear" w:pos="3515"/>
                <w:tab w:val="left" w:pos="624"/>
              </w:tabs>
              <w:spacing w:before="480" w:after="0"/>
            </w:pPr>
          </w:p>
        </w:tc>
        <w:tc>
          <w:tcPr>
            <w:tcW w:w="1897" w:type="dxa"/>
            <w:tcBorders>
              <w:bottom w:val="single" w:sz="4" w:space="0" w:color="auto"/>
            </w:tcBorders>
          </w:tcPr>
          <w:p w14:paraId="51BE4C53" w14:textId="77777777" w:rsidR="0074679F" w:rsidRPr="00DD544A" w:rsidRDefault="0074679F" w:rsidP="00864634">
            <w:pPr>
              <w:tabs>
                <w:tab w:val="clear" w:pos="1247"/>
                <w:tab w:val="clear" w:pos="1814"/>
                <w:tab w:val="clear" w:pos="2381"/>
                <w:tab w:val="clear" w:pos="2948"/>
                <w:tab w:val="clear" w:pos="3515"/>
                <w:tab w:val="left" w:pos="624"/>
              </w:tabs>
              <w:spacing w:before="480" w:after="0"/>
            </w:pPr>
          </w:p>
        </w:tc>
        <w:tc>
          <w:tcPr>
            <w:tcW w:w="1897" w:type="dxa"/>
          </w:tcPr>
          <w:p w14:paraId="0C82F222" w14:textId="77777777" w:rsidR="0074679F" w:rsidRPr="00DD544A" w:rsidRDefault="0074679F" w:rsidP="00864634">
            <w:pPr>
              <w:tabs>
                <w:tab w:val="clear" w:pos="1247"/>
                <w:tab w:val="clear" w:pos="1814"/>
                <w:tab w:val="clear" w:pos="2381"/>
                <w:tab w:val="clear" w:pos="2948"/>
                <w:tab w:val="clear" w:pos="3515"/>
                <w:tab w:val="left" w:pos="624"/>
              </w:tabs>
              <w:spacing w:before="480" w:after="0"/>
            </w:pPr>
          </w:p>
        </w:tc>
        <w:tc>
          <w:tcPr>
            <w:tcW w:w="1898" w:type="dxa"/>
          </w:tcPr>
          <w:p w14:paraId="168FBDFF" w14:textId="77777777" w:rsidR="0074679F" w:rsidRPr="00DD544A" w:rsidRDefault="0074679F" w:rsidP="00864634">
            <w:pPr>
              <w:tabs>
                <w:tab w:val="clear" w:pos="1247"/>
                <w:tab w:val="clear" w:pos="1814"/>
                <w:tab w:val="clear" w:pos="2381"/>
                <w:tab w:val="clear" w:pos="2948"/>
                <w:tab w:val="clear" w:pos="3515"/>
                <w:tab w:val="left" w:pos="624"/>
              </w:tabs>
              <w:spacing w:before="480" w:after="0"/>
            </w:pPr>
          </w:p>
        </w:tc>
      </w:tr>
    </w:tbl>
    <w:p w14:paraId="670EEA68" w14:textId="77777777" w:rsidR="0074679F" w:rsidRPr="00DD544A" w:rsidRDefault="0074679F" w:rsidP="0074679F">
      <w:pPr>
        <w:tabs>
          <w:tab w:val="clear" w:pos="1247"/>
          <w:tab w:val="clear" w:pos="1814"/>
          <w:tab w:val="clear" w:pos="2381"/>
          <w:tab w:val="clear" w:pos="2948"/>
          <w:tab w:val="clear" w:pos="3515"/>
          <w:tab w:val="left" w:pos="624"/>
        </w:tabs>
      </w:pPr>
    </w:p>
    <w:sectPr w:rsidR="0074679F" w:rsidRPr="00DD544A" w:rsidSect="00771AE1">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98511" w14:textId="77777777" w:rsidR="00362C5F" w:rsidRDefault="00362C5F">
      <w:r>
        <w:separator/>
      </w:r>
    </w:p>
  </w:endnote>
  <w:endnote w:type="continuationSeparator" w:id="0">
    <w:p w14:paraId="700BF48D" w14:textId="77777777" w:rsidR="00362C5F" w:rsidRDefault="00362C5F">
      <w:r>
        <w:continuationSeparator/>
      </w:r>
    </w:p>
  </w:endnote>
  <w:endnote w:type="continuationNotice" w:id="1">
    <w:p w14:paraId="5D5D7609" w14:textId="77777777" w:rsidR="00E32D71" w:rsidRDefault="00E32D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A07C1" w14:textId="77777777" w:rsidR="00632C39" w:rsidRPr="00864634" w:rsidRDefault="00632C39" w:rsidP="00864634">
    <w:pPr>
      <w:pStyle w:val="Footer-pool"/>
    </w:pPr>
    <w:r w:rsidRPr="00864634">
      <w:rPr>
        <w:rStyle w:val="PageNumber"/>
        <w:b/>
      </w:rPr>
      <w:fldChar w:fldCharType="begin"/>
    </w:r>
    <w:r w:rsidRPr="00864634">
      <w:rPr>
        <w:rStyle w:val="PageNumber"/>
        <w:b/>
      </w:rPr>
      <w:instrText xml:space="preserve"> PAGE </w:instrText>
    </w:r>
    <w:r w:rsidRPr="00864634">
      <w:rPr>
        <w:rStyle w:val="PageNumber"/>
        <w:b/>
      </w:rPr>
      <w:fldChar w:fldCharType="separate"/>
    </w:r>
    <w:r w:rsidRPr="00864634">
      <w:rPr>
        <w:rStyle w:val="PageNumber"/>
        <w:b/>
      </w:rPr>
      <w:t>2</w:t>
    </w:r>
    <w:r w:rsidRPr="00864634">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0ECCF" w14:textId="77777777" w:rsidR="00632C39" w:rsidRPr="00771AE1" w:rsidRDefault="00632C39" w:rsidP="00864634">
    <w:pPr>
      <w:pStyle w:val="Footer-pool"/>
      <w:jc w:val="right"/>
    </w:pPr>
    <w:r w:rsidRPr="00771AE1">
      <w:rPr>
        <w:rStyle w:val="PageNumber"/>
        <w:b/>
      </w:rPr>
      <w:fldChar w:fldCharType="begin"/>
    </w:r>
    <w:r w:rsidRPr="00771AE1">
      <w:rPr>
        <w:rStyle w:val="PageNumber"/>
        <w:b/>
      </w:rPr>
      <w:instrText xml:space="preserve"> PAGE </w:instrText>
    </w:r>
    <w:r w:rsidRPr="00771AE1">
      <w:rPr>
        <w:rStyle w:val="PageNumber"/>
        <w:b/>
      </w:rPr>
      <w:fldChar w:fldCharType="separate"/>
    </w:r>
    <w:r w:rsidRPr="00771AE1">
      <w:rPr>
        <w:rStyle w:val="PageNumber"/>
        <w:b/>
      </w:rPr>
      <w:t>1</w:t>
    </w:r>
    <w:r w:rsidRPr="00771AE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38A15" w14:textId="0E6555F1" w:rsidR="00632C39" w:rsidRPr="00D62040" w:rsidRDefault="00632C39" w:rsidP="0074679F">
    <w:pPr>
      <w:pStyle w:val="Footer-pool"/>
      <w:tabs>
        <w:tab w:val="clear" w:pos="4321"/>
        <w:tab w:val="clear" w:pos="8641"/>
      </w:tabs>
      <w:rPr>
        <w:b w:val="0"/>
        <w:bCs/>
        <w:sz w:val="20"/>
      </w:rPr>
    </w:pPr>
    <w:r w:rsidRPr="00D62040">
      <w:rPr>
        <w:b w:val="0"/>
        <w:bCs/>
        <w:sz w:val="20"/>
      </w:rPr>
      <w:t>K200260</w:t>
    </w:r>
    <w:r w:rsidR="00DE28A2">
      <w:rPr>
        <w:b w:val="0"/>
        <w:bCs/>
        <w:sz w:val="20"/>
      </w:rPr>
      <w:t>6</w:t>
    </w:r>
    <w:r w:rsidRPr="00D62040">
      <w:rPr>
        <w:b w:val="0"/>
        <w:bCs/>
        <w:sz w:val="20"/>
      </w:rPr>
      <w:tab/>
    </w:r>
    <w:r w:rsidR="00CA610D">
      <w:rPr>
        <w:b w:val="0"/>
        <w:bCs/>
        <w:sz w:val="20"/>
      </w:rPr>
      <w:t>2912</w:t>
    </w:r>
    <w:r w:rsidRPr="00D62040">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AD74A" w14:textId="77777777" w:rsidR="00362C5F" w:rsidRPr="00EF202F" w:rsidRDefault="00362C5F" w:rsidP="00EF202F">
      <w:pPr>
        <w:spacing w:before="60"/>
        <w:ind w:left="624"/>
        <w:rPr>
          <w:sz w:val="18"/>
          <w:szCs w:val="18"/>
        </w:rPr>
      </w:pPr>
      <w:r w:rsidRPr="00EF202F">
        <w:rPr>
          <w:sz w:val="18"/>
          <w:szCs w:val="18"/>
        </w:rPr>
        <w:separator/>
      </w:r>
    </w:p>
  </w:footnote>
  <w:footnote w:type="continuationSeparator" w:id="0">
    <w:p w14:paraId="70F916CF" w14:textId="77777777" w:rsidR="00362C5F" w:rsidRDefault="00362C5F">
      <w:r>
        <w:continuationSeparator/>
      </w:r>
    </w:p>
  </w:footnote>
  <w:footnote w:type="continuationNotice" w:id="1">
    <w:p w14:paraId="041BC0F2" w14:textId="77777777" w:rsidR="00E32D71" w:rsidRDefault="00E32D71"/>
  </w:footnote>
  <w:footnote w:id="2">
    <w:p w14:paraId="47AFA5E8" w14:textId="4907CA17" w:rsidR="00CA610D" w:rsidRPr="00CA610D" w:rsidRDefault="00CA610D">
      <w:pPr>
        <w:pStyle w:val="FootnoteText"/>
        <w:rPr>
          <w:lang w:val="fr-FR"/>
        </w:rPr>
      </w:pPr>
      <w:r w:rsidRPr="009340E4">
        <w:rPr>
          <w:rStyle w:val="FootnoteReference"/>
          <w:sz w:val="18"/>
          <w:vertAlign w:val="baseline"/>
        </w:rPr>
        <w:t>*</w:t>
      </w:r>
      <w:r w:rsidRPr="009340E4">
        <w:rPr>
          <w:szCs w:val="18"/>
        </w:rPr>
        <w:t xml:space="preserve"> </w:t>
      </w:r>
      <w:bookmarkStart w:id="0" w:name="_Hlk60130910"/>
      <w:r w:rsidR="00EE3EDF" w:rsidRPr="003B2554">
        <w:rPr>
          <w:color w:val="000000" w:themeColor="text1"/>
          <w:szCs w:val="18"/>
        </w:rPr>
        <w:t xml:space="preserve">Conformément </w:t>
      </w:r>
      <w:r w:rsidR="00EE3EDF">
        <w:rPr>
          <w:color w:val="000000" w:themeColor="text1"/>
          <w:szCs w:val="18"/>
        </w:rPr>
        <w:t xml:space="preserve">aux décisions prises </w:t>
      </w:r>
      <w:r w:rsidR="00EE3EDF" w:rsidRPr="003B2554">
        <w:rPr>
          <w:color w:val="000000" w:themeColor="text1"/>
          <w:szCs w:val="18"/>
        </w:rPr>
        <w:t xml:space="preserve">lors de la réunion </w:t>
      </w:r>
      <w:r w:rsidR="00EE3EDF">
        <w:rPr>
          <w:color w:val="000000" w:themeColor="text1"/>
          <w:szCs w:val="18"/>
        </w:rPr>
        <w:t xml:space="preserve">du Bureau de l’Assemblée des Nations Unies pour l’environnement tenue le 8 octobre 2020 et lors de la réunion conjointe </w:t>
      </w:r>
      <w:r w:rsidR="00EE3EDF" w:rsidRPr="003B2554">
        <w:rPr>
          <w:color w:val="000000" w:themeColor="text1"/>
          <w:szCs w:val="18"/>
        </w:rPr>
        <w:t>des Bureaux de l</w:t>
      </w:r>
      <w:r w:rsidR="00EE3EDF">
        <w:rPr>
          <w:color w:val="000000" w:themeColor="text1"/>
          <w:szCs w:val="18"/>
        </w:rPr>
        <w:t>’</w:t>
      </w:r>
      <w:r w:rsidR="00EE3EDF" w:rsidRPr="003B2554">
        <w:rPr>
          <w:color w:val="000000" w:themeColor="text1"/>
          <w:szCs w:val="18"/>
        </w:rPr>
        <w:t>Assemblée</w:t>
      </w:r>
      <w:r w:rsidR="00EE3EDF">
        <w:rPr>
          <w:color w:val="000000" w:themeColor="text1"/>
          <w:szCs w:val="18"/>
        </w:rPr>
        <w:t> </w:t>
      </w:r>
      <w:r w:rsidR="00EE3EDF" w:rsidRPr="003B2554">
        <w:rPr>
          <w:color w:val="000000" w:themeColor="text1"/>
          <w:szCs w:val="18"/>
        </w:rPr>
        <w:t>des</w:t>
      </w:r>
      <w:r w:rsidR="00EE3EDF">
        <w:rPr>
          <w:color w:val="000000" w:themeColor="text1"/>
          <w:szCs w:val="18"/>
        </w:rPr>
        <w:t> </w:t>
      </w:r>
      <w:r w:rsidR="00EE3EDF" w:rsidRPr="003B2554">
        <w:rPr>
          <w:color w:val="000000" w:themeColor="text1"/>
          <w:szCs w:val="18"/>
        </w:rPr>
        <w:t>Nations</w:t>
      </w:r>
      <w:r w:rsidR="00EE3EDF">
        <w:rPr>
          <w:color w:val="000000" w:themeColor="text1"/>
          <w:szCs w:val="18"/>
        </w:rPr>
        <w:t> </w:t>
      </w:r>
      <w:r w:rsidR="00EE3EDF" w:rsidRPr="003B2554">
        <w:rPr>
          <w:color w:val="000000" w:themeColor="text1"/>
          <w:szCs w:val="18"/>
        </w:rPr>
        <w:t>Unies pour l</w:t>
      </w:r>
      <w:r w:rsidR="00EE3EDF">
        <w:rPr>
          <w:color w:val="000000" w:themeColor="text1"/>
          <w:szCs w:val="18"/>
        </w:rPr>
        <w:t>’</w:t>
      </w:r>
      <w:r w:rsidR="00EE3EDF" w:rsidRPr="003B2554">
        <w:rPr>
          <w:color w:val="000000" w:themeColor="text1"/>
          <w:szCs w:val="18"/>
        </w:rPr>
        <w:t>environnement et du Comité des représentants permanents tenue le</w:t>
      </w:r>
      <w:r w:rsidR="00EE3EDF">
        <w:rPr>
          <w:color w:val="000000" w:themeColor="text1"/>
          <w:szCs w:val="18"/>
        </w:rPr>
        <w:t> </w:t>
      </w:r>
      <w:r w:rsidR="00EE3EDF" w:rsidRPr="003B2554">
        <w:rPr>
          <w:color w:val="000000" w:themeColor="text1"/>
          <w:szCs w:val="18"/>
        </w:rPr>
        <w:t>1</w:t>
      </w:r>
      <w:r w:rsidR="00EE3EDF" w:rsidRPr="003B2554">
        <w:rPr>
          <w:color w:val="000000" w:themeColor="text1"/>
          <w:szCs w:val="18"/>
          <w:vertAlign w:val="superscript"/>
        </w:rPr>
        <w:t>er</w:t>
      </w:r>
      <w:r w:rsidR="00EE3EDF" w:rsidRPr="003B2554">
        <w:rPr>
          <w:color w:val="000000" w:themeColor="text1"/>
          <w:szCs w:val="18"/>
        </w:rPr>
        <w:t> décembre 2020, la cinquième session de l</w:t>
      </w:r>
      <w:r w:rsidR="00EE3EDF">
        <w:rPr>
          <w:color w:val="000000" w:themeColor="text1"/>
          <w:szCs w:val="18"/>
        </w:rPr>
        <w:t>’</w:t>
      </w:r>
      <w:r w:rsidR="00EE3EDF" w:rsidRPr="003B2554">
        <w:rPr>
          <w:color w:val="000000" w:themeColor="text1"/>
          <w:szCs w:val="18"/>
        </w:rPr>
        <w:t>Assemblée devrait être ajournée le 23 février 2021 et reprendre</w:t>
      </w:r>
      <w:r w:rsidR="00EE3EDF">
        <w:rPr>
          <w:color w:val="000000" w:themeColor="text1"/>
          <w:szCs w:val="18"/>
        </w:rPr>
        <w:t> </w:t>
      </w:r>
      <w:r w:rsidR="00EE3EDF" w:rsidRPr="003B2554">
        <w:rPr>
          <w:color w:val="000000" w:themeColor="text1"/>
          <w:szCs w:val="18"/>
        </w:rPr>
        <w:t>en</w:t>
      </w:r>
      <w:r w:rsidR="00EE3EDF">
        <w:rPr>
          <w:color w:val="000000" w:themeColor="text1"/>
          <w:szCs w:val="18"/>
        </w:rPr>
        <w:t> </w:t>
      </w:r>
      <w:r w:rsidR="00EE3EDF" w:rsidRPr="003B2554">
        <w:rPr>
          <w:color w:val="000000" w:themeColor="text1"/>
          <w:szCs w:val="18"/>
        </w:rPr>
        <w:t>présentiel en février 2022</w:t>
      </w:r>
      <w:bookmarkEnd w:id="0"/>
      <w:r w:rsidR="00EE3EDF">
        <w:rPr>
          <w:color w:val="000000" w:themeColor="text1"/>
          <w:szCs w:val="18"/>
        </w:rPr>
        <w:t>.</w:t>
      </w:r>
    </w:p>
  </w:footnote>
  <w:footnote w:id="3">
    <w:p w14:paraId="4D6AD84F" w14:textId="3C2A38B4" w:rsidR="00CA610D" w:rsidRPr="00332B70" w:rsidRDefault="00CA610D" w:rsidP="00CA610D">
      <w:pPr>
        <w:tabs>
          <w:tab w:val="clear" w:pos="1247"/>
          <w:tab w:val="left" w:pos="624"/>
        </w:tabs>
        <w:spacing w:before="20" w:after="40"/>
        <w:ind w:left="1247"/>
        <w:rPr>
          <w:sz w:val="18"/>
          <w:szCs w:val="18"/>
        </w:rPr>
      </w:pPr>
      <w:r w:rsidRPr="009340E4">
        <w:rPr>
          <w:rStyle w:val="FootnoteReference"/>
          <w:sz w:val="18"/>
          <w:vertAlign w:val="baseline"/>
          <w:lang w:val="fr-CA"/>
        </w:rPr>
        <w:t>**</w:t>
      </w:r>
      <w:r>
        <w:t xml:space="preserve"> </w:t>
      </w:r>
      <w:r w:rsidRPr="005642AE">
        <w:rPr>
          <w:sz w:val="18"/>
          <w:szCs w:val="18"/>
        </w:rPr>
        <w:t>UNEP/EA.5/1</w:t>
      </w:r>
      <w:r w:rsidR="00AC5515" w:rsidRPr="005642AE">
        <w:rPr>
          <w:sz w:val="18"/>
          <w:szCs w:val="18"/>
        </w:rPr>
        <w:t>/Rev.1</w:t>
      </w:r>
      <w:r w:rsidRPr="005642AE">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69EDC" w14:textId="13BF069D" w:rsidR="00632C39" w:rsidRPr="0074679F" w:rsidRDefault="00632C39" w:rsidP="00771AE1">
    <w:pPr>
      <w:pStyle w:val="Header-pool"/>
    </w:pPr>
    <w:r>
      <w:t>UNEP/EA.5/10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BCA9E" w14:textId="226D6FA2" w:rsidR="00632C39" w:rsidRPr="0074679F" w:rsidRDefault="00632C39" w:rsidP="00864634">
    <w:pPr>
      <w:pStyle w:val="Header-pool"/>
      <w:jc w:val="right"/>
    </w:pPr>
    <w:r>
      <w:t>UNEP/EA.5/10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86757" w14:textId="10BBE7F9" w:rsidR="00632C39" w:rsidRDefault="00632C39" w:rsidP="00771AE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571867"/>
    <w:multiLevelType w:val="singleLevel"/>
    <w:tmpl w:val="1BEEEB4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9FB409C"/>
    <w:multiLevelType w:val="hybridMultilevel"/>
    <w:tmpl w:val="1C72C096"/>
    <w:lvl w:ilvl="0" w:tplc="89480BEA">
      <w:start w:val="2"/>
      <w:numFmt w:val="lowerLetter"/>
      <w:lvlText w:val="%1)"/>
      <w:lvlJc w:val="left"/>
      <w:pPr>
        <w:ind w:left="2231" w:hanging="360"/>
      </w:pPr>
      <w:rPr>
        <w:rFonts w:eastAsia="Times New Roman" w:hint="default"/>
      </w:rPr>
    </w:lvl>
    <w:lvl w:ilvl="1" w:tplc="040C0017">
      <w:start w:val="1"/>
      <w:numFmt w:val="lowerLetter"/>
      <w:lvlText w:val="%2)"/>
      <w:lvlJc w:val="left"/>
      <w:pPr>
        <w:ind w:left="2951" w:hanging="360"/>
      </w:pPr>
    </w:lvl>
    <w:lvl w:ilvl="2" w:tplc="040C001B" w:tentative="1">
      <w:start w:val="1"/>
      <w:numFmt w:val="lowerRoman"/>
      <w:lvlText w:val="%3."/>
      <w:lvlJc w:val="right"/>
      <w:pPr>
        <w:ind w:left="3671" w:hanging="180"/>
      </w:pPr>
    </w:lvl>
    <w:lvl w:ilvl="3" w:tplc="040C000F" w:tentative="1">
      <w:start w:val="1"/>
      <w:numFmt w:val="decimal"/>
      <w:lvlText w:val="%4."/>
      <w:lvlJc w:val="left"/>
      <w:pPr>
        <w:ind w:left="4391" w:hanging="360"/>
      </w:pPr>
    </w:lvl>
    <w:lvl w:ilvl="4" w:tplc="040C0019" w:tentative="1">
      <w:start w:val="1"/>
      <w:numFmt w:val="lowerLetter"/>
      <w:lvlText w:val="%5."/>
      <w:lvlJc w:val="left"/>
      <w:pPr>
        <w:ind w:left="5111" w:hanging="360"/>
      </w:pPr>
    </w:lvl>
    <w:lvl w:ilvl="5" w:tplc="040C001B" w:tentative="1">
      <w:start w:val="1"/>
      <w:numFmt w:val="lowerRoman"/>
      <w:lvlText w:val="%6."/>
      <w:lvlJc w:val="right"/>
      <w:pPr>
        <w:ind w:left="5831" w:hanging="180"/>
      </w:pPr>
    </w:lvl>
    <w:lvl w:ilvl="6" w:tplc="040C000F" w:tentative="1">
      <w:start w:val="1"/>
      <w:numFmt w:val="decimal"/>
      <w:lvlText w:val="%7."/>
      <w:lvlJc w:val="left"/>
      <w:pPr>
        <w:ind w:left="6551" w:hanging="360"/>
      </w:pPr>
    </w:lvl>
    <w:lvl w:ilvl="7" w:tplc="040C0019" w:tentative="1">
      <w:start w:val="1"/>
      <w:numFmt w:val="lowerLetter"/>
      <w:lvlText w:val="%8."/>
      <w:lvlJc w:val="left"/>
      <w:pPr>
        <w:ind w:left="7271" w:hanging="360"/>
      </w:pPr>
    </w:lvl>
    <w:lvl w:ilvl="8" w:tplc="040C001B" w:tentative="1">
      <w:start w:val="1"/>
      <w:numFmt w:val="lowerRoman"/>
      <w:lvlText w:val="%9."/>
      <w:lvlJc w:val="right"/>
      <w:pPr>
        <w:ind w:left="7991" w:hanging="180"/>
      </w:pPr>
    </w:lvl>
  </w:abstractNum>
  <w:abstractNum w:abstractNumId="4" w15:restartNumberingAfterBreak="0">
    <w:nsid w:val="62291BF8"/>
    <w:multiLevelType w:val="multilevel"/>
    <w:tmpl w:val="F4ACF36E"/>
    <w:numStyleLink w:val="Normallist"/>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3"/>
  </w:num>
  <w:num w:numId="6">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7">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8">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9">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0">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2">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3">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5">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6">
    <w:abstractNumId w:val="0"/>
  </w:num>
  <w:num w:numId="17">
    <w:abstractNumId w:val="1"/>
  </w:num>
  <w:num w:numId="18">
    <w:abstractNumId w:val="2"/>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activeWritingStyle w:appName="MSWord" w:lang="en-CA" w:vendorID="64" w:dllVersion="0" w:nlCheck="1" w:checkStyle="0"/>
  <w:activeWritingStyle w:appName="MSWord" w:lang="fr-FR"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comment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A0MLYwNDWzNLM0NzdR0lEKTi0uzszPAykwrAUADHvNDSwAAAA="/>
  </w:docVars>
  <w:rsids>
    <w:rsidRoot w:val="0074679F"/>
    <w:rsid w:val="00002599"/>
    <w:rsid w:val="00003BAB"/>
    <w:rsid w:val="000142A8"/>
    <w:rsid w:val="000149E6"/>
    <w:rsid w:val="0001722E"/>
    <w:rsid w:val="0002090B"/>
    <w:rsid w:val="00022BB7"/>
    <w:rsid w:val="000247B0"/>
    <w:rsid w:val="00026997"/>
    <w:rsid w:val="00026BF7"/>
    <w:rsid w:val="00033E0B"/>
    <w:rsid w:val="000346BC"/>
    <w:rsid w:val="00035250"/>
    <w:rsid w:val="00035EDE"/>
    <w:rsid w:val="0004230F"/>
    <w:rsid w:val="0004616F"/>
    <w:rsid w:val="000509B4"/>
    <w:rsid w:val="000565B4"/>
    <w:rsid w:val="0006035B"/>
    <w:rsid w:val="00070951"/>
    <w:rsid w:val="00071886"/>
    <w:rsid w:val="000728A4"/>
    <w:rsid w:val="000742BC"/>
    <w:rsid w:val="000808B5"/>
    <w:rsid w:val="00082A0C"/>
    <w:rsid w:val="00083504"/>
    <w:rsid w:val="0008513A"/>
    <w:rsid w:val="00085AEE"/>
    <w:rsid w:val="00087C6E"/>
    <w:rsid w:val="0009037E"/>
    <w:rsid w:val="0009640C"/>
    <w:rsid w:val="000A0567"/>
    <w:rsid w:val="000A6E72"/>
    <w:rsid w:val="000B22A2"/>
    <w:rsid w:val="000B2DEA"/>
    <w:rsid w:val="000C2A52"/>
    <w:rsid w:val="000C6389"/>
    <w:rsid w:val="000D33C0"/>
    <w:rsid w:val="000D6941"/>
    <w:rsid w:val="001028A5"/>
    <w:rsid w:val="00111386"/>
    <w:rsid w:val="001131A2"/>
    <w:rsid w:val="00117130"/>
    <w:rsid w:val="001202E3"/>
    <w:rsid w:val="00120D84"/>
    <w:rsid w:val="0012160C"/>
    <w:rsid w:val="00123699"/>
    <w:rsid w:val="0013059D"/>
    <w:rsid w:val="00133018"/>
    <w:rsid w:val="0013754C"/>
    <w:rsid w:val="001379D4"/>
    <w:rsid w:val="00141A55"/>
    <w:rsid w:val="00141D85"/>
    <w:rsid w:val="00142847"/>
    <w:rsid w:val="001446A3"/>
    <w:rsid w:val="00155395"/>
    <w:rsid w:val="00160D74"/>
    <w:rsid w:val="00167D02"/>
    <w:rsid w:val="0017097D"/>
    <w:rsid w:val="001779CE"/>
    <w:rsid w:val="00181EC8"/>
    <w:rsid w:val="00182816"/>
    <w:rsid w:val="00184349"/>
    <w:rsid w:val="00195F33"/>
    <w:rsid w:val="001A60D7"/>
    <w:rsid w:val="001B0B33"/>
    <w:rsid w:val="001B1617"/>
    <w:rsid w:val="001B28AA"/>
    <w:rsid w:val="001B504B"/>
    <w:rsid w:val="001B6740"/>
    <w:rsid w:val="001D1DD8"/>
    <w:rsid w:val="001D3874"/>
    <w:rsid w:val="001D4B9C"/>
    <w:rsid w:val="001D65AB"/>
    <w:rsid w:val="001D7E75"/>
    <w:rsid w:val="001E4628"/>
    <w:rsid w:val="001E56D2"/>
    <w:rsid w:val="001E6FB3"/>
    <w:rsid w:val="001E7D56"/>
    <w:rsid w:val="001F75DE"/>
    <w:rsid w:val="00200D58"/>
    <w:rsid w:val="002013BE"/>
    <w:rsid w:val="00201647"/>
    <w:rsid w:val="0020166C"/>
    <w:rsid w:val="00204D67"/>
    <w:rsid w:val="002063A4"/>
    <w:rsid w:val="0021145B"/>
    <w:rsid w:val="00221EF6"/>
    <w:rsid w:val="002269B0"/>
    <w:rsid w:val="002347A6"/>
    <w:rsid w:val="00243D36"/>
    <w:rsid w:val="00247707"/>
    <w:rsid w:val="00253083"/>
    <w:rsid w:val="0026018E"/>
    <w:rsid w:val="00262E10"/>
    <w:rsid w:val="00267E79"/>
    <w:rsid w:val="00275E4A"/>
    <w:rsid w:val="00282548"/>
    <w:rsid w:val="00286740"/>
    <w:rsid w:val="002929D8"/>
    <w:rsid w:val="00297148"/>
    <w:rsid w:val="002A237D"/>
    <w:rsid w:val="002A371F"/>
    <w:rsid w:val="002A3BC6"/>
    <w:rsid w:val="002A404E"/>
    <w:rsid w:val="002A4C53"/>
    <w:rsid w:val="002B053F"/>
    <w:rsid w:val="002B0672"/>
    <w:rsid w:val="002B0FD9"/>
    <w:rsid w:val="002B247F"/>
    <w:rsid w:val="002B3CD1"/>
    <w:rsid w:val="002C0D2F"/>
    <w:rsid w:val="002C145D"/>
    <w:rsid w:val="002C2C3E"/>
    <w:rsid w:val="002C533E"/>
    <w:rsid w:val="002D027F"/>
    <w:rsid w:val="002D7A85"/>
    <w:rsid w:val="002D7B60"/>
    <w:rsid w:val="002D7F35"/>
    <w:rsid w:val="002E1D1A"/>
    <w:rsid w:val="002F4761"/>
    <w:rsid w:val="002F4F75"/>
    <w:rsid w:val="002F51A3"/>
    <w:rsid w:val="002F5C79"/>
    <w:rsid w:val="003019E2"/>
    <w:rsid w:val="00304029"/>
    <w:rsid w:val="00305C9F"/>
    <w:rsid w:val="0031413F"/>
    <w:rsid w:val="003148BB"/>
    <w:rsid w:val="0031571B"/>
    <w:rsid w:val="0031778B"/>
    <w:rsid w:val="00317976"/>
    <w:rsid w:val="00341B27"/>
    <w:rsid w:val="003525DB"/>
    <w:rsid w:val="00354B28"/>
    <w:rsid w:val="00355EA9"/>
    <w:rsid w:val="003578DE"/>
    <w:rsid w:val="00361F76"/>
    <w:rsid w:val="00362C5F"/>
    <w:rsid w:val="00362CC0"/>
    <w:rsid w:val="00380DAE"/>
    <w:rsid w:val="00394DF0"/>
    <w:rsid w:val="00395226"/>
    <w:rsid w:val="003958CC"/>
    <w:rsid w:val="00396257"/>
    <w:rsid w:val="00397EB8"/>
    <w:rsid w:val="003A4FD0"/>
    <w:rsid w:val="003A52F5"/>
    <w:rsid w:val="003A69D1"/>
    <w:rsid w:val="003A7705"/>
    <w:rsid w:val="003A77F1"/>
    <w:rsid w:val="003A7A12"/>
    <w:rsid w:val="003B1545"/>
    <w:rsid w:val="003B3180"/>
    <w:rsid w:val="003C0779"/>
    <w:rsid w:val="003C409D"/>
    <w:rsid w:val="003C5BA6"/>
    <w:rsid w:val="003D0FC8"/>
    <w:rsid w:val="003D17D2"/>
    <w:rsid w:val="003D17EB"/>
    <w:rsid w:val="003D1AD5"/>
    <w:rsid w:val="003E239A"/>
    <w:rsid w:val="003E48FD"/>
    <w:rsid w:val="003F0E85"/>
    <w:rsid w:val="003F2D0E"/>
    <w:rsid w:val="00402F69"/>
    <w:rsid w:val="00404C08"/>
    <w:rsid w:val="00405042"/>
    <w:rsid w:val="00410C55"/>
    <w:rsid w:val="00414834"/>
    <w:rsid w:val="004164D5"/>
    <w:rsid w:val="00416854"/>
    <w:rsid w:val="004171C0"/>
    <w:rsid w:val="00417725"/>
    <w:rsid w:val="00424E31"/>
    <w:rsid w:val="004264A1"/>
    <w:rsid w:val="00430F74"/>
    <w:rsid w:val="0043116E"/>
    <w:rsid w:val="004326DF"/>
    <w:rsid w:val="004334A7"/>
    <w:rsid w:val="004374CA"/>
    <w:rsid w:val="00437F26"/>
    <w:rsid w:val="00444097"/>
    <w:rsid w:val="00445487"/>
    <w:rsid w:val="00447A01"/>
    <w:rsid w:val="00447B4F"/>
    <w:rsid w:val="00451D2F"/>
    <w:rsid w:val="00454769"/>
    <w:rsid w:val="00455FEF"/>
    <w:rsid w:val="00466991"/>
    <w:rsid w:val="0047064C"/>
    <w:rsid w:val="00470DAD"/>
    <w:rsid w:val="00470DB4"/>
    <w:rsid w:val="00475D11"/>
    <w:rsid w:val="00477A96"/>
    <w:rsid w:val="00486055"/>
    <w:rsid w:val="004936F0"/>
    <w:rsid w:val="00494E77"/>
    <w:rsid w:val="004955CD"/>
    <w:rsid w:val="0049754A"/>
    <w:rsid w:val="004A42E1"/>
    <w:rsid w:val="004A55FC"/>
    <w:rsid w:val="004A7584"/>
    <w:rsid w:val="004B162C"/>
    <w:rsid w:val="004B598D"/>
    <w:rsid w:val="004B75D8"/>
    <w:rsid w:val="004C05F5"/>
    <w:rsid w:val="004C0CEB"/>
    <w:rsid w:val="004C3DBE"/>
    <w:rsid w:val="004C5C96"/>
    <w:rsid w:val="004D06A4"/>
    <w:rsid w:val="004D5FE2"/>
    <w:rsid w:val="004E44AC"/>
    <w:rsid w:val="004F1A81"/>
    <w:rsid w:val="004F3FAF"/>
    <w:rsid w:val="004F4A62"/>
    <w:rsid w:val="004F5DB2"/>
    <w:rsid w:val="004F6808"/>
    <w:rsid w:val="00511E03"/>
    <w:rsid w:val="00513CFF"/>
    <w:rsid w:val="00516312"/>
    <w:rsid w:val="005218D9"/>
    <w:rsid w:val="00536186"/>
    <w:rsid w:val="00541303"/>
    <w:rsid w:val="00544CBB"/>
    <w:rsid w:val="00556AE1"/>
    <w:rsid w:val="00562B13"/>
    <w:rsid w:val="005642AE"/>
    <w:rsid w:val="0057315F"/>
    <w:rsid w:val="00576104"/>
    <w:rsid w:val="0058545F"/>
    <w:rsid w:val="00586FEF"/>
    <w:rsid w:val="00590B84"/>
    <w:rsid w:val="00591E68"/>
    <w:rsid w:val="00592010"/>
    <w:rsid w:val="00596DA8"/>
    <w:rsid w:val="005A4B61"/>
    <w:rsid w:val="005B0A40"/>
    <w:rsid w:val="005C5299"/>
    <w:rsid w:val="005C67C8"/>
    <w:rsid w:val="005D0249"/>
    <w:rsid w:val="005D17B1"/>
    <w:rsid w:val="005D2BDB"/>
    <w:rsid w:val="005D6E8C"/>
    <w:rsid w:val="005E36A4"/>
    <w:rsid w:val="005E6838"/>
    <w:rsid w:val="005F100C"/>
    <w:rsid w:val="005F38B8"/>
    <w:rsid w:val="005F4AD1"/>
    <w:rsid w:val="005F68DA"/>
    <w:rsid w:val="00602F6C"/>
    <w:rsid w:val="0060773B"/>
    <w:rsid w:val="006116FA"/>
    <w:rsid w:val="006157B5"/>
    <w:rsid w:val="00616E82"/>
    <w:rsid w:val="0062103A"/>
    <w:rsid w:val="006213D7"/>
    <w:rsid w:val="0062176A"/>
    <w:rsid w:val="00624056"/>
    <w:rsid w:val="00624A34"/>
    <w:rsid w:val="00626FC6"/>
    <w:rsid w:val="00630177"/>
    <w:rsid w:val="006303B4"/>
    <w:rsid w:val="00632C39"/>
    <w:rsid w:val="00633D3D"/>
    <w:rsid w:val="006354FE"/>
    <w:rsid w:val="00635F5F"/>
    <w:rsid w:val="00640D76"/>
    <w:rsid w:val="00641703"/>
    <w:rsid w:val="006431A6"/>
    <w:rsid w:val="00644EF9"/>
    <w:rsid w:val="006459F6"/>
    <w:rsid w:val="006501AD"/>
    <w:rsid w:val="00651BFA"/>
    <w:rsid w:val="00654475"/>
    <w:rsid w:val="00665A4B"/>
    <w:rsid w:val="00672FF9"/>
    <w:rsid w:val="006776CD"/>
    <w:rsid w:val="0068149B"/>
    <w:rsid w:val="00682B91"/>
    <w:rsid w:val="00692C3D"/>
    <w:rsid w:val="00692E2A"/>
    <w:rsid w:val="006A76F2"/>
    <w:rsid w:val="006B048D"/>
    <w:rsid w:val="006B2A36"/>
    <w:rsid w:val="006C144B"/>
    <w:rsid w:val="006C46D1"/>
    <w:rsid w:val="006D2239"/>
    <w:rsid w:val="006D586A"/>
    <w:rsid w:val="006D7EFB"/>
    <w:rsid w:val="006E529B"/>
    <w:rsid w:val="006E6672"/>
    <w:rsid w:val="006E6722"/>
    <w:rsid w:val="006E6F6A"/>
    <w:rsid w:val="007009A1"/>
    <w:rsid w:val="007027B9"/>
    <w:rsid w:val="00710926"/>
    <w:rsid w:val="00714AAB"/>
    <w:rsid w:val="00715E88"/>
    <w:rsid w:val="00734CAA"/>
    <w:rsid w:val="0074679F"/>
    <w:rsid w:val="00751932"/>
    <w:rsid w:val="007532E4"/>
    <w:rsid w:val="00753CDD"/>
    <w:rsid w:val="0075533C"/>
    <w:rsid w:val="00757581"/>
    <w:rsid w:val="007576AF"/>
    <w:rsid w:val="007611A0"/>
    <w:rsid w:val="00761DFD"/>
    <w:rsid w:val="00763119"/>
    <w:rsid w:val="00771AE1"/>
    <w:rsid w:val="00791783"/>
    <w:rsid w:val="00796D3F"/>
    <w:rsid w:val="007A1683"/>
    <w:rsid w:val="007A2543"/>
    <w:rsid w:val="007A34FF"/>
    <w:rsid w:val="007A5C12"/>
    <w:rsid w:val="007A7CB0"/>
    <w:rsid w:val="007B05A6"/>
    <w:rsid w:val="007B68A3"/>
    <w:rsid w:val="007C035E"/>
    <w:rsid w:val="007C2541"/>
    <w:rsid w:val="007C6D3C"/>
    <w:rsid w:val="007C7468"/>
    <w:rsid w:val="007D0E30"/>
    <w:rsid w:val="007D66A8"/>
    <w:rsid w:val="007E003F"/>
    <w:rsid w:val="007E4764"/>
    <w:rsid w:val="007E60F1"/>
    <w:rsid w:val="007F161E"/>
    <w:rsid w:val="007F271F"/>
    <w:rsid w:val="007F2B31"/>
    <w:rsid w:val="008164F2"/>
    <w:rsid w:val="0082111D"/>
    <w:rsid w:val="00821395"/>
    <w:rsid w:val="00830E26"/>
    <w:rsid w:val="0083661D"/>
    <w:rsid w:val="00842CC1"/>
    <w:rsid w:val="00843576"/>
    <w:rsid w:val="00843928"/>
    <w:rsid w:val="00843B64"/>
    <w:rsid w:val="00846486"/>
    <w:rsid w:val="008478FC"/>
    <w:rsid w:val="00853C6A"/>
    <w:rsid w:val="00861329"/>
    <w:rsid w:val="00862543"/>
    <w:rsid w:val="0086333E"/>
    <w:rsid w:val="00864634"/>
    <w:rsid w:val="0086592C"/>
    <w:rsid w:val="00865E9C"/>
    <w:rsid w:val="00867BFF"/>
    <w:rsid w:val="0087141B"/>
    <w:rsid w:val="00872E01"/>
    <w:rsid w:val="00875DA8"/>
    <w:rsid w:val="008804A2"/>
    <w:rsid w:val="0088480A"/>
    <w:rsid w:val="00886C82"/>
    <w:rsid w:val="0088757A"/>
    <w:rsid w:val="008957DD"/>
    <w:rsid w:val="00897D98"/>
    <w:rsid w:val="008A0D37"/>
    <w:rsid w:val="008A3A66"/>
    <w:rsid w:val="008A536B"/>
    <w:rsid w:val="008A6DF2"/>
    <w:rsid w:val="008A7807"/>
    <w:rsid w:val="008B2206"/>
    <w:rsid w:val="008B4CC9"/>
    <w:rsid w:val="008C0855"/>
    <w:rsid w:val="008D7C99"/>
    <w:rsid w:val="008E0AC5"/>
    <w:rsid w:val="008E0FCB"/>
    <w:rsid w:val="008E31BB"/>
    <w:rsid w:val="008E75CA"/>
    <w:rsid w:val="008E7AFF"/>
    <w:rsid w:val="008F1D5D"/>
    <w:rsid w:val="008F2FCF"/>
    <w:rsid w:val="0090144F"/>
    <w:rsid w:val="00904378"/>
    <w:rsid w:val="009137B7"/>
    <w:rsid w:val="00916677"/>
    <w:rsid w:val="0092178C"/>
    <w:rsid w:val="00930B88"/>
    <w:rsid w:val="00932C7B"/>
    <w:rsid w:val="009340E4"/>
    <w:rsid w:val="009355DE"/>
    <w:rsid w:val="00940DCC"/>
    <w:rsid w:val="0094179A"/>
    <w:rsid w:val="0094459E"/>
    <w:rsid w:val="00944DBC"/>
    <w:rsid w:val="0094773F"/>
    <w:rsid w:val="00950977"/>
    <w:rsid w:val="00951A7B"/>
    <w:rsid w:val="009564A6"/>
    <w:rsid w:val="0096300D"/>
    <w:rsid w:val="009644C9"/>
    <w:rsid w:val="00964ECC"/>
    <w:rsid w:val="009668B6"/>
    <w:rsid w:val="00967621"/>
    <w:rsid w:val="00967E6A"/>
    <w:rsid w:val="00974164"/>
    <w:rsid w:val="0098024E"/>
    <w:rsid w:val="00981481"/>
    <w:rsid w:val="00991D64"/>
    <w:rsid w:val="0099438B"/>
    <w:rsid w:val="009A3D41"/>
    <w:rsid w:val="009B4A0F"/>
    <w:rsid w:val="009C11D2"/>
    <w:rsid w:val="009C6C70"/>
    <w:rsid w:val="009D0B63"/>
    <w:rsid w:val="009E1067"/>
    <w:rsid w:val="009E1295"/>
    <w:rsid w:val="009E1905"/>
    <w:rsid w:val="009E307E"/>
    <w:rsid w:val="009F02A6"/>
    <w:rsid w:val="009F0E95"/>
    <w:rsid w:val="00A07870"/>
    <w:rsid w:val="00A07F19"/>
    <w:rsid w:val="00A13102"/>
    <w:rsid w:val="00A1348D"/>
    <w:rsid w:val="00A135B4"/>
    <w:rsid w:val="00A137B2"/>
    <w:rsid w:val="00A16259"/>
    <w:rsid w:val="00A21A94"/>
    <w:rsid w:val="00A232EE"/>
    <w:rsid w:val="00A262F3"/>
    <w:rsid w:val="00A26B51"/>
    <w:rsid w:val="00A33B13"/>
    <w:rsid w:val="00A4175F"/>
    <w:rsid w:val="00A43FAA"/>
    <w:rsid w:val="00A44411"/>
    <w:rsid w:val="00A469FA"/>
    <w:rsid w:val="00A47F94"/>
    <w:rsid w:val="00A51073"/>
    <w:rsid w:val="00A526B0"/>
    <w:rsid w:val="00A55B01"/>
    <w:rsid w:val="00A5685B"/>
    <w:rsid w:val="00A56B5B"/>
    <w:rsid w:val="00A57A51"/>
    <w:rsid w:val="00A603FF"/>
    <w:rsid w:val="00A60D0A"/>
    <w:rsid w:val="00A657DD"/>
    <w:rsid w:val="00A666A6"/>
    <w:rsid w:val="00A675FD"/>
    <w:rsid w:val="00A72437"/>
    <w:rsid w:val="00A7284C"/>
    <w:rsid w:val="00A73749"/>
    <w:rsid w:val="00A7625E"/>
    <w:rsid w:val="00A80611"/>
    <w:rsid w:val="00A82287"/>
    <w:rsid w:val="00A9284F"/>
    <w:rsid w:val="00A9721E"/>
    <w:rsid w:val="00AA1A49"/>
    <w:rsid w:val="00AB0532"/>
    <w:rsid w:val="00AB5340"/>
    <w:rsid w:val="00AB5FB4"/>
    <w:rsid w:val="00AC0A89"/>
    <w:rsid w:val="00AC5515"/>
    <w:rsid w:val="00AC6E93"/>
    <w:rsid w:val="00AC7C96"/>
    <w:rsid w:val="00AD5B2E"/>
    <w:rsid w:val="00AE19CE"/>
    <w:rsid w:val="00AE237D"/>
    <w:rsid w:val="00AE502A"/>
    <w:rsid w:val="00AF3EDF"/>
    <w:rsid w:val="00AF7C07"/>
    <w:rsid w:val="00B049FE"/>
    <w:rsid w:val="00B1144E"/>
    <w:rsid w:val="00B160BF"/>
    <w:rsid w:val="00B16899"/>
    <w:rsid w:val="00B20CA8"/>
    <w:rsid w:val="00B21CD0"/>
    <w:rsid w:val="00B22C93"/>
    <w:rsid w:val="00B2416C"/>
    <w:rsid w:val="00B27589"/>
    <w:rsid w:val="00B322DD"/>
    <w:rsid w:val="00B32911"/>
    <w:rsid w:val="00B405B7"/>
    <w:rsid w:val="00B44C1F"/>
    <w:rsid w:val="00B50A1F"/>
    <w:rsid w:val="00B52222"/>
    <w:rsid w:val="00B5238C"/>
    <w:rsid w:val="00B52E61"/>
    <w:rsid w:val="00B54FE7"/>
    <w:rsid w:val="00B57A5E"/>
    <w:rsid w:val="00B66401"/>
    <w:rsid w:val="00B66901"/>
    <w:rsid w:val="00B674DB"/>
    <w:rsid w:val="00B71E6D"/>
    <w:rsid w:val="00B72070"/>
    <w:rsid w:val="00B72F4B"/>
    <w:rsid w:val="00B75A3A"/>
    <w:rsid w:val="00B779E1"/>
    <w:rsid w:val="00B80DEA"/>
    <w:rsid w:val="00B825FE"/>
    <w:rsid w:val="00B8722E"/>
    <w:rsid w:val="00B91EE1"/>
    <w:rsid w:val="00B937B1"/>
    <w:rsid w:val="00BA0090"/>
    <w:rsid w:val="00BA0732"/>
    <w:rsid w:val="00BA1A67"/>
    <w:rsid w:val="00BA26A1"/>
    <w:rsid w:val="00BB087F"/>
    <w:rsid w:val="00BC3989"/>
    <w:rsid w:val="00BD1ED7"/>
    <w:rsid w:val="00BD4471"/>
    <w:rsid w:val="00BD75C6"/>
    <w:rsid w:val="00BE2CB4"/>
    <w:rsid w:val="00BE5B5F"/>
    <w:rsid w:val="00BE7E37"/>
    <w:rsid w:val="00BF0540"/>
    <w:rsid w:val="00C0037F"/>
    <w:rsid w:val="00C00F56"/>
    <w:rsid w:val="00C03F20"/>
    <w:rsid w:val="00C142C1"/>
    <w:rsid w:val="00C15016"/>
    <w:rsid w:val="00C16605"/>
    <w:rsid w:val="00C17308"/>
    <w:rsid w:val="00C26F55"/>
    <w:rsid w:val="00C30C63"/>
    <w:rsid w:val="00C30CEE"/>
    <w:rsid w:val="00C332D2"/>
    <w:rsid w:val="00C352DA"/>
    <w:rsid w:val="00C36B8B"/>
    <w:rsid w:val="00C415C1"/>
    <w:rsid w:val="00C47DBF"/>
    <w:rsid w:val="00C51535"/>
    <w:rsid w:val="00C552FF"/>
    <w:rsid w:val="00C558DA"/>
    <w:rsid w:val="00C55AF3"/>
    <w:rsid w:val="00C65851"/>
    <w:rsid w:val="00C65E5A"/>
    <w:rsid w:val="00C66E4A"/>
    <w:rsid w:val="00C74458"/>
    <w:rsid w:val="00C8084D"/>
    <w:rsid w:val="00C84759"/>
    <w:rsid w:val="00C84CDF"/>
    <w:rsid w:val="00C87249"/>
    <w:rsid w:val="00CA0251"/>
    <w:rsid w:val="00CA14D7"/>
    <w:rsid w:val="00CA59D9"/>
    <w:rsid w:val="00CA610D"/>
    <w:rsid w:val="00CA6C7F"/>
    <w:rsid w:val="00CB0B4C"/>
    <w:rsid w:val="00CB1D89"/>
    <w:rsid w:val="00CB20F7"/>
    <w:rsid w:val="00CB57C7"/>
    <w:rsid w:val="00CB79C0"/>
    <w:rsid w:val="00CC10A6"/>
    <w:rsid w:val="00CD2B90"/>
    <w:rsid w:val="00CD5EB8"/>
    <w:rsid w:val="00CD7044"/>
    <w:rsid w:val="00CE08B9"/>
    <w:rsid w:val="00CE524C"/>
    <w:rsid w:val="00CF141F"/>
    <w:rsid w:val="00CF4777"/>
    <w:rsid w:val="00D04A5E"/>
    <w:rsid w:val="00D056FC"/>
    <w:rsid w:val="00D067BB"/>
    <w:rsid w:val="00D12829"/>
    <w:rsid w:val="00D1352A"/>
    <w:rsid w:val="00D14796"/>
    <w:rsid w:val="00D169AF"/>
    <w:rsid w:val="00D20276"/>
    <w:rsid w:val="00D24E62"/>
    <w:rsid w:val="00D25249"/>
    <w:rsid w:val="00D42A12"/>
    <w:rsid w:val="00D4392F"/>
    <w:rsid w:val="00D44172"/>
    <w:rsid w:val="00D54301"/>
    <w:rsid w:val="00D54F7C"/>
    <w:rsid w:val="00D61581"/>
    <w:rsid w:val="00D62040"/>
    <w:rsid w:val="00D63B8C"/>
    <w:rsid w:val="00D739CC"/>
    <w:rsid w:val="00D8093D"/>
    <w:rsid w:val="00D8108C"/>
    <w:rsid w:val="00D842AE"/>
    <w:rsid w:val="00D9211C"/>
    <w:rsid w:val="00D92DE0"/>
    <w:rsid w:val="00D92FEF"/>
    <w:rsid w:val="00D932D9"/>
    <w:rsid w:val="00D93A0F"/>
    <w:rsid w:val="00DA01B2"/>
    <w:rsid w:val="00DA1BCA"/>
    <w:rsid w:val="00DA5A81"/>
    <w:rsid w:val="00DA7F06"/>
    <w:rsid w:val="00DB02DC"/>
    <w:rsid w:val="00DB24B4"/>
    <w:rsid w:val="00DB59AF"/>
    <w:rsid w:val="00DC0419"/>
    <w:rsid w:val="00DC0CAF"/>
    <w:rsid w:val="00DC46FF"/>
    <w:rsid w:val="00DC5254"/>
    <w:rsid w:val="00DC5299"/>
    <w:rsid w:val="00DD1A4F"/>
    <w:rsid w:val="00DD3107"/>
    <w:rsid w:val="00DD544A"/>
    <w:rsid w:val="00DD68EB"/>
    <w:rsid w:val="00DD7C2C"/>
    <w:rsid w:val="00DE28A2"/>
    <w:rsid w:val="00DE3226"/>
    <w:rsid w:val="00DE3750"/>
    <w:rsid w:val="00DE480C"/>
    <w:rsid w:val="00DE61FC"/>
    <w:rsid w:val="00DF101C"/>
    <w:rsid w:val="00DF7771"/>
    <w:rsid w:val="00E02F4B"/>
    <w:rsid w:val="00E041E6"/>
    <w:rsid w:val="00E06797"/>
    <w:rsid w:val="00E079B8"/>
    <w:rsid w:val="00E1265B"/>
    <w:rsid w:val="00E1335D"/>
    <w:rsid w:val="00E13B48"/>
    <w:rsid w:val="00E1404F"/>
    <w:rsid w:val="00E15028"/>
    <w:rsid w:val="00E21A1A"/>
    <w:rsid w:val="00E21C83"/>
    <w:rsid w:val="00E224C8"/>
    <w:rsid w:val="00E22858"/>
    <w:rsid w:val="00E24683"/>
    <w:rsid w:val="00E24ADA"/>
    <w:rsid w:val="00E32D71"/>
    <w:rsid w:val="00E32F59"/>
    <w:rsid w:val="00E4306D"/>
    <w:rsid w:val="00E46D9A"/>
    <w:rsid w:val="00E47FE9"/>
    <w:rsid w:val="00E565FF"/>
    <w:rsid w:val="00E56F81"/>
    <w:rsid w:val="00E57C08"/>
    <w:rsid w:val="00E62491"/>
    <w:rsid w:val="00E63CB7"/>
    <w:rsid w:val="00E65388"/>
    <w:rsid w:val="00E75212"/>
    <w:rsid w:val="00E84C56"/>
    <w:rsid w:val="00E85B7D"/>
    <w:rsid w:val="00E9121B"/>
    <w:rsid w:val="00E93240"/>
    <w:rsid w:val="00EA0AE2"/>
    <w:rsid w:val="00EA35E3"/>
    <w:rsid w:val="00EA39E5"/>
    <w:rsid w:val="00EA773E"/>
    <w:rsid w:val="00EB1D88"/>
    <w:rsid w:val="00EB2B5B"/>
    <w:rsid w:val="00EC02A7"/>
    <w:rsid w:val="00EC57C4"/>
    <w:rsid w:val="00EC5A46"/>
    <w:rsid w:val="00EC63E2"/>
    <w:rsid w:val="00ED3A76"/>
    <w:rsid w:val="00ED4622"/>
    <w:rsid w:val="00ED5CCE"/>
    <w:rsid w:val="00ED64A3"/>
    <w:rsid w:val="00EE0CB3"/>
    <w:rsid w:val="00EE1251"/>
    <w:rsid w:val="00EE3EDF"/>
    <w:rsid w:val="00EF202F"/>
    <w:rsid w:val="00EF22B3"/>
    <w:rsid w:val="00F03B69"/>
    <w:rsid w:val="00F07A50"/>
    <w:rsid w:val="00F113DA"/>
    <w:rsid w:val="00F1667C"/>
    <w:rsid w:val="00F16D18"/>
    <w:rsid w:val="00F302D5"/>
    <w:rsid w:val="00F32416"/>
    <w:rsid w:val="00F33742"/>
    <w:rsid w:val="00F37DC8"/>
    <w:rsid w:val="00F439B3"/>
    <w:rsid w:val="00F43DC0"/>
    <w:rsid w:val="00F4460A"/>
    <w:rsid w:val="00F46E49"/>
    <w:rsid w:val="00F641A5"/>
    <w:rsid w:val="00F650C3"/>
    <w:rsid w:val="00F65D85"/>
    <w:rsid w:val="00F72A05"/>
    <w:rsid w:val="00F75825"/>
    <w:rsid w:val="00F807CB"/>
    <w:rsid w:val="00F8091E"/>
    <w:rsid w:val="00F8564D"/>
    <w:rsid w:val="00F8615C"/>
    <w:rsid w:val="00F87EDB"/>
    <w:rsid w:val="00F90BC4"/>
    <w:rsid w:val="00F969E5"/>
    <w:rsid w:val="00FA4D6B"/>
    <w:rsid w:val="00FA6BB0"/>
    <w:rsid w:val="00FC6945"/>
    <w:rsid w:val="00FD5475"/>
    <w:rsid w:val="00FD5860"/>
    <w:rsid w:val="00FE1DD6"/>
    <w:rsid w:val="00FE352D"/>
    <w:rsid w:val="00FE40EB"/>
    <w:rsid w:val="00FE4D02"/>
    <w:rsid w:val="00FE6E57"/>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3BC165"/>
  <w15:chartTrackingRefBased/>
  <w15:docId w15:val="{ED4C7E48-E51A-4FC5-8D6B-B2646B6C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4634"/>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864634"/>
    <w:pPr>
      <w:keepNext/>
      <w:spacing w:before="240" w:after="120"/>
      <w:ind w:left="1247" w:hanging="680"/>
      <w:outlineLvl w:val="0"/>
    </w:pPr>
    <w:rPr>
      <w:b/>
      <w:sz w:val="28"/>
    </w:rPr>
  </w:style>
  <w:style w:type="paragraph" w:styleId="Heading2">
    <w:name w:val="heading 2"/>
    <w:basedOn w:val="Normal"/>
    <w:next w:val="Normalnumber"/>
    <w:qFormat/>
    <w:rsid w:val="00864634"/>
    <w:pPr>
      <w:keepNext/>
      <w:spacing w:before="240" w:after="120"/>
      <w:ind w:left="1247" w:hanging="680"/>
      <w:outlineLvl w:val="1"/>
    </w:pPr>
    <w:rPr>
      <w:b/>
      <w:sz w:val="24"/>
      <w:szCs w:val="24"/>
    </w:rPr>
  </w:style>
  <w:style w:type="paragraph" w:styleId="Heading3">
    <w:name w:val="heading 3"/>
    <w:basedOn w:val="Normal"/>
    <w:next w:val="Normalnumber"/>
    <w:qFormat/>
    <w:rsid w:val="00864634"/>
    <w:pPr>
      <w:spacing w:after="120"/>
      <w:ind w:left="1247" w:hanging="680"/>
      <w:outlineLvl w:val="2"/>
    </w:pPr>
    <w:rPr>
      <w:b/>
    </w:rPr>
  </w:style>
  <w:style w:type="paragraph" w:styleId="Heading4">
    <w:name w:val="heading 4"/>
    <w:basedOn w:val="Heading3"/>
    <w:next w:val="Normalnumber"/>
    <w:qFormat/>
    <w:rsid w:val="00864634"/>
    <w:pPr>
      <w:keepNext/>
      <w:outlineLvl w:val="3"/>
    </w:pPr>
  </w:style>
  <w:style w:type="paragraph" w:styleId="Heading5">
    <w:name w:val="heading 5"/>
    <w:basedOn w:val="Normal"/>
    <w:next w:val="Normal"/>
    <w:qFormat/>
    <w:rsid w:val="00864634"/>
    <w:pPr>
      <w:keepNext/>
      <w:outlineLvl w:val="4"/>
    </w:pPr>
    <w:rPr>
      <w:rFonts w:ascii="Univers" w:hAnsi="Univers"/>
      <w:b/>
      <w:sz w:val="24"/>
    </w:rPr>
  </w:style>
  <w:style w:type="paragraph" w:styleId="Heading6">
    <w:name w:val="heading 6"/>
    <w:basedOn w:val="Normal"/>
    <w:next w:val="Normal"/>
    <w:qFormat/>
    <w:rsid w:val="00864634"/>
    <w:pPr>
      <w:keepNext/>
      <w:ind w:left="578"/>
      <w:outlineLvl w:val="5"/>
    </w:pPr>
    <w:rPr>
      <w:b/>
      <w:bCs/>
      <w:sz w:val="24"/>
    </w:rPr>
  </w:style>
  <w:style w:type="paragraph" w:styleId="Heading7">
    <w:name w:val="heading 7"/>
    <w:basedOn w:val="Normal"/>
    <w:next w:val="Normal"/>
    <w:qFormat/>
    <w:rsid w:val="00864634"/>
    <w:pPr>
      <w:keepNext/>
      <w:widowControl w:val="0"/>
      <w:jc w:val="center"/>
      <w:outlineLvl w:val="6"/>
    </w:pPr>
    <w:rPr>
      <w:snapToGrid w:val="0"/>
      <w:u w:val="single"/>
      <w:lang w:val="en-US"/>
    </w:rPr>
  </w:style>
  <w:style w:type="paragraph" w:styleId="Heading8">
    <w:name w:val="heading 8"/>
    <w:basedOn w:val="Normal"/>
    <w:next w:val="Normal"/>
    <w:qFormat/>
    <w:rsid w:val="00864634"/>
    <w:pPr>
      <w:keepNext/>
      <w:widowControl w:val="0"/>
      <w:numPr>
        <w:numId w:val="16"/>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864634"/>
    <w:pPr>
      <w:keepNext/>
      <w:widowControl w:val="0"/>
      <w:numPr>
        <w:numId w:val="17"/>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864634"/>
    <w:rPr>
      <w:rFonts w:ascii="Times New Roman" w:hAnsi="Times New Roman"/>
      <w:b/>
      <w:sz w:val="18"/>
    </w:rPr>
  </w:style>
  <w:style w:type="table" w:customStyle="1" w:styleId="Tabledocright">
    <w:name w:val="Table_doc_right"/>
    <w:basedOn w:val="TableNormal"/>
    <w:rsid w:val="00864634"/>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864634"/>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864634"/>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864634"/>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864634"/>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864634"/>
    <w:rPr>
      <w:bCs w:val="0"/>
    </w:rPr>
  </w:style>
  <w:style w:type="paragraph" w:styleId="TableofFigures">
    <w:name w:val="table of figures"/>
    <w:basedOn w:val="Normal"/>
    <w:next w:val="Normal"/>
    <w:autoRedefine/>
    <w:semiHidden/>
    <w:rsid w:val="00864634"/>
    <w:pPr>
      <w:tabs>
        <w:tab w:val="clear" w:pos="1814"/>
        <w:tab w:val="clear" w:pos="2381"/>
        <w:tab w:val="clear" w:pos="2948"/>
        <w:tab w:val="clear" w:pos="3515"/>
      </w:tabs>
      <w:ind w:left="1814" w:hanging="567"/>
    </w:pPr>
  </w:style>
  <w:style w:type="paragraph" w:customStyle="1" w:styleId="CH1">
    <w:name w:val="CH1"/>
    <w:basedOn w:val="Normalpool"/>
    <w:next w:val="CH2"/>
    <w:rsid w:val="0086463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864634"/>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rsid w:val="00864634"/>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86463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864634"/>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86463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864634"/>
    <w:pPr>
      <w:tabs>
        <w:tab w:val="left" w:pos="4321"/>
        <w:tab w:val="right" w:pos="8641"/>
      </w:tabs>
      <w:spacing w:before="60" w:after="120"/>
    </w:pPr>
    <w:rPr>
      <w:b/>
      <w:sz w:val="18"/>
    </w:rPr>
  </w:style>
  <w:style w:type="paragraph" w:customStyle="1" w:styleId="Headerpool">
    <w:name w:val="Header_pool"/>
    <w:basedOn w:val="Normal"/>
    <w:next w:val="Normal"/>
    <w:semiHidden/>
    <w:rsid w:val="0086463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864634"/>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864634"/>
    <w:pPr>
      <w:tabs>
        <w:tab w:val="left" w:pos="4321"/>
        <w:tab w:val="right" w:pos="8641"/>
      </w:tabs>
      <w:spacing w:before="60" w:after="120"/>
    </w:pPr>
    <w:rPr>
      <w:b/>
      <w:sz w:val="18"/>
    </w:rPr>
  </w:style>
  <w:style w:type="paragraph" w:customStyle="1" w:styleId="Header-pool">
    <w:name w:val="Header-pool"/>
    <w:basedOn w:val="Normal-pool"/>
    <w:next w:val="Normal-pool"/>
    <w:rsid w:val="0086463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864634"/>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rsid w:val="00864634"/>
    <w:rPr>
      <w:rFonts w:ascii="Times New Roman" w:hAnsi="Times New Roman"/>
      <w:color w:val="auto"/>
      <w:sz w:val="20"/>
      <w:szCs w:val="18"/>
      <w:vertAlign w:val="superscript"/>
    </w:rPr>
  </w:style>
  <w:style w:type="paragraph" w:styleId="FootnoteText">
    <w:name w:val="footnote text"/>
    <w:basedOn w:val="Normalpool"/>
    <w:semiHidden/>
    <w:rsid w:val="00864634"/>
    <w:pPr>
      <w:spacing w:before="20" w:after="40"/>
      <w:ind w:left="1247"/>
    </w:pPr>
    <w:rPr>
      <w:sz w:val="18"/>
    </w:rPr>
  </w:style>
  <w:style w:type="paragraph" w:styleId="BalloonText">
    <w:name w:val="Balloon Text"/>
    <w:basedOn w:val="Normal"/>
    <w:link w:val="BalloonTextChar"/>
    <w:rsid w:val="0074679F"/>
    <w:rPr>
      <w:rFonts w:ascii="Segoe UI" w:hAnsi="Segoe UI" w:cs="Segoe UI"/>
      <w:sz w:val="18"/>
      <w:szCs w:val="18"/>
    </w:rPr>
  </w:style>
  <w:style w:type="character" w:customStyle="1" w:styleId="BalloonTextChar">
    <w:name w:val="Balloon Text Char"/>
    <w:basedOn w:val="DefaultParagraphFont"/>
    <w:link w:val="BalloonText"/>
    <w:rsid w:val="0074679F"/>
    <w:rPr>
      <w:rFonts w:ascii="Segoe UI" w:hAnsi="Segoe UI" w:cs="Segoe UI"/>
      <w:sz w:val="18"/>
      <w:szCs w:val="18"/>
      <w:lang w:val="fr-FR" w:eastAsia="en-US"/>
    </w:rPr>
  </w:style>
  <w:style w:type="table" w:customStyle="1" w:styleId="AATable">
    <w:name w:val="AA_Table"/>
    <w:basedOn w:val="TableNormal"/>
    <w:semiHidden/>
    <w:rsid w:val="00864634"/>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864634"/>
    <w:pPr>
      <w:keepNext/>
      <w:keepLines/>
      <w:suppressAutoHyphens/>
      <w:ind w:right="5103"/>
    </w:pPr>
    <w:rPr>
      <w:b/>
    </w:rPr>
  </w:style>
  <w:style w:type="paragraph" w:customStyle="1" w:styleId="AATitle2">
    <w:name w:val="AA_Title2"/>
    <w:basedOn w:val="AATitle"/>
    <w:rsid w:val="00864634"/>
    <w:pPr>
      <w:tabs>
        <w:tab w:val="clear" w:pos="4082"/>
      </w:tabs>
      <w:spacing w:before="120" w:after="120"/>
      <w:ind w:right="4536"/>
    </w:pPr>
  </w:style>
  <w:style w:type="paragraph" w:customStyle="1" w:styleId="BBTitle">
    <w:name w:val="BB_Title"/>
    <w:basedOn w:val="Normalpool"/>
    <w:rsid w:val="00864634"/>
    <w:pPr>
      <w:keepNext/>
      <w:keepLines/>
      <w:suppressAutoHyphens/>
      <w:spacing w:before="320" w:after="240"/>
      <w:ind w:left="1247" w:right="567"/>
    </w:pPr>
    <w:rPr>
      <w:b/>
      <w:sz w:val="28"/>
      <w:szCs w:val="28"/>
    </w:rPr>
  </w:style>
  <w:style w:type="paragraph" w:styleId="Footer">
    <w:name w:val="footer"/>
    <w:basedOn w:val="Normal"/>
    <w:semiHidden/>
    <w:rsid w:val="00864634"/>
    <w:pPr>
      <w:tabs>
        <w:tab w:val="center" w:pos="4320"/>
        <w:tab w:val="right" w:pos="8640"/>
      </w:tabs>
      <w:spacing w:before="60" w:after="120"/>
    </w:pPr>
    <w:rPr>
      <w:sz w:val="18"/>
    </w:rPr>
  </w:style>
  <w:style w:type="paragraph" w:styleId="Header">
    <w:name w:val="header"/>
    <w:basedOn w:val="Normal"/>
    <w:semiHidden/>
    <w:rsid w:val="0086463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864634"/>
    <w:rPr>
      <w:rFonts w:ascii="Times New Roman" w:hAnsi="Times New Roman"/>
      <w:color w:val="auto"/>
      <w:sz w:val="20"/>
      <w:szCs w:val="20"/>
      <w:u w:val="none"/>
      <w:lang w:val="fr-FR"/>
    </w:rPr>
  </w:style>
  <w:style w:type="numbering" w:customStyle="1" w:styleId="Normallist">
    <w:name w:val="Normal_list"/>
    <w:basedOn w:val="NoList"/>
    <w:semiHidden/>
    <w:rsid w:val="00864634"/>
    <w:pPr>
      <w:numPr>
        <w:numId w:val="1"/>
      </w:numPr>
    </w:pPr>
  </w:style>
  <w:style w:type="paragraph" w:customStyle="1" w:styleId="NormalNonumber">
    <w:name w:val="Normal_No_number"/>
    <w:basedOn w:val="Normalpool"/>
    <w:rsid w:val="00864634"/>
    <w:pPr>
      <w:spacing w:after="120"/>
      <w:ind w:left="1247"/>
    </w:pPr>
  </w:style>
  <w:style w:type="paragraph" w:customStyle="1" w:styleId="Normalnumber">
    <w:name w:val="Normal_number"/>
    <w:basedOn w:val="Normalpool"/>
    <w:rsid w:val="00864634"/>
    <w:pPr>
      <w:numPr>
        <w:numId w:val="19"/>
      </w:numPr>
      <w:spacing w:after="120"/>
    </w:pPr>
  </w:style>
  <w:style w:type="paragraph" w:customStyle="1" w:styleId="Titletable">
    <w:name w:val="Title_table"/>
    <w:basedOn w:val="Normalpool"/>
    <w:rsid w:val="00864634"/>
    <w:pPr>
      <w:keepNext/>
      <w:keepLines/>
      <w:suppressAutoHyphens/>
      <w:spacing w:after="60"/>
      <w:ind w:left="1247"/>
    </w:pPr>
    <w:rPr>
      <w:b/>
      <w:bCs/>
    </w:rPr>
  </w:style>
  <w:style w:type="paragraph" w:styleId="TOC1">
    <w:name w:val="toc 1"/>
    <w:basedOn w:val="Normalpool"/>
    <w:next w:val="Normalpool"/>
    <w:rsid w:val="00864634"/>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864634"/>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864634"/>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864634"/>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864634"/>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864634"/>
    <w:rPr>
      <w:b/>
      <w:bCs/>
      <w:sz w:val="28"/>
      <w:szCs w:val="22"/>
    </w:rPr>
  </w:style>
  <w:style w:type="paragraph" w:customStyle="1" w:styleId="ZZAnxtitle">
    <w:name w:val="ZZ_Anx_title"/>
    <w:basedOn w:val="Normalpool"/>
    <w:rsid w:val="00864634"/>
    <w:pPr>
      <w:spacing w:before="360" w:after="120"/>
      <w:ind w:left="1247"/>
    </w:pPr>
    <w:rPr>
      <w:b/>
      <w:bCs/>
      <w:sz w:val="28"/>
      <w:szCs w:val="26"/>
    </w:rPr>
  </w:style>
  <w:style w:type="character" w:styleId="CommentReference">
    <w:name w:val="annotation reference"/>
    <w:basedOn w:val="DefaultParagraphFont"/>
    <w:rsid w:val="001379D4"/>
    <w:rPr>
      <w:sz w:val="16"/>
      <w:szCs w:val="16"/>
    </w:rPr>
  </w:style>
  <w:style w:type="paragraph" w:styleId="CommentText">
    <w:name w:val="annotation text"/>
    <w:basedOn w:val="Normal"/>
    <w:link w:val="CommentTextChar"/>
    <w:rsid w:val="001379D4"/>
  </w:style>
  <w:style w:type="character" w:customStyle="1" w:styleId="CommentTextChar">
    <w:name w:val="Comment Text Char"/>
    <w:basedOn w:val="DefaultParagraphFont"/>
    <w:link w:val="CommentText"/>
    <w:rsid w:val="001379D4"/>
    <w:rPr>
      <w:lang w:val="fr-FR" w:eastAsia="en-US"/>
    </w:rPr>
  </w:style>
  <w:style w:type="paragraph" w:styleId="CommentSubject">
    <w:name w:val="annotation subject"/>
    <w:basedOn w:val="CommentText"/>
    <w:next w:val="CommentText"/>
    <w:link w:val="CommentSubjectChar"/>
    <w:rsid w:val="001379D4"/>
    <w:rPr>
      <w:b/>
      <w:bCs/>
    </w:rPr>
  </w:style>
  <w:style w:type="character" w:customStyle="1" w:styleId="CommentSubjectChar">
    <w:name w:val="Comment Subject Char"/>
    <w:basedOn w:val="CommentTextChar"/>
    <w:link w:val="CommentSubject"/>
    <w:rsid w:val="001379D4"/>
    <w:rPr>
      <w:b/>
      <w:bCs/>
      <w:lang w:val="fr-FR" w:eastAsia="en-US"/>
    </w:rPr>
  </w:style>
  <w:style w:type="paragraph" w:styleId="Revision">
    <w:name w:val="Revision"/>
    <w:hidden/>
    <w:uiPriority w:val="99"/>
    <w:semiHidden/>
    <w:rsid w:val="00A47F94"/>
    <w:rPr>
      <w:lang w:val="fr-FR" w:eastAsia="en-US"/>
    </w:rPr>
  </w:style>
  <w:style w:type="character" w:customStyle="1" w:styleId="Normal-poolChar1">
    <w:name w:val="Normal-pool Char1"/>
    <w:link w:val="Normal-pool"/>
    <w:locked/>
    <w:rsid w:val="00267E79"/>
    <w:rPr>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49DCCFF06D044688251B3E010FA2BB" ma:contentTypeVersion="11" ma:contentTypeDescription="Create a new document." ma:contentTypeScope="" ma:versionID="b6f641573d54f8d8378caecf1fa365de">
  <xsd:schema xmlns:xsd="http://www.w3.org/2001/XMLSchema" xmlns:xs="http://www.w3.org/2001/XMLSchema" xmlns:p="http://schemas.microsoft.com/office/2006/metadata/properties" xmlns:ns2="786100a8-bbaa-48b6-aa10-6d2082f346b4" xmlns:ns3="25a4600d-fc45-4aed-ad1e-9b44b590e5cc" targetNamespace="http://schemas.microsoft.com/office/2006/metadata/properties" ma:root="true" ma:fieldsID="889ed279879ba929ffe081c12af4a8a5" ns2:_="" ns3:_="">
    <xsd:import namespace="786100a8-bbaa-48b6-aa10-6d2082f346b4"/>
    <xsd:import namespace="25a4600d-fc45-4aed-ad1e-9b44b590e5c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6100a8-bbaa-48b6-aa10-6d2082f3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4600d-fc45-4aed-ad1e-9b44b590e5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E59B-24FA-4D2A-9378-0FA78AC52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6100a8-bbaa-48b6-aa10-6d2082f346b4"/>
    <ds:schemaRef ds:uri="25a4600d-fc45-4aed-ad1e-9b44b590e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3F0725-4CF8-480E-9EF6-090C2BB48752}">
  <ds:schemaRefs>
    <ds:schemaRef ds:uri="http://schemas.microsoft.com/sharepoint/v3/contenttype/forms"/>
  </ds:schemaRefs>
</ds:datastoreItem>
</file>

<file path=customXml/itemProps3.xml><?xml version="1.0" encoding="utf-8"?>
<ds:datastoreItem xmlns:ds="http://schemas.openxmlformats.org/officeDocument/2006/customXml" ds:itemID="{09D20FC3-4740-43EB-A8D5-D55D776EF5D6}">
  <ds:schemaRefs>
    <ds:schemaRef ds:uri="25a4600d-fc45-4aed-ad1e-9b44b590e5c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86100a8-bbaa-48b6-aa10-6d2082f346b4"/>
    <ds:schemaRef ds:uri="http://www.w3.org/XML/1998/namespace"/>
    <ds:schemaRef ds:uri="http://purl.org/dc/dcmitype/"/>
  </ds:schemaRefs>
</ds:datastoreItem>
</file>

<file path=customXml/itemProps4.xml><?xml version="1.0" encoding="utf-8"?>
<ds:datastoreItem xmlns:ds="http://schemas.openxmlformats.org/officeDocument/2006/customXml" ds:itemID="{E766B84F-F5F5-435E-BAF2-2A3789F34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3517</Words>
  <Characters>19346</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Esther Nzigiye</cp:lastModifiedBy>
  <cp:revision>2</cp:revision>
  <cp:lastPrinted>2010-07-07T11:56:00Z</cp:lastPrinted>
  <dcterms:created xsi:type="dcterms:W3CDTF">2020-12-29T12:18:00Z</dcterms:created>
  <dcterms:modified xsi:type="dcterms:W3CDTF">2020-12-29T12:18:00Z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0x0101001C49DCCFF06D044688251B3E010FA2BB</vt:lpwstr>
  </property>
  <property fmtid="{D5CDD505-2E9C-101B-9397-08002B2CF9AE}" pid="3" name="TranslatedWith">
    <vt:lpwstr>Mercury</vt:lpwstr>
  </property>
  <property fmtid="{D5CDD505-2E9C-101B-9397-08002B2CF9AE}" pid="4" name="GeneratedBy">
    <vt:lpwstr>diane.belud</vt:lpwstr>
  </property>
  <property fmtid="{D5CDD505-2E9C-101B-9397-08002B2CF9AE}" pid="5" name="GeneratedDate">
    <vt:lpwstr>12/12/2020 16:57:58</vt:lpwstr>
  </property>
  <property fmtid="{D5CDD505-2E9C-101B-9397-08002B2CF9AE}" pid="6" name="OriginalDocID">
    <vt:lpwstr>a8b058db-c288-4c93-8ab7-3939705765ea</vt:lpwstr>
  </property>
</Properties>
</file>