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295"/>
        <w:gridCol w:w="3108"/>
      </w:tblGrid>
      <w:tr w:rsidR="00455F0E" w14:paraId="0E9F84D5" w14:textId="77777777" w:rsidTr="00B251E1">
        <w:trPr>
          <w:cantSplit/>
          <w:jc w:val="center"/>
        </w:trPr>
        <w:tc>
          <w:tcPr>
            <w:tcW w:w="653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20A43F2" w14:textId="77777777" w:rsidR="00455F0E" w:rsidRDefault="00455F0E">
            <w:pPr>
              <w:rPr>
                <w:rFonts w:ascii="Arial" w:eastAsia="Times New Roman" w:hAnsi="Arial" w:cs="Arial"/>
                <w:b/>
                <w:sz w:val="27"/>
                <w:szCs w:val="27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EDD937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656F6CD6" w14:textId="77777777" w:rsidR="00455F0E" w:rsidRDefault="00455F0E">
            <w:pPr>
              <w:rPr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EAF2C73" w14:textId="77777777" w:rsidR="00455F0E" w:rsidRDefault="00455F0E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14:paraId="21492866" w14:textId="2D83E273" w:rsidR="00455F0E" w:rsidRPr="00B02FDB" w:rsidRDefault="00455F0E">
            <w:pPr>
              <w:rPr>
                <w:b/>
                <w:sz w:val="22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EA.</w:t>
            </w:r>
            <w:r w:rsidR="003908C6">
              <w:rPr>
                <w:lang w:val="en-US"/>
              </w:rPr>
              <w:t>5</w:t>
            </w:r>
            <w:proofErr w:type="spellEnd"/>
            <w:r>
              <w:rPr>
                <w:lang w:val="en-US"/>
              </w:rPr>
              <w:t>/</w:t>
            </w:r>
            <w:r w:rsidR="00D0004F">
              <w:rPr>
                <w:lang w:val="en-US"/>
              </w:rPr>
              <w:t>1</w:t>
            </w:r>
            <w:r w:rsidR="00B02FDB">
              <w:t>0</w:t>
            </w:r>
          </w:p>
        </w:tc>
      </w:tr>
      <w:tr w:rsidR="00455F0E" w14:paraId="7E929D76" w14:textId="77777777" w:rsidTr="00B251E1">
        <w:trPr>
          <w:cantSplit/>
          <w:trHeight w:val="20"/>
          <w:jc w:val="center"/>
        </w:trPr>
        <w:tc>
          <w:tcPr>
            <w:tcW w:w="1241" w:type="dxa"/>
            <w:tcBorders>
              <w:top w:val="single" w:sz="2" w:space="0" w:color="auto"/>
            </w:tcBorders>
          </w:tcPr>
          <w:p w14:paraId="18B7A690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</w:tcBorders>
          </w:tcPr>
          <w:p w14:paraId="587DAB37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nil"/>
            </w:tcBorders>
          </w:tcPr>
          <w:p w14:paraId="681E5311" w14:textId="77777777" w:rsidR="00455F0E" w:rsidRDefault="00455F0E">
            <w:pPr>
              <w:rPr>
                <w:lang w:val="en-US"/>
              </w:rPr>
            </w:pPr>
          </w:p>
          <w:p w14:paraId="6E659734" w14:textId="64530732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22F56">
              <w:rPr>
                <w:lang w:val="en-US"/>
              </w:rPr>
              <w:t>General</w:t>
            </w:r>
          </w:p>
          <w:p w14:paraId="4A669289" w14:textId="08A18978" w:rsidR="00455F0E" w:rsidRDefault="003908C6">
            <w:pPr>
              <w:rPr>
                <w:lang w:val="en-US"/>
              </w:rPr>
            </w:pPr>
            <w:r>
              <w:t>1</w:t>
            </w:r>
            <w:r w:rsidR="00B02FDB">
              <w:t>6</w:t>
            </w:r>
            <w:r w:rsidR="00455F0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="00455F0E">
              <w:rPr>
                <w:lang w:val="en-US"/>
              </w:rPr>
              <w:t xml:space="preserve"> 20</w:t>
            </w:r>
            <w:r>
              <w:rPr>
                <w:lang w:val="en-US"/>
              </w:rPr>
              <w:t>20</w:t>
            </w:r>
          </w:p>
          <w:p w14:paraId="5C107A4B" w14:textId="77777777" w:rsidR="00455F0E" w:rsidRDefault="00455F0E">
            <w:pPr>
              <w:rPr>
                <w:lang w:val="en-US"/>
              </w:rPr>
            </w:pPr>
          </w:p>
          <w:p w14:paraId="7F3077FE" w14:textId="77777777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17848EF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455F0E" w:rsidRPr="00941C5F" w14:paraId="395D44DF" w14:textId="77777777" w:rsidTr="00455F0E">
        <w:trPr>
          <w:cantSplit/>
          <w:jc w:val="center"/>
        </w:trPr>
        <w:tc>
          <w:tcPr>
            <w:tcW w:w="1241" w:type="dxa"/>
            <w:hideMark/>
          </w:tcPr>
          <w:p w14:paraId="59AFB140" w14:textId="77777777" w:rsidR="00455F0E" w:rsidRDefault="00455F0E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C349E1" wp14:editId="5AF5FB27">
                  <wp:extent cx="650240" cy="554990"/>
                  <wp:effectExtent l="0" t="0" r="0" b="0"/>
                  <wp:docPr id="1" name="Picture 1" descr="Description: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42FD385" w14:textId="77777777" w:rsidR="00455F0E" w:rsidRDefault="00455F0E">
            <w:pPr>
              <w:rPr>
                <w:rFonts w:ascii="Arial" w:hAnsi="Arial" w:cs="Arial"/>
                <w:b/>
                <w:sz w:val="22"/>
                <w:lang w:val="en-US"/>
              </w:rPr>
            </w:pPr>
          </w:p>
          <w:p w14:paraId="79D26509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177B14AA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67D4841D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5EDD3BE1" w14:textId="77777777" w:rsidR="00455F0E" w:rsidRDefault="00455F0E" w:rsidP="00B251E1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84EFD6E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tr w:rsidR="00455F0E" w:rsidRPr="00941C5F" w14:paraId="0ABD3407" w14:textId="77777777" w:rsidTr="00455F0E">
        <w:trPr>
          <w:cantSplit/>
          <w:trHeight w:val="20"/>
          <w:jc w:val="center"/>
        </w:trPr>
        <w:tc>
          <w:tcPr>
            <w:tcW w:w="1241" w:type="dxa"/>
          </w:tcPr>
          <w:p w14:paraId="4A27E5AB" w14:textId="77777777" w:rsidR="00455F0E" w:rsidRPr="00455F0E" w:rsidRDefault="00455F0E">
            <w:pPr>
              <w:rPr>
                <w:sz w:val="16"/>
                <w:szCs w:val="20"/>
                <w:lang w:val="ru-RU"/>
              </w:rPr>
            </w:pP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7A2B5F9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382BFE07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bookmarkStart w:id="0" w:name="_MON_992911701"/>
      <w:bookmarkEnd w:id="0"/>
      <w:tr w:rsidR="00455F0E" w14:paraId="12F6C859" w14:textId="77777777" w:rsidTr="00455F0E">
        <w:trPr>
          <w:cantSplit/>
          <w:trHeight w:val="962"/>
          <w:jc w:val="center"/>
        </w:trPr>
        <w:tc>
          <w:tcPr>
            <w:tcW w:w="1241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1781B016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rFonts w:eastAsia="Times New Roman"/>
                <w:sz w:val="22"/>
                <w:szCs w:val="20"/>
                <w:lang w:val="ru-RU"/>
              </w:rPr>
              <w:object w:dxaOrig="1020" w:dyaOrig="900" w14:anchorId="29B0EC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55pt;height:45.35pt" o:ole="" fillcolor="window">
                  <v:imagedata r:id="rId12" o:title="" cropbottom="13140f"/>
                </v:shape>
                <o:OLEObject Type="Embed" ProgID="Word.Picture.8" ShapeID="_x0000_i1025" DrawAspect="Content" ObjectID="_1670827579" r:id="rId13"/>
              </w:object>
            </w: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54CF0A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53B99E32" w14:textId="77777777" w:rsidR="00455F0E" w:rsidRDefault="00455F0E">
            <w:pPr>
              <w:rPr>
                <w:sz w:val="22"/>
                <w:lang w:val="en-US"/>
              </w:rPr>
            </w:pPr>
          </w:p>
        </w:tc>
      </w:tr>
    </w:tbl>
    <w:p w14:paraId="2070AC31" w14:textId="77777777" w:rsidR="00455F0E" w:rsidRDefault="00455F0E" w:rsidP="00455F0E">
      <w:pPr>
        <w:rPr>
          <w:b/>
          <w:szCs w:val="20"/>
          <w:lang w:val="ru-RU"/>
        </w:rPr>
      </w:pPr>
      <w:r w:rsidRPr="00455F0E">
        <w:rPr>
          <w:b/>
          <w:lang w:val="ru-RU"/>
        </w:rPr>
        <w:t>Ассамблея</w:t>
      </w:r>
      <w:r>
        <w:rPr>
          <w:b/>
          <w:lang w:val="ru-RU"/>
        </w:rPr>
        <w:t xml:space="preserve"> Организации Объединенных Наций</w:t>
      </w:r>
      <w:r w:rsidRPr="00455F0E">
        <w:rPr>
          <w:b/>
          <w:lang w:val="ru-RU"/>
        </w:rPr>
        <w:br/>
        <w:t>по окружаю</w:t>
      </w:r>
      <w:r>
        <w:rPr>
          <w:b/>
          <w:lang w:val="ru-RU"/>
        </w:rPr>
        <w:t>щей среде Программы Организации</w:t>
      </w:r>
      <w:r w:rsidRPr="00455F0E">
        <w:rPr>
          <w:b/>
          <w:lang w:val="ru-RU"/>
        </w:rPr>
        <w:br/>
        <w:t>Объединенных Наций по окружающей среде</w:t>
      </w:r>
    </w:p>
    <w:p w14:paraId="1D8A8D93" w14:textId="14E398BF" w:rsidR="00455F0E" w:rsidRPr="00455F0E" w:rsidRDefault="003908C6" w:rsidP="00455F0E">
      <w:pPr>
        <w:rPr>
          <w:b/>
          <w:lang w:val="ru-RU"/>
        </w:rPr>
      </w:pPr>
      <w:r>
        <w:rPr>
          <w:b/>
          <w:lang w:val="ru-RU"/>
        </w:rPr>
        <w:t>Пятая</w:t>
      </w:r>
      <w:r w:rsidR="00455F0E" w:rsidRPr="00455F0E">
        <w:rPr>
          <w:b/>
          <w:lang w:val="ru-RU"/>
        </w:rPr>
        <w:t xml:space="preserve"> сессия</w:t>
      </w:r>
    </w:p>
    <w:p w14:paraId="6765F599" w14:textId="5D2CA554" w:rsidR="00455F0E" w:rsidRPr="002B2D81" w:rsidRDefault="007F405D" w:rsidP="00720913">
      <w:r w:rsidRPr="007F4908">
        <w:rPr>
          <w:lang w:val="ru-RU"/>
        </w:rPr>
        <w:t>Найроби</w:t>
      </w:r>
      <w:r w:rsidR="002B2D81">
        <w:t xml:space="preserve"> </w:t>
      </w:r>
      <w:r w:rsidR="002B2D81" w:rsidRPr="00ED383E">
        <w:rPr>
          <w:lang w:val="ru-RU"/>
        </w:rPr>
        <w:t>(в онлайн-режиме)</w:t>
      </w:r>
      <w:r w:rsidRPr="007F4908">
        <w:rPr>
          <w:lang w:val="ru-RU"/>
        </w:rPr>
        <w:t>,</w:t>
      </w:r>
      <w:r w:rsidR="00455F0E" w:rsidRPr="00455F0E">
        <w:rPr>
          <w:lang w:val="ru-RU"/>
        </w:rPr>
        <w:t xml:space="preserve"> </w:t>
      </w:r>
      <w:r w:rsidR="003908C6">
        <w:rPr>
          <w:lang w:val="ru-RU"/>
        </w:rPr>
        <w:t>22</w:t>
      </w:r>
      <w:r w:rsidR="00455F0E" w:rsidRPr="00455F0E">
        <w:rPr>
          <w:lang w:val="ru-RU"/>
        </w:rPr>
        <w:t>-</w:t>
      </w:r>
      <w:r w:rsidR="003908C6">
        <w:rPr>
          <w:lang w:val="ru-RU"/>
        </w:rPr>
        <w:t>26</w:t>
      </w:r>
      <w:r w:rsidR="00455F0E" w:rsidRPr="00455F0E">
        <w:rPr>
          <w:lang w:val="ru-RU"/>
        </w:rPr>
        <w:t xml:space="preserve"> </w:t>
      </w:r>
      <w:r w:rsidR="003908C6">
        <w:rPr>
          <w:lang w:val="ru-RU"/>
        </w:rPr>
        <w:t>февраля</w:t>
      </w:r>
      <w:r w:rsidR="00455F0E" w:rsidRPr="00455F0E">
        <w:rPr>
          <w:lang w:val="ru-RU"/>
        </w:rPr>
        <w:t xml:space="preserve"> 20</w:t>
      </w:r>
      <w:r w:rsidR="003908C6">
        <w:rPr>
          <w:lang w:val="ru-RU"/>
        </w:rPr>
        <w:t>2</w:t>
      </w:r>
      <w:r w:rsidR="002D4584">
        <w:rPr>
          <w:lang w:val="ru-RU"/>
        </w:rPr>
        <w:t>1</w:t>
      </w:r>
      <w:r w:rsidR="00455F0E" w:rsidRPr="00455F0E">
        <w:rPr>
          <w:lang w:val="ru-RU"/>
        </w:rPr>
        <w:t xml:space="preserve"> года</w:t>
      </w:r>
      <w:r w:rsidR="002B2D81">
        <w:t>*</w:t>
      </w:r>
    </w:p>
    <w:p w14:paraId="2731E748" w14:textId="14CF7FA1" w:rsidR="007F405D" w:rsidRPr="002B2D81" w:rsidRDefault="007F405D" w:rsidP="006615BC">
      <w:pPr>
        <w:spacing w:after="60"/>
        <w:rPr>
          <w:bCs/>
        </w:rPr>
      </w:pPr>
      <w:r w:rsidRPr="007F4908">
        <w:rPr>
          <w:lang w:val="ru-RU"/>
        </w:rPr>
        <w:t>Пункт 5 предварительной повестки дня</w:t>
      </w:r>
      <w:r w:rsidRPr="007F4908">
        <w:rPr>
          <w:bCs/>
          <w:lang w:val="ru-RU"/>
        </w:rPr>
        <w:footnoteReference w:customMarkFollows="1" w:id="1"/>
        <w:t>*</w:t>
      </w:r>
      <w:r w:rsidR="002B2D81">
        <w:rPr>
          <w:bCs/>
        </w:rPr>
        <w:t>*</w:t>
      </w:r>
    </w:p>
    <w:p w14:paraId="47ADF955" w14:textId="23D0F0E1" w:rsidR="007F405D" w:rsidRPr="006615BC" w:rsidRDefault="007F405D" w:rsidP="00BC399F">
      <w:pPr>
        <w:spacing w:after="120"/>
        <w:ind w:right="1701"/>
        <w:rPr>
          <w:b/>
          <w:lang w:val="ru-RU"/>
        </w:rPr>
      </w:pPr>
      <w:r w:rsidRPr="006615BC">
        <w:rPr>
          <w:b/>
          <w:lang w:val="ru-RU"/>
        </w:rPr>
        <w:t>Вопросы международной природоохранной политики и экологического регулирования</w:t>
      </w:r>
    </w:p>
    <w:p w14:paraId="5FD548C4" w14:textId="77777777" w:rsidR="00BC399F" w:rsidRPr="00BC399F" w:rsidRDefault="00BC399F" w:rsidP="00BC399F">
      <w:pPr>
        <w:spacing w:before="320" w:after="240"/>
        <w:ind w:left="1247" w:right="567"/>
        <w:rPr>
          <w:rFonts w:eastAsia="Times New Roman"/>
          <w:b/>
          <w:bCs/>
          <w:sz w:val="28"/>
          <w:szCs w:val="28"/>
          <w:lang w:val="ru-RU"/>
        </w:rPr>
      </w:pPr>
      <w:r w:rsidRPr="00BC399F">
        <w:rPr>
          <w:rFonts w:eastAsia="Times New Roman"/>
          <w:b/>
          <w:bCs/>
          <w:sz w:val="28"/>
          <w:szCs w:val="28"/>
          <w:lang w:val="ru-RU"/>
        </w:rPr>
        <w:t>Ход осуществления резолюции 4/10 об инновациях в сфере биоразнообразия и деградации земель</w:t>
      </w:r>
    </w:p>
    <w:p w14:paraId="14557C65" w14:textId="463CBD46" w:rsidR="00BC399F" w:rsidRPr="00BC399F" w:rsidRDefault="00BC399F" w:rsidP="00BC399F">
      <w:pPr>
        <w:spacing w:after="120"/>
        <w:ind w:left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Доклад Директора-исполнителя</w:t>
      </w:r>
    </w:p>
    <w:p w14:paraId="2E91E577" w14:textId="233604FE" w:rsidR="00BC399F" w:rsidRPr="00BC399F" w:rsidRDefault="00BC399F" w:rsidP="00BC399F">
      <w:pPr>
        <w:spacing w:after="120"/>
        <w:ind w:left="1247"/>
        <w:rPr>
          <w:b/>
          <w:bCs/>
          <w:sz w:val="28"/>
          <w:szCs w:val="28"/>
          <w:lang w:val="ru-RU"/>
        </w:rPr>
      </w:pPr>
      <w:r w:rsidRPr="00BC399F">
        <w:rPr>
          <w:rFonts w:eastAsia="Times New Roman"/>
          <w:b/>
          <w:bCs/>
          <w:sz w:val="28"/>
          <w:szCs w:val="28"/>
          <w:lang w:val="ru-RU"/>
        </w:rPr>
        <w:tab/>
        <w:t>Введение</w:t>
      </w:r>
    </w:p>
    <w:p w14:paraId="2E1CD79B" w14:textId="75BCD585" w:rsidR="00BC399F" w:rsidRPr="00BC399F" w:rsidRDefault="00FF2DE8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В своей резолюции 4/10 об инновациях в сфере биоразнообразия и деградации земель Ассамблея Организации Объединенных Наций по окружающей среде Программы Организации Объединенных Наций по окружающей среде (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) поручила Директору-исполнителю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, в частности, оказывать государствам-членам поддержку в деле разработки и достижения добровольных целевых показателей </w:t>
      </w:r>
      <w:proofErr w:type="spellStart"/>
      <w:r w:rsidR="00BC399F" w:rsidRPr="00BC399F">
        <w:rPr>
          <w:rFonts w:eastAsia="Times New Roman"/>
          <w:szCs w:val="20"/>
          <w:lang w:val="ru-RU"/>
        </w:rPr>
        <w:t>неухудшения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состояния земель, включая определение национальных исходных показателей, целевых показателей и соответствующих мер по обеспечению нейтрального баланса деградации земель к 2030 году. Она также поручила Директору-исполнителю оказывать государствам-членам поддержку при разработке национальной политики и мер по восстановлению, сохранению и рациональному использованию биологического разнообразия и укреплению устойчивости экосистем и экосистемных функций и услуг в охраняемых районах и за их пределами в поддержку соответствующих </w:t>
      </w:r>
      <w:proofErr w:type="spellStart"/>
      <w:r w:rsidR="00BC399F" w:rsidRPr="00BC399F">
        <w:rPr>
          <w:rFonts w:eastAsia="Times New Roman"/>
          <w:szCs w:val="20"/>
          <w:lang w:val="ru-RU"/>
        </w:rPr>
        <w:t>Айтинских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задач в области биоразнообразия.</w:t>
      </w:r>
    </w:p>
    <w:p w14:paraId="238812D4" w14:textId="394B971B" w:rsidR="00BC399F" w:rsidRPr="00BC399F" w:rsidRDefault="00FF2DE8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2.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В резолюции 4/10 в ответ на предложение, содержащееся в резолюции 73/284 Генеральной Ассамблеи, Ассамблея по окружающей среде поручила далее Директору</w:t>
      </w:r>
      <w:r>
        <w:rPr>
          <w:rFonts w:eastAsia="Times New Roman"/>
          <w:szCs w:val="20"/>
          <w:lang w:val="ru-RU"/>
        </w:rPr>
        <w:noBreakHyphen/>
      </w:r>
      <w:r w:rsidR="00BC399F" w:rsidRPr="00BC399F">
        <w:rPr>
          <w:rFonts w:eastAsia="Times New Roman"/>
          <w:szCs w:val="20"/>
          <w:lang w:val="ru-RU"/>
        </w:rPr>
        <w:t>исполнителю совместно с Продовольственной и сельскохозяйственной организацией Объединенных Наций (ФАО) и в сотрудничестве с секретариатами Рио</w:t>
      </w:r>
      <w:r w:rsidR="00E67AA8">
        <w:rPr>
          <w:rFonts w:eastAsia="Times New Roman"/>
          <w:szCs w:val="20"/>
          <w:lang w:val="ru-RU"/>
        </w:rPr>
        <w:noBreakHyphen/>
      </w:r>
      <w:r w:rsidR="00BC399F" w:rsidRPr="00BC399F">
        <w:rPr>
          <w:rFonts w:eastAsia="Times New Roman"/>
          <w:szCs w:val="20"/>
          <w:lang w:val="ru-RU"/>
        </w:rPr>
        <w:t>де</w:t>
      </w:r>
      <w:r w:rsidR="00E67AA8">
        <w:rPr>
          <w:rFonts w:eastAsia="Times New Roman"/>
          <w:szCs w:val="20"/>
          <w:lang w:val="ru-RU"/>
        </w:rPr>
        <w:noBreakHyphen/>
      </w:r>
      <w:proofErr w:type="spellStart"/>
      <w:r w:rsidR="00BC399F" w:rsidRPr="00BC399F">
        <w:rPr>
          <w:rFonts w:eastAsia="Times New Roman"/>
          <w:szCs w:val="20"/>
          <w:lang w:val="ru-RU"/>
        </w:rPr>
        <w:t>Жанейрских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конвенций и другими соответствующими многосторонними природоохранными соглашениями и структурами системы Организации Объединенных Наций взять на себя руководство проведением Десятилетия Организации Объединенных Наций по </w:t>
      </w:r>
      <w:r w:rsidR="00BC399F" w:rsidRPr="00BC399F">
        <w:rPr>
          <w:rFonts w:eastAsia="Times New Roman"/>
          <w:szCs w:val="20"/>
          <w:lang w:val="ru-RU"/>
        </w:rPr>
        <w:lastRenderedPageBreak/>
        <w:t>восстановлению экосистем (2021-2030 годы). Кроме того, она поручила Директору</w:t>
      </w:r>
      <w:r w:rsidR="00947092">
        <w:rPr>
          <w:rFonts w:eastAsia="Times New Roman"/>
          <w:szCs w:val="20"/>
          <w:lang w:val="ru-RU"/>
        </w:rPr>
        <w:noBreakHyphen/>
      </w:r>
      <w:r w:rsidR="00BC399F" w:rsidRPr="00BC399F">
        <w:rPr>
          <w:rFonts w:eastAsia="Times New Roman"/>
          <w:szCs w:val="20"/>
          <w:lang w:val="ru-RU"/>
        </w:rPr>
        <w:t>исполнителю оказывать поддержку и содействовать осуществлению инициативы правительства Египта по обеспечению согласованного подхода к борьбе с утратой биоразнообразия, изменением климата и деградацией земель и экосистем в соответствии с решением 14/30 Конвенции о биологическом разнообразии, касающ</w:t>
      </w:r>
      <w:r w:rsidR="00947092">
        <w:rPr>
          <w:rFonts w:eastAsia="Times New Roman"/>
          <w:szCs w:val="20"/>
          <w:lang w:val="ru-RU"/>
        </w:rPr>
        <w:t>и</w:t>
      </w:r>
      <w:r w:rsidR="00BC399F" w:rsidRPr="00BC399F">
        <w:rPr>
          <w:rFonts w:eastAsia="Times New Roman"/>
          <w:szCs w:val="20"/>
          <w:lang w:val="ru-RU"/>
        </w:rPr>
        <w:t>мся сотрудничества с другими конвенциями, международными организациями и инициативами. Она также призвала Директора-исполнителя в тесном сотрудничестве с секретариатом Конвенции о биологическом разнообразии вносить вклад в подготовку политического форума высокого уровня по устойчивому развитию, который будет проводиться Генеральной Ассамблеей на уровне глав государств и правительств.</w:t>
      </w:r>
    </w:p>
    <w:p w14:paraId="3647075D" w14:textId="37B04DCC" w:rsidR="00BC399F" w:rsidRPr="00BC399F" w:rsidRDefault="00FF2DE8" w:rsidP="00FF2DE8">
      <w:pPr>
        <w:spacing w:after="24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3.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Совместные действия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в рамках программы работы по выполнению вышеуказанных поручений, а также по восстановлению, сохранению и рациональному использованию биоразнообразия и укреплению устойчивости экосистем были сосредоточены на следующих областях: продвижение глобальной повестки дня в области биоразнообразия, в том числе путем оказания поддержки Саммиту Организации Объединенных Наций по биоразнообразию; содействие сосуществованию человека и дикой природы; расширение инновационного финансирования восстановления и экосистемных подходов; и интеграция приоритетов в области биоразнообразия, деградации земель и опустынивания в сочетании с оказанием поддержки Десятилетию Организации Объединенных Наций по восстановлению экосистем.</w:t>
      </w:r>
    </w:p>
    <w:p w14:paraId="5DF2450A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8"/>
          <w:szCs w:val="28"/>
          <w:lang w:val="ru-RU"/>
        </w:rPr>
      </w:pPr>
      <w:r w:rsidRPr="00BC399F">
        <w:rPr>
          <w:rFonts w:eastAsia="Times New Roman"/>
          <w:b/>
          <w:bCs/>
          <w:sz w:val="28"/>
          <w:szCs w:val="28"/>
          <w:lang w:val="ru-RU"/>
        </w:rPr>
        <w:tab/>
        <w:t>I.</w:t>
      </w:r>
      <w:r w:rsidRPr="00BC399F">
        <w:rPr>
          <w:rFonts w:eastAsia="Times New Roman"/>
          <w:b/>
          <w:bCs/>
          <w:sz w:val="28"/>
          <w:szCs w:val="28"/>
          <w:lang w:val="ru-RU"/>
        </w:rPr>
        <w:tab/>
        <w:t xml:space="preserve">Ход осуществления резолюции 4/10 </w:t>
      </w:r>
    </w:p>
    <w:p w14:paraId="324F6AB3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A.</w:t>
      </w: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Продвижение глобальной повестки дня в области биоразнообразия</w:t>
      </w:r>
    </w:p>
    <w:p w14:paraId="2BBD153E" w14:textId="101756B2" w:rsidR="00BC399F" w:rsidRPr="00BC399F" w:rsidRDefault="00FF2DE8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4.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При финансовой поддержке Глобального экологического фонда (</w:t>
      </w:r>
      <w:proofErr w:type="spellStart"/>
      <w:r w:rsidR="00BC399F" w:rsidRPr="00BC399F">
        <w:rPr>
          <w:rFonts w:eastAsia="Times New Roman"/>
          <w:szCs w:val="20"/>
          <w:lang w:val="ru-RU"/>
        </w:rPr>
        <w:t>ГЭФ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)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и Программа развития Организации Объединенных Наций (</w:t>
      </w:r>
      <w:proofErr w:type="spellStart"/>
      <w:r w:rsidR="00BC399F" w:rsidRPr="00BC399F">
        <w:rPr>
          <w:rFonts w:eastAsia="Times New Roman"/>
          <w:szCs w:val="20"/>
          <w:lang w:val="ru-RU"/>
        </w:rPr>
        <w:t>ПРООН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) оказали техническую помощь 137 государствам-членам, в результате чего были представлены шестые национальные доклады по биоразнообразию, в которых содержится информация о ходе выполнения </w:t>
      </w:r>
      <w:proofErr w:type="spellStart"/>
      <w:r w:rsidR="00BC399F" w:rsidRPr="00BC399F">
        <w:rPr>
          <w:rFonts w:eastAsia="Times New Roman"/>
          <w:szCs w:val="20"/>
          <w:lang w:val="ru-RU"/>
        </w:rPr>
        <w:t>Айтинских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задач в области биоразнообразия. По сравнению с пятыми национальными докладами было зафиксировано в среднем более последовательное и точное использование показателей биоразнообразия, а также включение двойного или тройного объема пространственных данных для улучшения анализа и использования данных в процессе принятия решений.</w:t>
      </w:r>
    </w:p>
    <w:p w14:paraId="0FE4B88E" w14:textId="72C71EEB" w:rsidR="00BC399F" w:rsidRPr="00BC399F" w:rsidRDefault="00FF2DE8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5.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оказала секретариату Конвенции о биологическом разнообразии поддержку в достижении прогресса в реализации системы глобальных мероприятий в сфере биоразнообразия на период после 2020 года, несмотря на значительные проблемы, связанные с пандемией </w:t>
      </w:r>
      <w:proofErr w:type="spellStart"/>
      <w:r w:rsidR="00BC399F" w:rsidRPr="00BC399F">
        <w:rPr>
          <w:rFonts w:eastAsia="Times New Roman"/>
          <w:szCs w:val="20"/>
          <w:lang w:val="ru-RU"/>
        </w:rPr>
        <w:t>коронавирусной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инфекции (</w:t>
      </w:r>
      <w:proofErr w:type="spellStart"/>
      <w:r w:rsidR="00BC399F" w:rsidRPr="00BC399F">
        <w:rPr>
          <w:rFonts w:eastAsia="Times New Roman"/>
          <w:szCs w:val="20"/>
          <w:lang w:val="ru-RU"/>
        </w:rPr>
        <w:t>COVID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-19). По приглашению государств-членов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содействовала проведению национальных диалогов в целях углубления понимания этой системы.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, Всемирный центр мониторинга природоохраны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и </w:t>
      </w:r>
      <w:proofErr w:type="spellStart"/>
      <w:r w:rsidR="00BC399F" w:rsidRPr="00BC399F">
        <w:rPr>
          <w:rFonts w:eastAsia="Times New Roman"/>
          <w:szCs w:val="20"/>
          <w:lang w:val="ru-RU"/>
        </w:rPr>
        <w:t>ПРООН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также разработали для Вспомогательного органа по осуществлению Конвенции о биологическом разнообразии документ, содержащий информацию о поддержке, оказываемой Организацией Объединенных Наций в деле реализации этой системы в будущем. Всемирный центр мониторинга природоохраны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оказал Конвенции о биологическом разнообразии поддержку в обработке откликов коллег по обзору предлагаемой системы мониторинга для системы глобальных мероприятий в сфере биоразнообразия на период после 2020 года и в оценке осуществимости предложенных показателей.</w:t>
      </w:r>
    </w:p>
    <w:p w14:paraId="5488C892" w14:textId="1E23C805" w:rsidR="00BC399F" w:rsidRPr="00BC399F" w:rsidRDefault="00FF2DE8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6.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оказала поддержку проведению Саммита Организации Объединенных Наций по биоразнообразию, который состоялся в сентябре 2020 года в кулуарах общих прений на семьдесят пятой сессии Генеральной Ассамблеи. В результате этого, в частности, 70</w:t>
      </w:r>
      <w:r w:rsidR="0089313B">
        <w:rPr>
          <w:rFonts w:eastAsia="Times New Roman"/>
          <w:szCs w:val="20"/>
        </w:rPr>
        <w:t> </w:t>
      </w:r>
      <w:r w:rsidR="00BC399F" w:rsidRPr="00BC399F">
        <w:rPr>
          <w:rFonts w:eastAsia="Times New Roman"/>
          <w:szCs w:val="20"/>
          <w:lang w:val="ru-RU"/>
        </w:rPr>
        <w:t>государств-членов подписали «Обязательство лидеров в защиту природы», направленное на активизацию действий по устранению факторов, способствующих утрате биоразнообразия.</w:t>
      </w:r>
    </w:p>
    <w:p w14:paraId="1E837098" w14:textId="4CABF835" w:rsidR="00BC399F" w:rsidRPr="00BC399F" w:rsidRDefault="0089313B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7.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продолжала тесно сотрудничать с другими органами Организации Объединенных Наций, государствами-членами и партнерами в целях достижения синергического эффекта в рамках многосторонних природоохранных соглашений. При поддержке правительства Швейцарии, которое выступило в качестве принимающей стороны,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содействовала проведению технических семинаров-практикумов в рамках многосторонних природоохранных соглашений по вопросам биоразнообразия, химических веществ и отходов и Рио-де-</w:t>
      </w:r>
      <w:proofErr w:type="spellStart"/>
      <w:r w:rsidR="00BC399F" w:rsidRPr="00BC399F">
        <w:rPr>
          <w:rFonts w:eastAsia="Times New Roman"/>
          <w:szCs w:val="20"/>
          <w:lang w:val="ru-RU"/>
        </w:rPr>
        <w:t>Жанейрских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конвенций для определения конкретных элементов, которые могут быть включены в целях совершенствования системы глобальных мероприятий в сфере биоразнообразия на период после 2020 года, а также интеграции элементов </w:t>
      </w:r>
      <w:r w:rsidR="00BC399F" w:rsidRPr="00BC399F">
        <w:rPr>
          <w:rFonts w:eastAsia="Times New Roman"/>
          <w:szCs w:val="20"/>
          <w:lang w:val="ru-RU"/>
        </w:rPr>
        <w:lastRenderedPageBreak/>
        <w:t>биоразнообразия в другие конвенции. Кроме того, были определены меры по улучшению координации мониторинга и обзора осуществления.</w:t>
      </w:r>
    </w:p>
    <w:p w14:paraId="33832BBF" w14:textId="7B8EDDEE" w:rsidR="00BC399F" w:rsidRPr="00BC399F" w:rsidRDefault="0089313B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8.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При поддержке правительства Швейцарии и Европейского союза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разработала инструмент представления данных для многосторонних природоохранных соглашений. Он обеспечивает сторонам индивидуальные и защищенные национальные рабочие зоны для эффективного обмена данными и выявления синер</w:t>
      </w:r>
      <w:r w:rsidR="00290165">
        <w:rPr>
          <w:rFonts w:eastAsia="Times New Roman"/>
          <w:szCs w:val="20"/>
          <w:lang w:val="ru-RU"/>
        </w:rPr>
        <w:t>г</w:t>
      </w:r>
      <w:r w:rsidR="00BC399F" w:rsidRPr="00BC399F">
        <w:rPr>
          <w:rFonts w:eastAsia="Times New Roman"/>
          <w:szCs w:val="20"/>
          <w:lang w:val="ru-RU"/>
        </w:rPr>
        <w:t>ических связей в области мониторинга и отчетности для представления национальной отчетности по всем конвенциям, связанным с биоразнообразием.</w:t>
      </w:r>
    </w:p>
    <w:p w14:paraId="4A31FE86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B.</w:t>
      </w: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Содействие сосуществованию человека и дикой природы</w:t>
      </w:r>
    </w:p>
    <w:p w14:paraId="7AFE4719" w14:textId="6DC62761" w:rsidR="00BC399F" w:rsidRPr="00BC399F" w:rsidRDefault="0089313B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9.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В июне 2019 года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совместно с правительством Зимбабве и Африканским союзом выступила принимающей стороной первой Африканской встречи на высшем уровне по экономике дикой природы. Встреча на высшем уровне, в которой приняли участие </w:t>
      </w:r>
      <w:r w:rsidR="00290165">
        <w:rPr>
          <w:rFonts w:eastAsia="Times New Roman"/>
          <w:szCs w:val="20"/>
        </w:rPr>
        <w:t>5</w:t>
      </w:r>
      <w:r w:rsidR="00BC399F" w:rsidRPr="00BC399F">
        <w:rPr>
          <w:rFonts w:eastAsia="Times New Roman"/>
          <w:szCs w:val="20"/>
          <w:lang w:val="ru-RU"/>
        </w:rPr>
        <w:t xml:space="preserve"> глав государств, 14 министров и представители 30 стран, позволила углубить понимание действий, необходимых для преодоления препятствий на пути государственных и частных инвестиций в экономику, ориентированную на сохранение биоразнообразия. Лидеры общин из 13 стран выступили с заявлением в поддержку справедливой экономики дикой природы. Опираясь на политический импульс и технический обмен мнениями в ходе встречи на высшем уровне, на семнадцатой Конференции министров африканских стран по проблемам окружающей среды при поддержке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и Сообщества по вопросам развития стран юга Африки были проведены целенаправленные диалоги по вопросам политики в области экономики биоразнообразия в целях разработки региональной стратегии экономики биоразнообразия.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продолжала оказывать техническую помощь таким целевым государствам-членам, как Кения и Южная Африка, в целях содействия достижению целей на национальном уровне, касающихся расширения возможностей для развития справедливой экономики дикой природы.</w:t>
      </w:r>
    </w:p>
    <w:p w14:paraId="07FA83EB" w14:textId="0E915247" w:rsidR="00BC399F" w:rsidRPr="00BC399F" w:rsidRDefault="0089313B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10.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При поддержке Европейского союза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расширила работу в области экономики дикой природы и биоразнообразия и комплексного землепользования в трансграничной заповедной зоне </w:t>
      </w:r>
      <w:proofErr w:type="spellStart"/>
      <w:r w:rsidR="00BC399F" w:rsidRPr="00BC399F">
        <w:rPr>
          <w:rFonts w:eastAsia="Times New Roman"/>
          <w:szCs w:val="20"/>
          <w:lang w:val="ru-RU"/>
        </w:rPr>
        <w:t>Каванго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Замбези на юге Африки, где обита</w:t>
      </w:r>
      <w:r w:rsidR="00C123A3">
        <w:rPr>
          <w:rFonts w:eastAsia="Times New Roman"/>
          <w:szCs w:val="20"/>
          <w:lang w:val="ru-RU"/>
        </w:rPr>
        <w:t>ю</w:t>
      </w:r>
      <w:r w:rsidR="00BC399F" w:rsidRPr="00BC399F">
        <w:rPr>
          <w:rFonts w:eastAsia="Times New Roman"/>
          <w:szCs w:val="20"/>
          <w:lang w:val="ru-RU"/>
        </w:rPr>
        <w:t xml:space="preserve">т самая крупная в Африке популяция африканских слонов и значительные популяции носорогов, диких собак, львов и других находящихся под угрозой исчезновения видов, а также в трансграничной заповедной зоне Сангха </w:t>
      </w:r>
      <w:proofErr w:type="spellStart"/>
      <w:r w:rsidR="00BC399F" w:rsidRPr="00BC399F">
        <w:rPr>
          <w:rFonts w:eastAsia="Times New Roman"/>
          <w:szCs w:val="20"/>
          <w:lang w:val="ru-RU"/>
        </w:rPr>
        <w:t>Тринасиональ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в бассейне реки Конго, где обитают важнейшие популяции лесных слонов и человекообразных приматов. В трансграничной заповедной зоне </w:t>
      </w:r>
      <w:proofErr w:type="spellStart"/>
      <w:r w:rsidR="00BC399F" w:rsidRPr="00BC399F">
        <w:rPr>
          <w:rFonts w:eastAsia="Times New Roman"/>
          <w:szCs w:val="20"/>
          <w:lang w:val="ru-RU"/>
        </w:rPr>
        <w:t>Каванго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Замбези была разработана динамическая </w:t>
      </w:r>
      <w:proofErr w:type="spellStart"/>
      <w:r w:rsidR="00BC399F" w:rsidRPr="00BC399F">
        <w:rPr>
          <w:rFonts w:eastAsia="Times New Roman"/>
          <w:szCs w:val="20"/>
          <w:lang w:val="ru-RU"/>
        </w:rPr>
        <w:t>межсекторальная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модель природных и антропогенных процессов, основанная на знаниях местных заинтересованных сторон. Эта модель служит в качестве инструмента управления с учетом конкретных условий для проведения анализа сценариев в поддержку совершенствования секторальной политики и комплексного планирования землепользования в важнейших районах дикой природы.</w:t>
      </w:r>
    </w:p>
    <w:p w14:paraId="30A38F56" w14:textId="5E8004C7" w:rsidR="00BC399F" w:rsidRPr="00BC399F" w:rsidRDefault="0089313B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11.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Поскольку сосуществование человека и дикой природы неразрывно связано с угрозой все более широкого распространения зоонозных заболеваний,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в партнерстве с Международным научно-исследовательским институтом животноводства провела быструю научную оценку и разработала политические рекомендации, изложенные в докладе «Предотвращение следующей пандемии: зоонозные заболевания и как разорвать цепь их передачи». Этот доклад, который к октябрю 2020 года был скачан около 12 000 раз, сопровождается проведением кампании по повышению осведомленности и поддержке политических диалогов с ключевыми государствами-членами и другими партнерами в целях лучшего понимания экологических аспектов зоонозных заболеваний.</w:t>
      </w:r>
    </w:p>
    <w:p w14:paraId="0DBE9C3B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C.</w:t>
      </w: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Расширение инновационного финансирования восстановления и экосистемных подходов</w:t>
      </w:r>
    </w:p>
    <w:p w14:paraId="647C2992" w14:textId="6846D48F" w:rsidR="00BC399F" w:rsidRPr="00BC399F" w:rsidRDefault="0089313B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12.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оказала поддержку разработке ряда новых механизмов финансирования, включая Механизм финансирования для тропических ландшафтов в Индонезии в партнерстве с банком «</w:t>
      </w:r>
      <w:proofErr w:type="spellStart"/>
      <w:r w:rsidR="00BC399F" w:rsidRPr="00BC399F">
        <w:rPr>
          <w:rFonts w:eastAsia="Times New Roman"/>
          <w:szCs w:val="20"/>
          <w:lang w:val="ru-RU"/>
        </w:rPr>
        <w:t>БНП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</w:t>
      </w:r>
      <w:proofErr w:type="spellStart"/>
      <w:r w:rsidR="00BC399F" w:rsidRPr="00BC399F">
        <w:rPr>
          <w:rFonts w:eastAsia="Times New Roman"/>
          <w:szCs w:val="20"/>
          <w:lang w:val="ru-RU"/>
        </w:rPr>
        <w:t>Париба</w:t>
      </w:r>
      <w:proofErr w:type="spellEnd"/>
      <w:r w:rsidR="00BC399F" w:rsidRPr="00BC399F">
        <w:rPr>
          <w:rFonts w:eastAsia="Times New Roman"/>
          <w:szCs w:val="20"/>
          <w:lang w:val="ru-RU"/>
        </w:rPr>
        <w:t>», «Эй-</w:t>
      </w:r>
      <w:proofErr w:type="spellStart"/>
      <w:r w:rsidR="00BC399F" w:rsidRPr="00BC399F">
        <w:rPr>
          <w:rFonts w:eastAsia="Times New Roman"/>
          <w:szCs w:val="20"/>
          <w:lang w:val="ru-RU"/>
        </w:rPr>
        <w:t>Ди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-Эм Капитал» и Всемирным центром </w:t>
      </w:r>
      <w:proofErr w:type="spellStart"/>
      <w:r w:rsidR="00BC399F" w:rsidRPr="00BC399F">
        <w:rPr>
          <w:rFonts w:eastAsia="Times New Roman"/>
          <w:szCs w:val="20"/>
          <w:lang w:val="ru-RU"/>
        </w:rPr>
        <w:t>агролесоводства</w:t>
      </w:r>
      <w:proofErr w:type="spellEnd"/>
      <w:r w:rsidR="00BC399F" w:rsidRPr="00BC399F">
        <w:rPr>
          <w:rFonts w:eastAsia="Times New Roman"/>
          <w:szCs w:val="20"/>
          <w:lang w:val="ru-RU"/>
        </w:rPr>
        <w:t>. Например, за счет «ландшафтной облигации» на сумму 95 млн долл. США финансируется устойчивая плантация натурального каучука, включающая целевые лесопосадки и защитные зоны, а также инициативы мелких производителей каучука, которые приносят доход и поддерживают источники средств к существованию в сельских районах.</w:t>
      </w:r>
    </w:p>
    <w:p w14:paraId="0A53B157" w14:textId="42012944" w:rsidR="00BC399F" w:rsidRPr="00BC399F" w:rsidRDefault="0089313B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13.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оказала поддержку созданию Фонда «</w:t>
      </w:r>
      <w:proofErr w:type="spellStart"/>
      <w:r w:rsidR="00BC399F" w:rsidRPr="00BC399F">
        <w:rPr>
          <w:rFonts w:eastAsia="Times New Roman"/>
          <w:szCs w:val="20"/>
          <w:lang w:val="ru-RU"/>
        </w:rPr>
        <w:t>АГРИ</w:t>
      </w:r>
      <w:proofErr w:type="spellEnd"/>
      <w:r w:rsidR="00BC399F" w:rsidRPr="00BC399F">
        <w:rPr>
          <w:rFonts w:eastAsia="Times New Roman"/>
          <w:szCs w:val="20"/>
          <w:lang w:val="ru-RU"/>
        </w:rPr>
        <w:t>-3» совместно с «</w:t>
      </w:r>
      <w:proofErr w:type="spellStart"/>
      <w:r w:rsidR="00BC399F" w:rsidRPr="00BC399F">
        <w:rPr>
          <w:rFonts w:eastAsia="Times New Roman"/>
          <w:szCs w:val="20"/>
          <w:lang w:val="ru-RU"/>
        </w:rPr>
        <w:t>Рабобанком</w:t>
      </w:r>
      <w:proofErr w:type="spellEnd"/>
      <w:r w:rsidR="00BC399F" w:rsidRPr="00BC399F">
        <w:rPr>
          <w:rFonts w:eastAsia="Times New Roman"/>
          <w:szCs w:val="20"/>
          <w:lang w:val="ru-RU"/>
        </w:rPr>
        <w:t>», «</w:t>
      </w:r>
      <w:proofErr w:type="spellStart"/>
      <w:r w:rsidR="00BC399F" w:rsidRPr="00BC399F">
        <w:rPr>
          <w:rFonts w:eastAsia="Times New Roman"/>
          <w:szCs w:val="20"/>
          <w:lang w:val="ru-RU"/>
        </w:rPr>
        <w:t>Мирова-Альфелия</w:t>
      </w:r>
      <w:proofErr w:type="spellEnd"/>
      <w:r w:rsidR="00BC399F" w:rsidRPr="00BC399F">
        <w:rPr>
          <w:rFonts w:eastAsia="Times New Roman"/>
          <w:szCs w:val="20"/>
          <w:lang w:val="ru-RU"/>
        </w:rPr>
        <w:t>» и Инициативой по устойчивой торговле «Ай-</w:t>
      </w:r>
      <w:proofErr w:type="spellStart"/>
      <w:r w:rsidR="00BC399F" w:rsidRPr="00BC399F">
        <w:rPr>
          <w:rFonts w:eastAsia="Times New Roman"/>
          <w:szCs w:val="20"/>
          <w:lang w:val="ru-RU"/>
        </w:rPr>
        <w:t>Ди</w:t>
      </w:r>
      <w:proofErr w:type="spellEnd"/>
      <w:r w:rsidR="00BC399F" w:rsidRPr="00BC399F">
        <w:rPr>
          <w:rFonts w:eastAsia="Times New Roman"/>
          <w:szCs w:val="20"/>
          <w:lang w:val="ru-RU"/>
        </w:rPr>
        <w:t>-Эйч». Фонд «</w:t>
      </w:r>
      <w:proofErr w:type="spellStart"/>
      <w:r w:rsidR="00BC399F" w:rsidRPr="00BC399F">
        <w:rPr>
          <w:rFonts w:eastAsia="Times New Roman"/>
          <w:szCs w:val="20"/>
          <w:lang w:val="ru-RU"/>
        </w:rPr>
        <w:t>АГРИ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-3» – это смешанный государственно-частный фонд, созданный для финансирования проектов по защите или восстановлению лесов, улучшению устойчивого сельского хозяйства и укреплению </w:t>
      </w:r>
      <w:r w:rsidR="00BC399F" w:rsidRPr="00BC399F">
        <w:rPr>
          <w:rFonts w:eastAsia="Times New Roman"/>
          <w:szCs w:val="20"/>
          <w:lang w:val="ru-RU"/>
        </w:rPr>
        <w:lastRenderedPageBreak/>
        <w:t>источников средств к существованию в сельских районах. В настоящее время правительство Нидерландов, «</w:t>
      </w:r>
      <w:proofErr w:type="spellStart"/>
      <w:r w:rsidR="00BC399F" w:rsidRPr="00BC399F">
        <w:rPr>
          <w:rFonts w:eastAsia="Times New Roman"/>
          <w:szCs w:val="20"/>
          <w:lang w:val="ru-RU"/>
        </w:rPr>
        <w:t>Рабобанк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» и </w:t>
      </w:r>
      <w:proofErr w:type="spellStart"/>
      <w:r w:rsidR="00BC399F" w:rsidRPr="00BC399F">
        <w:rPr>
          <w:rFonts w:eastAsia="Times New Roman"/>
          <w:szCs w:val="20"/>
          <w:lang w:val="ru-RU"/>
        </w:rPr>
        <w:t>ГЭФ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обязались предоставить Фонду капитал в размере 90 млн долл. США (целевой показатель составляет 150 млн долл. США). Фонд играет важную роль в достижении намеченной «</w:t>
      </w:r>
      <w:proofErr w:type="spellStart"/>
      <w:r w:rsidR="00BC399F" w:rsidRPr="00BC399F">
        <w:rPr>
          <w:rFonts w:eastAsia="Times New Roman"/>
          <w:szCs w:val="20"/>
          <w:lang w:val="ru-RU"/>
        </w:rPr>
        <w:t>Рабобанком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» и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цели в области финансирования производства продукции, не вызывающего обезлесение, и других форм устойчивого землепользования, на осуществление которой выделен 1 млрд долл. США.</w:t>
      </w:r>
    </w:p>
    <w:p w14:paraId="47C70E47" w14:textId="400044F2" w:rsidR="00BC399F" w:rsidRPr="00BC399F" w:rsidRDefault="0089313B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14.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установила партнерские отношения с «Зеленым фондом» с привлечением капитала со стороны правительства Норвегии, компании «Юнилевер» и </w:t>
      </w:r>
      <w:proofErr w:type="spellStart"/>
      <w:r w:rsidR="00BC399F" w:rsidRPr="00BC399F">
        <w:rPr>
          <w:rFonts w:eastAsia="Times New Roman"/>
          <w:szCs w:val="20"/>
          <w:lang w:val="ru-RU"/>
        </w:rPr>
        <w:t>ГЭФ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(через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>). За последний год «Зеленый фонд» осуществил инвестиции в инновационные сделки по устойчивому производству каучука и экологичного пальмового масла в Индонезии, а также в экологичную комбинированную ферму по выращиванию сои и скотоводческое хозяйство в Бразилии с целью развития устойчивого сельского хозяйства и продовольственных систем.</w:t>
      </w:r>
    </w:p>
    <w:p w14:paraId="3A7B920F" w14:textId="7353B492" w:rsidR="00BC399F" w:rsidRPr="00BC399F" w:rsidRDefault="00E4177E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15.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При поддержке со стороны Германии и Люксембурга был создан Фонд начального капитала для восстановления с целью поощрения частных инвестиций в восстановление лесных ландшафтов. Новый фонд также оказывает техническую поддержку руководителям фондов и консультантам по инвестициям на основе совместного несения расходов в целях расширения набора проектов в области обеспечения устойчивости; осуществление первых проектов начнется в 2021 году.</w:t>
      </w:r>
    </w:p>
    <w:p w14:paraId="319F223E" w14:textId="2FAF23D0" w:rsidR="00BC399F" w:rsidRPr="00BC399F" w:rsidRDefault="00E4177E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16.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Был начат анализ с целью обобщения опыта, накопленного в рамках поддерживаемых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финансовых механизмов, которые содействуют восстановлению и другим решениям, основанным на природных факторах.</w:t>
      </w:r>
    </w:p>
    <w:p w14:paraId="40F1615E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D.</w:t>
      </w: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Интеграция приоритетов в области биоразнообразия, деградации земель и опустынивания</w:t>
      </w:r>
    </w:p>
    <w:p w14:paraId="07311983" w14:textId="15BF2A4D" w:rsidR="00BC399F" w:rsidRPr="00BC399F" w:rsidRDefault="00E4177E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17.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разработала общесистемный план действий Организации Объединенных Наций по осуществлению инициативы «Великая зеленая стена для Сахары и </w:t>
      </w:r>
      <w:proofErr w:type="spellStart"/>
      <w:r w:rsidR="00BC399F" w:rsidRPr="00BC399F">
        <w:rPr>
          <w:rFonts w:eastAsia="Times New Roman"/>
          <w:szCs w:val="20"/>
          <w:lang w:val="ru-RU"/>
        </w:rPr>
        <w:t>Сахеля</w:t>
      </w:r>
      <w:proofErr w:type="spellEnd"/>
      <w:r w:rsidR="00BC399F" w:rsidRPr="00BC399F">
        <w:rPr>
          <w:rFonts w:eastAsia="Times New Roman"/>
          <w:szCs w:val="20"/>
          <w:lang w:val="ru-RU"/>
        </w:rPr>
        <w:t>», которая позволит восстановить 100 миллионов гектаров деградировавших земель, уловить 250</w:t>
      </w:r>
      <w:r w:rsidR="00E67089">
        <w:rPr>
          <w:rFonts w:eastAsia="Times New Roman"/>
          <w:szCs w:val="20"/>
        </w:rPr>
        <w:t> </w:t>
      </w:r>
      <w:r w:rsidR="00BC399F" w:rsidRPr="00BC399F">
        <w:rPr>
          <w:rFonts w:eastAsia="Times New Roman"/>
          <w:szCs w:val="20"/>
          <w:lang w:val="ru-RU"/>
        </w:rPr>
        <w:t xml:space="preserve">миллионов тонн двуокиси углерода и создать 10 миллионов «зеленых» рабочих мест. В партнерстве со Всемирным банком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оказала поддержку проведению анализа уязвимости в </w:t>
      </w:r>
      <w:proofErr w:type="spellStart"/>
      <w:r w:rsidR="00BC399F" w:rsidRPr="00BC399F">
        <w:rPr>
          <w:rFonts w:eastAsia="Times New Roman"/>
          <w:szCs w:val="20"/>
          <w:lang w:val="ru-RU"/>
        </w:rPr>
        <w:t>Сахеле</w:t>
      </w:r>
      <w:proofErr w:type="spellEnd"/>
      <w:r w:rsidR="00BC399F" w:rsidRPr="00BC399F">
        <w:rPr>
          <w:rFonts w:eastAsia="Times New Roman"/>
          <w:szCs w:val="20"/>
          <w:lang w:val="ru-RU"/>
        </w:rPr>
        <w:t>. Дополнительная и текущая техническая помощь способствовала улучшению понимания и связей между окружающей средой и конфликтами в данном регионе; различные продукты находятся в стадии разработки.</w:t>
      </w:r>
    </w:p>
    <w:p w14:paraId="01AC5936" w14:textId="3EC84E48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18.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Кроме того, при поддержке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и других партнеров, таких как Международный научно-исследовательский институт животноводства, Международный союз охраны природы и природных ресурсов, ФАО, Международный центр сельскохозяйственных исследований в засушливых районах и Международная земельная коалиция, был представлен проект предложения о провозглашении 2026 года Международным годом пастбищных угодий и </w:t>
      </w:r>
      <w:proofErr w:type="spellStart"/>
      <w:r w:rsidR="00BC399F" w:rsidRPr="00BC399F">
        <w:rPr>
          <w:rFonts w:eastAsia="Times New Roman"/>
          <w:szCs w:val="20"/>
          <w:lang w:val="ru-RU"/>
        </w:rPr>
        <w:t>пасторализма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 целью мобилизации дополнительных усилий для решения этих вопросов и внесения вклада в глобальную повестку дня по восстановлению.</w:t>
      </w:r>
    </w:p>
    <w:p w14:paraId="4BE71CF2" w14:textId="7301D4B6" w:rsidR="00BC399F" w:rsidRPr="00BC399F" w:rsidRDefault="00E4177E" w:rsidP="00BC399F">
      <w:pPr>
        <w:spacing w:after="120"/>
        <w:ind w:left="1247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19.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На национальном уровне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предоставила техническую помощь и обеспечила мобилизацию ресурсов, в результате чего вновь созданный Глобальный фонд партнерства по климату оказал поддержку в целях прекращения опустынивания в Мавритании. В партнерстве с ФАО и Глобальным почвенным партнерством в интересах обеспечения продовольственной безопасности, адаптации к изменению климата и смягчения его последствий началась техническая работа над докладом о глобальном загрязнении почв, который будет представлен в ходе пятой сессии Ассамблеи по окружающей среде.</w:t>
      </w:r>
    </w:p>
    <w:p w14:paraId="7C4E4FD2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E.</w:t>
      </w: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Оказание поддержки Десятилетию Организации Объединенных Наций по восстановлению экосистем</w:t>
      </w:r>
    </w:p>
    <w:p w14:paraId="63592F50" w14:textId="41C5FE5A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20.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В рамках открытого и инклюзивного консультативного процесса была подготовлена стратегия, призванная служить руководством в деле проведения Десятилетия Организации Объединенных Наций по восстановлению экосистем, о чем свидетельствуют более 2000</w:t>
      </w:r>
      <w:r>
        <w:rPr>
          <w:rFonts w:eastAsia="Times New Roman"/>
          <w:szCs w:val="20"/>
        </w:rPr>
        <w:t> </w:t>
      </w:r>
      <w:r w:rsidR="00BC399F" w:rsidRPr="00BC399F">
        <w:rPr>
          <w:rFonts w:eastAsia="Times New Roman"/>
          <w:szCs w:val="20"/>
          <w:lang w:val="ru-RU"/>
        </w:rPr>
        <w:t xml:space="preserve">замечаний, полученных из всех стран мира. Наряду с брендом и фирменным стилем Десятилетия реализация этой стратегии началась в сентябре 2020 года. </w:t>
      </w:r>
    </w:p>
    <w:p w14:paraId="6F78EBFF" w14:textId="55F242E2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21.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Был разработан и введен в действие интерактивный и привлекательный веб-сайт Десятилетия. Он включает множество коммуникационных продуктов, таких как руководство по бренду, набор инструментов для партнерства и набор активов социальных сетей.</w:t>
      </w:r>
    </w:p>
    <w:p w14:paraId="0D0290F9" w14:textId="0451526B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lastRenderedPageBreak/>
        <w:t>22.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Была создана целевая группа, отвечающая за мониторинг и отчетность о ходе работ по восстановлению в течение всего Десятилетия. В ближайшие месяцы будет завершена разработка системы мониторинга при координации со стороны ФАО и Всемирного центра мониторинга природоохраны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 участием более 60 организаций и 190 экспертов. В состав целевой группы входят эксперты из таких учреждений, как Европейское космическое агентство, Институт мировых ресурсов, Международный союз охраны природы и природных ресурсов и Межправительственная группа экспертов по изменению климата.</w:t>
      </w:r>
    </w:p>
    <w:p w14:paraId="36805356" w14:textId="1984E909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23.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Был достигнут прогресс в создании основных флагманских программ и целевого фонда с участием многих доноров для финансирования стратегических элементов Десятилетия и стимулирования более широких действий. Фонд начнет функционировать в 2021 году.</w:t>
      </w:r>
    </w:p>
    <w:p w14:paraId="7409CA87" w14:textId="14CCF07B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24.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В целях согласования мероприятий и расширения сотрудничества в поддержку восстановления были налажены партнерские отношения для достижения целей Десятилетия, в частности с Организацией Объединенных Наций по вопросам образования, науки и культуры, секретариатами трех Рио-де-</w:t>
      </w:r>
      <w:proofErr w:type="spellStart"/>
      <w:r w:rsidR="00BC399F" w:rsidRPr="00BC399F">
        <w:rPr>
          <w:rFonts w:eastAsia="Times New Roman"/>
          <w:szCs w:val="20"/>
          <w:lang w:val="ru-RU"/>
        </w:rPr>
        <w:t>Жанейрских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конвенций, Международным союзом охраны природы и природных ресурсов, Глобальным форумом по ландшафтам, Всемирным институтом ресурсов, Всемирным экономическим форумом и Всемирным банком.</w:t>
      </w:r>
    </w:p>
    <w:p w14:paraId="36AB9767" w14:textId="3F1E0629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25.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Всемирный центр мониторинга природоохраны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в качестве ведущего учреждения по сбору данных в рамках консорциума «Карта природы» разработал комплексные глобальные карты приоритетов в области восстановления и сохранения биоразнообразия и хранения углерода в поддержку государств-членов.</w:t>
      </w:r>
    </w:p>
    <w:p w14:paraId="6FDC15B8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F.</w:t>
      </w:r>
      <w:r w:rsidRPr="00BC399F">
        <w:rPr>
          <w:rFonts w:eastAsia="Times New Roman"/>
          <w:b/>
          <w:bCs/>
          <w:sz w:val="24"/>
          <w:szCs w:val="24"/>
          <w:lang w:val="ru-RU"/>
        </w:rPr>
        <w:tab/>
        <w:t>Восстановление, сохранение и рациональное использование биологического разнообразия и укрепление устойчивости экосистем</w:t>
      </w:r>
    </w:p>
    <w:p w14:paraId="693A22BC" w14:textId="65C53391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26.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За отчетный период с июля 2019 года по июнь 2020 года было сообщено о следующих результатах проектов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, осуществляемых за счет финансирования по линии </w:t>
      </w:r>
      <w:proofErr w:type="spellStart"/>
      <w:r w:rsidR="00BC399F" w:rsidRPr="00BC399F">
        <w:rPr>
          <w:rFonts w:eastAsia="Times New Roman"/>
          <w:szCs w:val="20"/>
          <w:lang w:val="ru-RU"/>
        </w:rPr>
        <w:t>ГЭФ</w:t>
      </w:r>
      <w:proofErr w:type="spellEnd"/>
      <w:r w:rsidR="00BC399F" w:rsidRPr="00BC399F">
        <w:rPr>
          <w:rFonts w:eastAsia="Times New Roman"/>
          <w:szCs w:val="20"/>
          <w:lang w:val="ru-RU"/>
        </w:rPr>
        <w:t>:</w:t>
      </w:r>
    </w:p>
    <w:p w14:paraId="76537FE7" w14:textId="2499DAE4" w:rsidR="00BC399F" w:rsidRPr="00BC399F" w:rsidRDefault="00E4177E" w:rsidP="00E4177E">
      <w:pPr>
        <w:spacing w:after="12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a)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2 миллиона гектаров сельскохозяйственных угодий с повышенной </w:t>
      </w:r>
      <w:proofErr w:type="gramStart"/>
      <w:r w:rsidR="00BC399F" w:rsidRPr="00BC399F">
        <w:rPr>
          <w:rFonts w:eastAsia="Times New Roman"/>
          <w:szCs w:val="20"/>
          <w:lang w:val="ru-RU"/>
        </w:rPr>
        <w:t>производительностью;</w:t>
      </w:r>
      <w:proofErr w:type="gramEnd"/>
    </w:p>
    <w:p w14:paraId="7C5EB98D" w14:textId="5854DB18" w:rsidR="00BC399F" w:rsidRPr="00BC399F" w:rsidRDefault="00E4177E" w:rsidP="00E4177E">
      <w:pPr>
        <w:spacing w:after="12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b)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0,5 миллиона гектаров земель, на которых ведется улучшенное агроэкологическое производство и/или производство, благоприятное для </w:t>
      </w:r>
      <w:proofErr w:type="gramStart"/>
      <w:r w:rsidR="00BC399F" w:rsidRPr="00BC399F">
        <w:rPr>
          <w:rFonts w:eastAsia="Times New Roman"/>
          <w:szCs w:val="20"/>
          <w:lang w:val="ru-RU"/>
        </w:rPr>
        <w:t>биоразнообразия;</w:t>
      </w:r>
      <w:proofErr w:type="gramEnd"/>
    </w:p>
    <w:p w14:paraId="59014125" w14:textId="0714ACDB" w:rsidR="00BC399F" w:rsidRPr="00BC399F" w:rsidRDefault="00E4177E" w:rsidP="00E4177E">
      <w:pPr>
        <w:spacing w:after="12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c)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3,5 миллиона гектаров охраняемых территорий, на которых осуществляется усовершенствованное </w:t>
      </w:r>
      <w:proofErr w:type="gramStart"/>
      <w:r w:rsidR="00BC399F" w:rsidRPr="00BC399F">
        <w:rPr>
          <w:rFonts w:eastAsia="Times New Roman"/>
          <w:szCs w:val="20"/>
          <w:lang w:val="ru-RU"/>
        </w:rPr>
        <w:t>регулирование;</w:t>
      </w:r>
      <w:proofErr w:type="gramEnd"/>
    </w:p>
    <w:p w14:paraId="202D0A13" w14:textId="69C12F54" w:rsidR="00BC399F" w:rsidRPr="00BC399F" w:rsidRDefault="00E4177E" w:rsidP="00E4177E">
      <w:pPr>
        <w:spacing w:after="24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d)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1,7 миллиона непосредственных бенефициаров.</w:t>
      </w:r>
    </w:p>
    <w:p w14:paraId="7AE84860" w14:textId="77777777" w:rsidR="00BC399F" w:rsidRPr="00BC399F" w:rsidRDefault="00BC399F" w:rsidP="00FF2DE8">
      <w:pPr>
        <w:tabs>
          <w:tab w:val="right" w:pos="851"/>
        </w:tabs>
        <w:spacing w:after="120"/>
        <w:ind w:left="1247" w:right="284" w:hanging="1247"/>
        <w:rPr>
          <w:rFonts w:eastAsia="MS Mincho"/>
          <w:b/>
          <w:bCs/>
          <w:sz w:val="28"/>
          <w:szCs w:val="28"/>
          <w:lang w:val="ru-RU"/>
        </w:rPr>
      </w:pPr>
      <w:r w:rsidRPr="00BC399F">
        <w:rPr>
          <w:rFonts w:eastAsia="Times New Roman"/>
          <w:b/>
          <w:bCs/>
          <w:sz w:val="28"/>
          <w:szCs w:val="28"/>
          <w:lang w:val="ru-RU"/>
        </w:rPr>
        <w:tab/>
        <w:t>II.</w:t>
      </w:r>
      <w:r w:rsidRPr="00BC399F">
        <w:rPr>
          <w:rFonts w:eastAsia="Times New Roman"/>
          <w:b/>
          <w:bCs/>
          <w:sz w:val="28"/>
          <w:szCs w:val="28"/>
          <w:lang w:val="ru-RU"/>
        </w:rPr>
        <w:tab/>
        <w:t>Накопленный опыт</w:t>
      </w:r>
    </w:p>
    <w:p w14:paraId="3C2D8409" w14:textId="22F47064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27.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Пандемия </w:t>
      </w:r>
      <w:proofErr w:type="spellStart"/>
      <w:r w:rsidR="00BC399F" w:rsidRPr="00BC399F">
        <w:rPr>
          <w:rFonts w:eastAsia="Times New Roman"/>
          <w:szCs w:val="20"/>
          <w:lang w:val="ru-RU"/>
        </w:rPr>
        <w:t>COVID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-19 еще больше подчеркнула важность взаимоотношений человека с природой. По мере разработки планов восстановления после пандемии </w:t>
      </w:r>
      <w:proofErr w:type="spellStart"/>
      <w:r w:rsidR="00BC399F" w:rsidRPr="00BC399F">
        <w:rPr>
          <w:rFonts w:eastAsia="Times New Roman"/>
          <w:szCs w:val="20"/>
          <w:lang w:val="ru-RU"/>
        </w:rPr>
        <w:t>COVID</w:t>
      </w:r>
      <w:proofErr w:type="spellEnd"/>
      <w:r w:rsidR="00BC399F" w:rsidRPr="00BC399F">
        <w:rPr>
          <w:rFonts w:eastAsia="Times New Roman"/>
          <w:szCs w:val="20"/>
          <w:lang w:val="ru-RU"/>
        </w:rPr>
        <w:t>-19 Ассамблея Организации Объединенных Наций по окружающей среде представляет ключевую возможность для постановки амбициозных задач и ускорения системных мероприятий, в рамках которых природа занимает центральное место в процессе восстановления и преобразования.</w:t>
      </w:r>
    </w:p>
    <w:p w14:paraId="392F1C2B" w14:textId="64FE38DF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28.</w:t>
      </w:r>
      <w:r>
        <w:rPr>
          <w:rFonts w:eastAsia="Times New Roman"/>
          <w:szCs w:val="20"/>
        </w:rPr>
        <w:tab/>
      </w:r>
      <w:proofErr w:type="spellStart"/>
      <w:r w:rsidR="00BC399F" w:rsidRPr="00BC399F">
        <w:rPr>
          <w:rFonts w:eastAsia="Times New Roman"/>
          <w:szCs w:val="20"/>
          <w:lang w:val="ru-RU"/>
        </w:rPr>
        <w:t>COVID</w:t>
      </w:r>
      <w:proofErr w:type="spellEnd"/>
      <w:r w:rsidR="00BC399F" w:rsidRPr="00BC399F">
        <w:rPr>
          <w:rFonts w:eastAsia="Times New Roman"/>
          <w:szCs w:val="20"/>
          <w:lang w:val="ru-RU"/>
        </w:rPr>
        <w:t>-19 привлек внимание к рискам зоонозных заболеваний и необходимости усиления экологических аспектов подходов «Единое здоровье». Существует необходимость обеспечить детальное, научно-ориентированное обсуждение путей решения этих проблем в рамках глобальных, региональных и национальных ответных мер.</w:t>
      </w:r>
    </w:p>
    <w:p w14:paraId="5F5881B9" w14:textId="34C94AE7" w:rsidR="00BC399F" w:rsidRPr="00BC399F" w:rsidRDefault="00E4177E" w:rsidP="00BC399F">
      <w:pPr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29.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Для осуществления преобразовательных изменений, ожидаемых в рамках системы глобальных мероприятий в сфере биоразнообразия на период после 2020 года, необходимы более активные коллективные действия по обеспечению ощутимого участия и поддержки субъектов помимо тех, которые обычно считаются актуальными в таких контекстах, в том числе в финансовом, транспортном, инфраструктурном секторах и в секторе планирования. Необходимы твердые обязательства со стороны финансовых учреждений и других нетрадиционных субъектов при увеличении объема инвестиций в биоразнообразие.</w:t>
      </w:r>
    </w:p>
    <w:p w14:paraId="617589D2" w14:textId="34510773" w:rsidR="00BC399F" w:rsidRPr="00BC399F" w:rsidRDefault="00E4177E" w:rsidP="00E4177E">
      <w:pPr>
        <w:spacing w:after="240"/>
        <w:ind w:left="1247"/>
        <w:rPr>
          <w:rFonts w:eastAsia="DengXian"/>
          <w:szCs w:val="20"/>
          <w:lang w:val="ru-RU"/>
        </w:rPr>
      </w:pPr>
      <w:r>
        <w:rPr>
          <w:rFonts w:eastAsia="Times New Roman"/>
          <w:szCs w:val="20"/>
        </w:rPr>
        <w:t>30.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Привлечение частного финансирования имеет решающее значение для выполнения международных обязательств, касающихся целей в области устойчивого развития, Парижского соглашения, рамочной программы в области биоразнообразия на период после 2020 года Конвенции о биологическом разнообразии и других.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следует использовать накопленный опыт в отношении того, каким образом частный сектор может быть вовлечен в </w:t>
      </w:r>
      <w:r w:rsidR="00BC399F" w:rsidRPr="00BC399F">
        <w:rPr>
          <w:rFonts w:eastAsia="Times New Roman"/>
          <w:szCs w:val="20"/>
          <w:lang w:val="ru-RU"/>
        </w:rPr>
        <w:lastRenderedPageBreak/>
        <w:t xml:space="preserve">проекты, в которых участвует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>, для продвижения вперед при установлении новых стандартов в отношении того, каким образом государственный и частный капитал должен быть направлен на устойчивое использование земельных и морских ресурсов.</w:t>
      </w:r>
    </w:p>
    <w:p w14:paraId="7535218A" w14:textId="77777777" w:rsidR="00BC399F" w:rsidRPr="00BC399F" w:rsidRDefault="00BC399F" w:rsidP="00020541">
      <w:pPr>
        <w:keepNext/>
        <w:keepLines/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8"/>
          <w:szCs w:val="28"/>
          <w:lang w:val="ru-RU"/>
        </w:rPr>
      </w:pPr>
      <w:r w:rsidRPr="00BC399F">
        <w:rPr>
          <w:rFonts w:eastAsia="Times New Roman"/>
          <w:b/>
          <w:bCs/>
          <w:sz w:val="28"/>
          <w:szCs w:val="28"/>
          <w:lang w:val="ru-RU"/>
        </w:rPr>
        <w:tab/>
        <w:t>III.</w:t>
      </w:r>
      <w:r w:rsidRPr="00BC399F">
        <w:rPr>
          <w:rFonts w:eastAsia="Times New Roman"/>
          <w:b/>
          <w:bCs/>
          <w:sz w:val="28"/>
          <w:szCs w:val="28"/>
          <w:lang w:val="ru-RU"/>
        </w:rPr>
        <w:tab/>
        <w:t>Рекомендации и предлагаемые меры</w:t>
      </w:r>
    </w:p>
    <w:p w14:paraId="1254ACB0" w14:textId="0A8D2286" w:rsidR="00BC399F" w:rsidRPr="00BC399F" w:rsidRDefault="00E4177E" w:rsidP="00020541">
      <w:pPr>
        <w:keepNext/>
        <w:keepLines/>
        <w:spacing w:after="120"/>
        <w:ind w:left="1247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31.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Ассамблея по окружающей среде, возможно, пожелает рассмотреть возможность следующих действий:</w:t>
      </w:r>
    </w:p>
    <w:p w14:paraId="557191A9" w14:textId="72426AB7" w:rsidR="00BC399F" w:rsidRPr="00BC399F" w:rsidRDefault="00020541" w:rsidP="00020541">
      <w:pPr>
        <w:keepNext/>
        <w:keepLines/>
        <w:spacing w:after="12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a)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>обращение к государствам-членам с настоятельным призывом использовать всеобъемлющие, инклюзивные, долгосрочные стратегии, которые позволяют активно защищать или восстанавливать биоразнообразие при максимальном увеличении бесконечного количества экосистемных услуг, предоставляемых природой, и обращение к ним с настоятельным призывом явным образом учитывать эти услуги в политике, проводимой правительствами и всеми отраслями экономики. Ключевые области преобразований необходимы для содействия созданию устойчивых продовольственных и сельскохозяйственных систем, интеграции природного капитала и рисков, связанных с природой, в финансовые системы и совершенствования моделей потребления и производства в ключевых секторах, включая инфраструктуру, туризм и транспорт, а также «зеленые» глобальные и региональные производственно-сбытовые цепи;</w:t>
      </w:r>
    </w:p>
    <w:p w14:paraId="00EDE34E" w14:textId="57BF004E" w:rsidR="00BC399F" w:rsidRPr="00BC399F" w:rsidRDefault="00020541" w:rsidP="00020541">
      <w:pPr>
        <w:spacing w:after="12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b)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укрепление мандата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по созыву совещаний и разработке практических и системных вариантов решения этих сложных вопросов. Ассамблея Организации Объединенных Наций по окружающей среде дает возможность мобилизовать поддержку для выработки основанных на фактологических данных политических рекомендаций, в том числе путем сосредоточения внимания на той роли, которую устойчивая торговля дикими животными и растениями играет в содействии сохранению биоразнообразия в соответствии с глобальными обязательствами в рамках, в частности, Конвенции о биологическом разнообразии и Конвенции о международной торговле видами дикой фауны и флоры, находящимися под угрозой исчезновения;</w:t>
      </w:r>
    </w:p>
    <w:p w14:paraId="4135D1D2" w14:textId="64E355E3" w:rsidR="00BC399F" w:rsidRPr="00BC399F" w:rsidRDefault="00020541" w:rsidP="00020541">
      <w:pPr>
        <w:spacing w:after="120"/>
        <w:ind w:left="1247" w:firstLine="624"/>
        <w:rPr>
          <w:rFonts w:eastAsia="Arial Unicode MS"/>
          <w:szCs w:val="20"/>
          <w:lang w:val="ru-RU"/>
        </w:rPr>
      </w:pPr>
      <w:r>
        <w:rPr>
          <w:rFonts w:eastAsia="Times New Roman"/>
          <w:szCs w:val="20"/>
        </w:rPr>
        <w:t>c)</w:t>
      </w:r>
      <w:r>
        <w:rPr>
          <w:rFonts w:eastAsia="Times New Roman"/>
          <w:szCs w:val="20"/>
        </w:rPr>
        <w:tab/>
      </w:r>
      <w:r w:rsidR="00BC399F" w:rsidRPr="00BC399F">
        <w:rPr>
          <w:rFonts w:eastAsia="Times New Roman"/>
          <w:szCs w:val="20"/>
          <w:lang w:val="ru-RU"/>
        </w:rPr>
        <w:t xml:space="preserve">обращение к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с просьбой играть ключевую роль путем создания потенциала, созыва совещаний и, в некоторых случаях, разработки новаторских инструментов проверки обоснованности концепций для привлечения государственных средств в целях мобилизации и привлечения частного капитала для решения проблем обезлесения и других видов деградации экосистем. Кроме того, </w:t>
      </w:r>
      <w:proofErr w:type="spellStart"/>
      <w:r w:rsidR="00BC399F" w:rsidRPr="00BC399F">
        <w:rPr>
          <w:rFonts w:eastAsia="Times New Roman"/>
          <w:szCs w:val="20"/>
          <w:lang w:val="ru-RU"/>
        </w:rPr>
        <w:t>ЮНЕП</w:t>
      </w:r>
      <w:proofErr w:type="spellEnd"/>
      <w:r w:rsidR="00BC399F" w:rsidRPr="00BC399F">
        <w:rPr>
          <w:rFonts w:eastAsia="Times New Roman"/>
          <w:szCs w:val="20"/>
          <w:lang w:val="ru-RU"/>
        </w:rPr>
        <w:t xml:space="preserve"> может играть ключевую роль путем информирования государств-членов об общем объеме государственных и частных инвестиций, направляемых на разработку решений, основанных на природных факторах, и сопоставления их с необходимым объемом. Привлечение внимани</w:t>
      </w:r>
      <w:r w:rsidR="00411A26">
        <w:rPr>
          <w:rFonts w:eastAsia="Times New Roman"/>
          <w:szCs w:val="20"/>
          <w:lang w:val="ru-RU"/>
        </w:rPr>
        <w:t>я</w:t>
      </w:r>
      <w:r w:rsidR="00BC399F" w:rsidRPr="00BC399F">
        <w:rPr>
          <w:rFonts w:eastAsia="Times New Roman"/>
          <w:szCs w:val="20"/>
          <w:lang w:val="ru-RU"/>
        </w:rPr>
        <w:t xml:space="preserve"> к этой разнице может способствовать приданию импульса для преодоления разрыва между этими двумя показателями.</w:t>
      </w:r>
    </w:p>
    <w:p w14:paraId="7E437DBD" w14:textId="2A7A60DF" w:rsidR="005D73F1" w:rsidRPr="00C840C4" w:rsidRDefault="00E46145" w:rsidP="00C840C4">
      <w:pPr>
        <w:spacing w:before="240" w:after="120"/>
        <w:jc w:val="center"/>
      </w:pPr>
      <w:r>
        <w:t>______________</w:t>
      </w:r>
      <w:r w:rsidR="00C840C4">
        <w:t>______</w:t>
      </w:r>
    </w:p>
    <w:sectPr w:rsidR="005D73F1" w:rsidRPr="00C840C4" w:rsidSect="0009543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4DB13" w14:textId="77777777" w:rsidR="00557079" w:rsidRDefault="00557079">
      <w:r>
        <w:separator/>
      </w:r>
    </w:p>
  </w:endnote>
  <w:endnote w:type="continuationSeparator" w:id="0">
    <w:p w14:paraId="53CCCFC9" w14:textId="77777777" w:rsidR="00557079" w:rsidRDefault="0055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B5CF" w14:textId="77777777" w:rsidR="00431BBF" w:rsidRDefault="00431BBF" w:rsidP="00455F0E">
    <w:pPr>
      <w:pStyle w:val="Footer"/>
      <w:tabs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A4FB" w14:textId="77777777" w:rsidR="00431BBF" w:rsidRDefault="00431BBF" w:rsidP="00256D2A">
    <w:pPr>
      <w:pStyle w:val="Footer"/>
      <w:tabs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5DCC" w14:textId="4752C911" w:rsidR="00256D2A" w:rsidRPr="001409C7" w:rsidRDefault="00431BBF" w:rsidP="00256D2A">
    <w:pPr>
      <w:spacing w:before="60" w:after="120"/>
    </w:pPr>
    <w:r>
      <w:rPr>
        <w:lang w:val="ru-RU"/>
      </w:rPr>
      <w:t>K</w:t>
    </w:r>
    <w:r w:rsidR="00482795">
      <w:t>20</w:t>
    </w:r>
    <w:r>
      <w:rPr>
        <w:lang w:val="ru-RU"/>
      </w:rPr>
      <w:t>0</w:t>
    </w:r>
    <w:r w:rsidR="00482795">
      <w:t>2</w:t>
    </w:r>
    <w:r w:rsidR="00BC399F">
      <w:t>607</w:t>
    </w:r>
    <w:r>
      <w:rPr>
        <w:lang w:val="en-US"/>
      </w:rPr>
      <w:t xml:space="preserve">      </w:t>
    </w:r>
    <w:r w:rsidR="002B2D81">
      <w:rPr>
        <w:lang w:val="en-US"/>
      </w:rPr>
      <w:t>30</w:t>
    </w:r>
    <w:r w:rsidR="00482795">
      <w:rPr>
        <w:lang w:val="en-US"/>
      </w:rPr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74C83" w14:textId="77777777" w:rsidR="00557079" w:rsidRDefault="00557079">
      <w:pPr>
        <w:tabs>
          <w:tab w:val="left" w:pos="624"/>
        </w:tabs>
        <w:spacing w:before="60"/>
        <w:ind w:left="624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7BC5D51E" w14:textId="77777777" w:rsidR="00557079" w:rsidRDefault="00557079">
      <w:r>
        <w:continuationSeparator/>
      </w:r>
    </w:p>
  </w:footnote>
  <w:footnote w:id="1">
    <w:p w14:paraId="648527EF" w14:textId="173FAFE3" w:rsidR="002B2D81" w:rsidRDefault="002B2D81" w:rsidP="009B375C">
      <w:pPr>
        <w:spacing w:before="20" w:after="40"/>
        <w:ind w:left="1247"/>
        <w:rPr>
          <w:sz w:val="18"/>
          <w:lang w:val="ru-RU"/>
        </w:rPr>
      </w:pPr>
      <w:r w:rsidRPr="00FC0906">
        <w:rPr>
          <w:sz w:val="18"/>
          <w:szCs w:val="18"/>
          <w:lang w:val="ru-RU"/>
        </w:rPr>
        <w:t>*</w:t>
      </w:r>
      <w:r w:rsidRPr="00FC0906">
        <w:rPr>
          <w:sz w:val="18"/>
          <w:szCs w:val="18"/>
          <w:lang w:val="ru-RU"/>
        </w:rPr>
        <w:tab/>
      </w:r>
      <w:r w:rsidRPr="00FC0906">
        <w:rPr>
          <w:rFonts w:eastAsia="Times New Roman"/>
          <w:sz w:val="18"/>
          <w:szCs w:val="18"/>
          <w:lang w:val="ru-RU" w:eastAsia="en-GB"/>
        </w:rPr>
        <w:t>В соответствии с решениями, принятыми на совещании Бюро Ассамблеи Организации Объединенных Наций по окружающей среде, состоявшемся 8 октября 2020 года, и на совместном совещании Бюро Ассамблеи Организации Объединенных Наций по окружающей среде и Бюро Комитета постоянных представителей, состоявшемся 1 декабря 2020 года, пятая сессия Ассамблеи, как ожидается, приостановит свою работу 23 февраля 2021 года и возобновит ее в режиме очного совещания в феврале 2022 года.</w:t>
      </w:r>
    </w:p>
    <w:p w14:paraId="4CB37171" w14:textId="01343049" w:rsidR="007F405D" w:rsidRPr="00F02115" w:rsidRDefault="007F405D" w:rsidP="009B375C">
      <w:pPr>
        <w:spacing w:before="20" w:after="40"/>
        <w:ind w:left="1247"/>
        <w:rPr>
          <w:sz w:val="16"/>
          <w:szCs w:val="18"/>
        </w:rPr>
      </w:pPr>
      <w:r w:rsidRPr="00F02115">
        <w:rPr>
          <w:sz w:val="18"/>
          <w:lang w:val="ru-RU"/>
        </w:rPr>
        <w:t>*</w:t>
      </w:r>
      <w:r w:rsidR="002B2D81">
        <w:rPr>
          <w:sz w:val="18"/>
        </w:rPr>
        <w:t>*</w:t>
      </w:r>
      <w:r w:rsidRPr="00F02115">
        <w:rPr>
          <w:sz w:val="18"/>
          <w:lang w:val="ru-RU"/>
        </w:rPr>
        <w:t xml:space="preserve"> </w:t>
      </w:r>
      <w:r w:rsidRPr="00F02115">
        <w:rPr>
          <w:sz w:val="18"/>
          <w:lang w:val="ru-RU"/>
        </w:rPr>
        <w:tab/>
      </w:r>
      <w:proofErr w:type="spellStart"/>
      <w:r w:rsidR="002B2D81" w:rsidRPr="004B71EE">
        <w:rPr>
          <w:sz w:val="18"/>
          <w:szCs w:val="18"/>
          <w:lang w:val="ru-RU"/>
        </w:rPr>
        <w:t>UNEP</w:t>
      </w:r>
      <w:proofErr w:type="spellEnd"/>
      <w:r w:rsidR="002B2D81" w:rsidRPr="004B71EE">
        <w:rPr>
          <w:sz w:val="18"/>
          <w:szCs w:val="18"/>
          <w:lang w:val="ru-RU"/>
        </w:rPr>
        <w:t>/</w:t>
      </w:r>
      <w:proofErr w:type="spellStart"/>
      <w:r w:rsidR="002B2D81" w:rsidRPr="004B71EE">
        <w:rPr>
          <w:sz w:val="18"/>
          <w:szCs w:val="18"/>
          <w:lang w:val="ru-RU"/>
        </w:rPr>
        <w:t>EA.5</w:t>
      </w:r>
      <w:proofErr w:type="spellEnd"/>
      <w:r w:rsidR="002B2D81" w:rsidRPr="004B71EE">
        <w:rPr>
          <w:sz w:val="18"/>
          <w:szCs w:val="18"/>
          <w:lang w:val="ru-RU"/>
        </w:rPr>
        <w:t>/1</w:t>
      </w:r>
      <w:r w:rsidR="002B2D81">
        <w:rPr>
          <w:sz w:val="18"/>
          <w:szCs w:val="18"/>
        </w:rPr>
        <w:t>/</w:t>
      </w:r>
      <w:proofErr w:type="spellStart"/>
      <w:r w:rsidR="002B2D81">
        <w:rPr>
          <w:sz w:val="18"/>
          <w:szCs w:val="18"/>
        </w:rPr>
        <w:t>Rev1</w:t>
      </w:r>
      <w:proofErr w:type="spellEnd"/>
      <w:r w:rsidR="002B2D81" w:rsidRPr="004B71EE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A929" w14:textId="657EC6E9" w:rsidR="00455F0E" w:rsidRPr="00B02FDB" w:rsidRDefault="00455F0E" w:rsidP="00455F0E">
    <w:pPr>
      <w:pStyle w:val="Header"/>
      <w:tabs>
        <w:tab w:val="clear" w:pos="4536"/>
        <w:tab w:val="clear" w:pos="9072"/>
      </w:tabs>
      <w:rPr>
        <w:rFonts w:eastAsia="Times New Roman"/>
        <w:szCs w:val="18"/>
      </w:rPr>
    </w:pPr>
    <w:r>
      <w:rPr>
        <w:szCs w:val="18"/>
        <w:lang w:val="en-US"/>
      </w:rPr>
      <w:t>UNEP/</w:t>
    </w:r>
    <w:proofErr w:type="spellStart"/>
    <w:r>
      <w:rPr>
        <w:szCs w:val="18"/>
        <w:lang w:val="en-US"/>
      </w:rPr>
      <w:t>EA.</w:t>
    </w:r>
    <w:r w:rsidR="00482795">
      <w:rPr>
        <w:szCs w:val="18"/>
        <w:lang w:val="en-US"/>
      </w:rPr>
      <w:t>5</w:t>
    </w:r>
    <w:proofErr w:type="spellEnd"/>
    <w:r w:rsidR="00482795">
      <w:rPr>
        <w:szCs w:val="18"/>
        <w:lang w:val="en-US"/>
      </w:rPr>
      <w:t>/</w:t>
    </w:r>
    <w:r w:rsidR="00D0004F">
      <w:rPr>
        <w:szCs w:val="18"/>
        <w:lang w:val="en-US"/>
      </w:rPr>
      <w:t>1</w:t>
    </w:r>
    <w:r w:rsidR="00B02FDB">
      <w:rPr>
        <w:szCs w:val="18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DBA" w14:textId="156E6F0A" w:rsidR="00455F0E" w:rsidRPr="00B02FDB" w:rsidRDefault="00455F0E" w:rsidP="00455F0E">
    <w:pPr>
      <w:pStyle w:val="Header"/>
      <w:tabs>
        <w:tab w:val="clear" w:pos="4536"/>
        <w:tab w:val="clear" w:pos="9072"/>
      </w:tabs>
      <w:jc w:val="right"/>
      <w:rPr>
        <w:rFonts w:eastAsia="Times New Roman"/>
        <w:szCs w:val="18"/>
      </w:rPr>
    </w:pPr>
    <w:r>
      <w:rPr>
        <w:szCs w:val="18"/>
        <w:lang w:val="en-US"/>
      </w:rPr>
      <w:t>UNEP/</w:t>
    </w:r>
    <w:proofErr w:type="spellStart"/>
    <w:r>
      <w:rPr>
        <w:szCs w:val="18"/>
        <w:lang w:val="en-US"/>
      </w:rPr>
      <w:t>EA.</w:t>
    </w:r>
    <w:r w:rsidR="00482795">
      <w:rPr>
        <w:szCs w:val="18"/>
        <w:lang w:val="en-US"/>
      </w:rPr>
      <w:t>5</w:t>
    </w:r>
    <w:proofErr w:type="spellEnd"/>
    <w:r w:rsidR="00482795">
      <w:rPr>
        <w:szCs w:val="18"/>
        <w:lang w:val="en-US"/>
      </w:rPr>
      <w:t>/</w:t>
    </w:r>
    <w:r w:rsidR="00D0004F">
      <w:rPr>
        <w:szCs w:val="18"/>
        <w:lang w:val="en-US"/>
      </w:rPr>
      <w:t>1</w:t>
    </w:r>
    <w:r w:rsidR="00B02FDB">
      <w:rPr>
        <w:szCs w:val="1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9789B" w14:textId="77777777" w:rsidR="00431BBF" w:rsidRDefault="00431BB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3826"/>
        </w:tabs>
        <w:ind w:left="3826" w:hanging="360"/>
      </w:pPr>
    </w:lvl>
  </w:abstractNum>
  <w:abstractNum w:abstractNumId="1" w15:restartNumberingAfterBreak="0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 w15:restartNumberingAfterBreak="0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71113A7"/>
    <w:multiLevelType w:val="multilevel"/>
    <w:tmpl w:val="48241D10"/>
    <w:numStyleLink w:val="Normallist"/>
  </w:abstractNum>
  <w:abstractNum w:abstractNumId="1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 w15:restartNumberingAfterBreak="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E121E8"/>
    <w:multiLevelType w:val="hybridMultilevel"/>
    <w:tmpl w:val="66786336"/>
    <w:lvl w:ilvl="0" w:tplc="24BC89C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 w15:restartNumberingAfterBreak="0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8" w15:restartNumberingAfterBreak="0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 w15:restartNumberingAfterBreak="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 w15:restartNumberingAfterBreak="0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 w15:restartNumberingAfterBreak="0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0"/>
  </w:num>
  <w:num w:numId="16">
    <w:abstractNumId w:val="27"/>
  </w:num>
  <w:num w:numId="17">
    <w:abstractNumId w:val="27"/>
  </w:num>
  <w:num w:numId="18">
    <w:abstractNumId w:val="27"/>
  </w:num>
  <w:num w:numId="19">
    <w:abstractNumId w:val="32"/>
  </w:num>
  <w:num w:numId="20">
    <w:abstractNumId w:val="13"/>
  </w:num>
  <w:num w:numId="21">
    <w:abstractNumId w:val="33"/>
  </w:num>
  <w:num w:numId="22">
    <w:abstractNumId w:val="28"/>
  </w:num>
  <w:num w:numId="23">
    <w:abstractNumId w:val="25"/>
  </w:num>
  <w:num w:numId="24">
    <w:abstractNumId w:val="27"/>
  </w:num>
  <w:num w:numId="25">
    <w:abstractNumId w:val="27"/>
  </w:num>
  <w:num w:numId="26">
    <w:abstractNumId w:val="24"/>
  </w:num>
  <w:num w:numId="27">
    <w:abstractNumId w:val="14"/>
  </w:num>
  <w:num w:numId="28">
    <w:abstractNumId w:val="12"/>
  </w:num>
  <w:num w:numId="29">
    <w:abstractNumId w:val="23"/>
  </w:num>
  <w:num w:numId="30">
    <w:abstractNumId w:val="30"/>
  </w:num>
  <w:num w:numId="31">
    <w:abstractNumId w:val="22"/>
  </w:num>
  <w:num w:numId="32">
    <w:abstractNumId w:val="18"/>
  </w:num>
  <w:num w:numId="33">
    <w:abstractNumId w:val="29"/>
  </w:num>
  <w:num w:numId="34">
    <w:abstractNumId w:val="11"/>
  </w:num>
  <w:num w:numId="35">
    <w:abstractNumId w:val="31"/>
  </w:num>
  <w:num w:numId="36">
    <w:abstractNumId w:val="19"/>
  </w:num>
  <w:num w:numId="37">
    <w:abstractNumId w:val="15"/>
  </w:num>
  <w:num w:numId="38">
    <w:abstractNumId w:val="21"/>
    <w:lvlOverride w:ilvl="0">
      <w:lvl w:ilvl="0" w:tplc="24BC89C8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6A"/>
    <w:rsid w:val="000149E6"/>
    <w:rsid w:val="00017CE4"/>
    <w:rsid w:val="00020541"/>
    <w:rsid w:val="000247B0"/>
    <w:rsid w:val="00026997"/>
    <w:rsid w:val="00033E0B"/>
    <w:rsid w:val="00035EDE"/>
    <w:rsid w:val="000509B4"/>
    <w:rsid w:val="00071886"/>
    <w:rsid w:val="000742BC"/>
    <w:rsid w:val="00076EB7"/>
    <w:rsid w:val="00081997"/>
    <w:rsid w:val="00082A0C"/>
    <w:rsid w:val="00095434"/>
    <w:rsid w:val="0009640C"/>
    <w:rsid w:val="000A0A04"/>
    <w:rsid w:val="000B06F6"/>
    <w:rsid w:val="000D33C0"/>
    <w:rsid w:val="000E09D2"/>
    <w:rsid w:val="000F03DD"/>
    <w:rsid w:val="001202E3"/>
    <w:rsid w:val="00123DE2"/>
    <w:rsid w:val="0013059D"/>
    <w:rsid w:val="001409C7"/>
    <w:rsid w:val="00141A55"/>
    <w:rsid w:val="001559C9"/>
    <w:rsid w:val="001633C8"/>
    <w:rsid w:val="00181EC8"/>
    <w:rsid w:val="00184349"/>
    <w:rsid w:val="001D3874"/>
    <w:rsid w:val="001D7E75"/>
    <w:rsid w:val="001E0C96"/>
    <w:rsid w:val="001E56D2"/>
    <w:rsid w:val="001E7D56"/>
    <w:rsid w:val="001F75DE"/>
    <w:rsid w:val="00200D58"/>
    <w:rsid w:val="002013BE"/>
    <w:rsid w:val="002063A4"/>
    <w:rsid w:val="0021145B"/>
    <w:rsid w:val="00222F56"/>
    <w:rsid w:val="00230E08"/>
    <w:rsid w:val="00245A39"/>
    <w:rsid w:val="00247707"/>
    <w:rsid w:val="0025448F"/>
    <w:rsid w:val="00256D2A"/>
    <w:rsid w:val="00266928"/>
    <w:rsid w:val="00286032"/>
    <w:rsid w:val="00286740"/>
    <w:rsid w:val="00290165"/>
    <w:rsid w:val="002929D8"/>
    <w:rsid w:val="002A237D"/>
    <w:rsid w:val="002A4C53"/>
    <w:rsid w:val="002A6864"/>
    <w:rsid w:val="002B2D81"/>
    <w:rsid w:val="002C0384"/>
    <w:rsid w:val="002C145D"/>
    <w:rsid w:val="002C2C3E"/>
    <w:rsid w:val="002C533E"/>
    <w:rsid w:val="002D027F"/>
    <w:rsid w:val="002D27E9"/>
    <w:rsid w:val="002D4584"/>
    <w:rsid w:val="002D7B60"/>
    <w:rsid w:val="002F2BCF"/>
    <w:rsid w:val="002F4761"/>
    <w:rsid w:val="00310479"/>
    <w:rsid w:val="0031413F"/>
    <w:rsid w:val="00334662"/>
    <w:rsid w:val="00355EA9"/>
    <w:rsid w:val="00362501"/>
    <w:rsid w:val="003751F8"/>
    <w:rsid w:val="00381B5F"/>
    <w:rsid w:val="00385731"/>
    <w:rsid w:val="003908C6"/>
    <w:rsid w:val="00393911"/>
    <w:rsid w:val="00396257"/>
    <w:rsid w:val="00397EB8"/>
    <w:rsid w:val="003A4FD0"/>
    <w:rsid w:val="003A69D1"/>
    <w:rsid w:val="003B0491"/>
    <w:rsid w:val="003B1545"/>
    <w:rsid w:val="003C409D"/>
    <w:rsid w:val="003F0E85"/>
    <w:rsid w:val="00410C55"/>
    <w:rsid w:val="00411A26"/>
    <w:rsid w:val="00417725"/>
    <w:rsid w:val="00425EDB"/>
    <w:rsid w:val="00431BBF"/>
    <w:rsid w:val="00437F26"/>
    <w:rsid w:val="00454769"/>
    <w:rsid w:val="00455F0E"/>
    <w:rsid w:val="00466991"/>
    <w:rsid w:val="0047064C"/>
    <w:rsid w:val="00474592"/>
    <w:rsid w:val="00482795"/>
    <w:rsid w:val="00482908"/>
    <w:rsid w:val="00495F41"/>
    <w:rsid w:val="004C5C96"/>
    <w:rsid w:val="004D06A4"/>
    <w:rsid w:val="004E233D"/>
    <w:rsid w:val="004F1A81"/>
    <w:rsid w:val="005131BB"/>
    <w:rsid w:val="005218D9"/>
    <w:rsid w:val="0052196F"/>
    <w:rsid w:val="00536186"/>
    <w:rsid w:val="00541858"/>
    <w:rsid w:val="00557079"/>
    <w:rsid w:val="00560655"/>
    <w:rsid w:val="00563DFD"/>
    <w:rsid w:val="00565068"/>
    <w:rsid w:val="00570266"/>
    <w:rsid w:val="0057315F"/>
    <w:rsid w:val="0057784F"/>
    <w:rsid w:val="005A4115"/>
    <w:rsid w:val="005A5F05"/>
    <w:rsid w:val="005B03D2"/>
    <w:rsid w:val="005C67C8"/>
    <w:rsid w:val="005D0249"/>
    <w:rsid w:val="005D73F1"/>
    <w:rsid w:val="005F0BEA"/>
    <w:rsid w:val="005F100C"/>
    <w:rsid w:val="00614089"/>
    <w:rsid w:val="006303B4"/>
    <w:rsid w:val="00634572"/>
    <w:rsid w:val="00641703"/>
    <w:rsid w:val="006431A6"/>
    <w:rsid w:val="00645B64"/>
    <w:rsid w:val="006501AD"/>
    <w:rsid w:val="00651BFA"/>
    <w:rsid w:val="006615BC"/>
    <w:rsid w:val="006709BA"/>
    <w:rsid w:val="00681AFC"/>
    <w:rsid w:val="00683F83"/>
    <w:rsid w:val="00691236"/>
    <w:rsid w:val="00692E2A"/>
    <w:rsid w:val="006A76F2"/>
    <w:rsid w:val="006B63E0"/>
    <w:rsid w:val="006C4077"/>
    <w:rsid w:val="006C5351"/>
    <w:rsid w:val="006E6722"/>
    <w:rsid w:val="006E67FD"/>
    <w:rsid w:val="006F0E34"/>
    <w:rsid w:val="00701D3F"/>
    <w:rsid w:val="007027B9"/>
    <w:rsid w:val="007121AA"/>
    <w:rsid w:val="00712298"/>
    <w:rsid w:val="00715E88"/>
    <w:rsid w:val="00720913"/>
    <w:rsid w:val="007275B9"/>
    <w:rsid w:val="00734CAA"/>
    <w:rsid w:val="00743065"/>
    <w:rsid w:val="00746F3F"/>
    <w:rsid w:val="00757581"/>
    <w:rsid w:val="007648D5"/>
    <w:rsid w:val="00770261"/>
    <w:rsid w:val="00774437"/>
    <w:rsid w:val="0079631D"/>
    <w:rsid w:val="007A5B9C"/>
    <w:rsid w:val="007A5C12"/>
    <w:rsid w:val="007A6FC4"/>
    <w:rsid w:val="007B30E8"/>
    <w:rsid w:val="007C2B5E"/>
    <w:rsid w:val="007D5CFF"/>
    <w:rsid w:val="007E003F"/>
    <w:rsid w:val="007E19B5"/>
    <w:rsid w:val="007F405D"/>
    <w:rsid w:val="00822830"/>
    <w:rsid w:val="00830E26"/>
    <w:rsid w:val="00843576"/>
    <w:rsid w:val="00843B64"/>
    <w:rsid w:val="008673B6"/>
    <w:rsid w:val="00867BFF"/>
    <w:rsid w:val="00872F35"/>
    <w:rsid w:val="0088480A"/>
    <w:rsid w:val="00890298"/>
    <w:rsid w:val="0089313B"/>
    <w:rsid w:val="008957DD"/>
    <w:rsid w:val="00897D98"/>
    <w:rsid w:val="008A6DF2"/>
    <w:rsid w:val="008C2D6E"/>
    <w:rsid w:val="008D7C99"/>
    <w:rsid w:val="008E0FCB"/>
    <w:rsid w:val="008F5852"/>
    <w:rsid w:val="008F641C"/>
    <w:rsid w:val="00901265"/>
    <w:rsid w:val="00903FE2"/>
    <w:rsid w:val="0092178C"/>
    <w:rsid w:val="0094179A"/>
    <w:rsid w:val="00941C5F"/>
    <w:rsid w:val="0094459E"/>
    <w:rsid w:val="00944DBC"/>
    <w:rsid w:val="00947092"/>
    <w:rsid w:val="00950977"/>
    <w:rsid w:val="009564A6"/>
    <w:rsid w:val="009578F9"/>
    <w:rsid w:val="00970D27"/>
    <w:rsid w:val="009724A4"/>
    <w:rsid w:val="009774AF"/>
    <w:rsid w:val="0099519B"/>
    <w:rsid w:val="009B153B"/>
    <w:rsid w:val="009B375C"/>
    <w:rsid w:val="009B4A0F"/>
    <w:rsid w:val="009D0B63"/>
    <w:rsid w:val="009D3CA7"/>
    <w:rsid w:val="00A0524B"/>
    <w:rsid w:val="00A122C5"/>
    <w:rsid w:val="00A1348D"/>
    <w:rsid w:val="00A161B4"/>
    <w:rsid w:val="00A232EE"/>
    <w:rsid w:val="00A44411"/>
    <w:rsid w:val="00A469FA"/>
    <w:rsid w:val="00A55B01"/>
    <w:rsid w:val="00A56B5B"/>
    <w:rsid w:val="00A657DD"/>
    <w:rsid w:val="00A666A6"/>
    <w:rsid w:val="00A80611"/>
    <w:rsid w:val="00A82018"/>
    <w:rsid w:val="00A83C9A"/>
    <w:rsid w:val="00AB4624"/>
    <w:rsid w:val="00AB5340"/>
    <w:rsid w:val="00AC2416"/>
    <w:rsid w:val="00AC7C96"/>
    <w:rsid w:val="00AE237D"/>
    <w:rsid w:val="00AF52EB"/>
    <w:rsid w:val="00AF7C07"/>
    <w:rsid w:val="00B02FDB"/>
    <w:rsid w:val="00B251E1"/>
    <w:rsid w:val="00B405B7"/>
    <w:rsid w:val="00B46BD8"/>
    <w:rsid w:val="00B66901"/>
    <w:rsid w:val="00B71E6D"/>
    <w:rsid w:val="00B72070"/>
    <w:rsid w:val="00B779E1"/>
    <w:rsid w:val="00B939AC"/>
    <w:rsid w:val="00B93E73"/>
    <w:rsid w:val="00BA1A67"/>
    <w:rsid w:val="00BA3BB0"/>
    <w:rsid w:val="00BB0A2E"/>
    <w:rsid w:val="00BC399F"/>
    <w:rsid w:val="00BD069D"/>
    <w:rsid w:val="00BD2874"/>
    <w:rsid w:val="00BD5500"/>
    <w:rsid w:val="00C004F2"/>
    <w:rsid w:val="00C010F5"/>
    <w:rsid w:val="00C01B2A"/>
    <w:rsid w:val="00C123A3"/>
    <w:rsid w:val="00C30C63"/>
    <w:rsid w:val="00C558DA"/>
    <w:rsid w:val="00C61F87"/>
    <w:rsid w:val="00C70835"/>
    <w:rsid w:val="00C840C4"/>
    <w:rsid w:val="00C84759"/>
    <w:rsid w:val="00C85606"/>
    <w:rsid w:val="00C910B2"/>
    <w:rsid w:val="00CA17D9"/>
    <w:rsid w:val="00CA6C7F"/>
    <w:rsid w:val="00CA7805"/>
    <w:rsid w:val="00CA7C6D"/>
    <w:rsid w:val="00CB101E"/>
    <w:rsid w:val="00CC10A6"/>
    <w:rsid w:val="00CC25D6"/>
    <w:rsid w:val="00CC766A"/>
    <w:rsid w:val="00CD7044"/>
    <w:rsid w:val="00CE524C"/>
    <w:rsid w:val="00CF141F"/>
    <w:rsid w:val="00CF37A4"/>
    <w:rsid w:val="00CF4777"/>
    <w:rsid w:val="00D0004F"/>
    <w:rsid w:val="00D0011C"/>
    <w:rsid w:val="00D11D18"/>
    <w:rsid w:val="00D169AF"/>
    <w:rsid w:val="00D25249"/>
    <w:rsid w:val="00D44172"/>
    <w:rsid w:val="00D63B8C"/>
    <w:rsid w:val="00D739CC"/>
    <w:rsid w:val="00D748BF"/>
    <w:rsid w:val="00D8093D"/>
    <w:rsid w:val="00D8108C"/>
    <w:rsid w:val="00D842AE"/>
    <w:rsid w:val="00D86CB4"/>
    <w:rsid w:val="00D9211C"/>
    <w:rsid w:val="00DA1BCA"/>
    <w:rsid w:val="00DB011C"/>
    <w:rsid w:val="00DC17F1"/>
    <w:rsid w:val="00DC46FF"/>
    <w:rsid w:val="00DD1A4F"/>
    <w:rsid w:val="00DD7C2C"/>
    <w:rsid w:val="00DF0EFD"/>
    <w:rsid w:val="00DF27E7"/>
    <w:rsid w:val="00E06797"/>
    <w:rsid w:val="00E17634"/>
    <w:rsid w:val="00E21C83"/>
    <w:rsid w:val="00E276DF"/>
    <w:rsid w:val="00E357CC"/>
    <w:rsid w:val="00E4177E"/>
    <w:rsid w:val="00E46145"/>
    <w:rsid w:val="00E46D9A"/>
    <w:rsid w:val="00E47183"/>
    <w:rsid w:val="00E565FF"/>
    <w:rsid w:val="00E65388"/>
    <w:rsid w:val="00E67089"/>
    <w:rsid w:val="00E67AA8"/>
    <w:rsid w:val="00E85B7D"/>
    <w:rsid w:val="00E9121B"/>
    <w:rsid w:val="00EA39E5"/>
    <w:rsid w:val="00EB172A"/>
    <w:rsid w:val="00EB6C7F"/>
    <w:rsid w:val="00EB6C81"/>
    <w:rsid w:val="00EC51F5"/>
    <w:rsid w:val="00EC5A46"/>
    <w:rsid w:val="00EC63E2"/>
    <w:rsid w:val="00EE024D"/>
    <w:rsid w:val="00EF22B3"/>
    <w:rsid w:val="00F113DA"/>
    <w:rsid w:val="00F135A4"/>
    <w:rsid w:val="00F30AD8"/>
    <w:rsid w:val="00F31C62"/>
    <w:rsid w:val="00F332BC"/>
    <w:rsid w:val="00F37DC8"/>
    <w:rsid w:val="00F42092"/>
    <w:rsid w:val="00F57A7D"/>
    <w:rsid w:val="00F60D7A"/>
    <w:rsid w:val="00F650C3"/>
    <w:rsid w:val="00F7155A"/>
    <w:rsid w:val="00F77E98"/>
    <w:rsid w:val="00F8091E"/>
    <w:rsid w:val="00F8615C"/>
    <w:rsid w:val="00F918AB"/>
    <w:rsid w:val="00FA10EA"/>
    <w:rsid w:val="00FA2593"/>
    <w:rsid w:val="00FB7E48"/>
    <w:rsid w:val="00FD5860"/>
    <w:rsid w:val="00FE352D"/>
    <w:rsid w:val="00FE3BD2"/>
    <w:rsid w:val="00FE7D62"/>
    <w:rsid w:val="00FF15F7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0A1F8"/>
  <w15:docId w15:val="{342C0618-59B8-4F48-9033-0A099362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-pool"/>
    <w:qFormat/>
    <w:rsid w:val="00CC766A"/>
    <w:rPr>
      <w:rFonts w:eastAsia="Calibri"/>
      <w:szCs w:val="22"/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qFormat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"/>
    <w:basedOn w:val="Normal"/>
    <w:link w:val="FootnoteTextChar"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qFormat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link w:val="HeaderChar"/>
    <w:rsid w:val="00AB534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paragraph" w:styleId="ListParagraph">
    <w:name w:val="List Paragraph"/>
    <w:basedOn w:val="Normal"/>
    <w:uiPriority w:val="34"/>
    <w:qFormat/>
    <w:rsid w:val="00CC766A"/>
    <w:pPr>
      <w:ind w:left="720"/>
      <w:contextualSpacing/>
    </w:pPr>
  </w:style>
  <w:style w:type="character" w:customStyle="1" w:styleId="FootnoteTextChar">
    <w:name w:val="Footnote Text Char"/>
    <w:aliases w:val="Geneva 9 Char,Font: Geneva 9 Char,Boston 10 Char,f Char,DNV-FT Char"/>
    <w:link w:val="FootnoteText"/>
    <w:qFormat/>
    <w:rsid w:val="00CC766A"/>
    <w:rPr>
      <w:sz w:val="18"/>
      <w:lang w:val="en-GB"/>
    </w:rPr>
  </w:style>
  <w:style w:type="table" w:styleId="TableGrid">
    <w:name w:val="Table Grid"/>
    <w:basedOn w:val="TableNormal"/>
    <w:rsid w:val="00CC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C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66A"/>
    <w:rPr>
      <w:rFonts w:ascii="Segoe UI" w:eastAsia="Calibri" w:hAnsi="Segoe UI" w:cs="Segoe UI"/>
      <w:sz w:val="18"/>
      <w:szCs w:val="18"/>
      <w:lang w:val="en-GB"/>
    </w:rPr>
  </w:style>
  <w:style w:type="character" w:customStyle="1" w:styleId="HeaderChar">
    <w:name w:val="Header Char"/>
    <w:aliases w:val="Header-pool Char"/>
    <w:basedOn w:val="DefaultParagraphFont"/>
    <w:link w:val="Header"/>
    <w:rsid w:val="00455F0E"/>
    <w:rPr>
      <w:rFonts w:eastAsia="Calibri"/>
      <w:b/>
      <w:sz w:val="18"/>
      <w:szCs w:val="22"/>
      <w:lang w:val="en-GB"/>
    </w:rPr>
  </w:style>
  <w:style w:type="character" w:customStyle="1" w:styleId="Normal-poolChar1">
    <w:name w:val="Normal-pool Char1"/>
    <w:locked/>
    <w:rsid w:val="007F405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2FB50329565A48AF124FD5AEDB7005" ma:contentTypeVersion="12" ma:contentTypeDescription="Create a new document." ma:contentTypeScope="" ma:versionID="bf69bddce365fe1f5a99a555c5f6fe74">
  <xsd:schema xmlns:xsd="http://www.w3.org/2001/XMLSchema" xmlns:xs="http://www.w3.org/2001/XMLSchema" xmlns:p="http://schemas.microsoft.com/office/2006/metadata/properties" xmlns:ns2="5d693317-dfa7-412a-abe4-7ce112bf53c4" xmlns:ns3="cb143ef5-806f-4fef-82da-51d62666dd1b" targetNamespace="http://schemas.microsoft.com/office/2006/metadata/properties" ma:root="true" ma:fieldsID="dc64cfbfa3d7649cd3764f02973b3e58" ns2:_="" ns3:_="">
    <xsd:import namespace="5d693317-dfa7-412a-abe4-7ce112bf53c4"/>
    <xsd:import namespace="cb143ef5-806f-4fef-82da-51d62666d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93317-dfa7-412a-abe4-7ce112bf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43ef5-806f-4fef-82da-51d62666dd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44B13-5D6D-48EC-AE31-CAEC4AEA3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93317-dfa7-412a-abe4-7ce112bf53c4"/>
    <ds:schemaRef ds:uri="cb143ef5-806f-4fef-82da-51d62666d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D320FB-EACD-47AF-AD94-A0A65A121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6A2C5-E0BB-4733-8FBD-2F26125D8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B90DCA-0CD5-4EB2-AE52-946A8B47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3271</Words>
  <Characters>18647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United Nations</Company>
  <LinksUpToDate>false</LinksUpToDate>
  <CharactersWithSpaces>21875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Tamara Olago</cp:lastModifiedBy>
  <cp:revision>7</cp:revision>
  <cp:lastPrinted>2017-12-03T12:37:00Z</cp:lastPrinted>
  <dcterms:created xsi:type="dcterms:W3CDTF">2020-12-10T07:47:00Z</dcterms:created>
  <dcterms:modified xsi:type="dcterms:W3CDTF">2020-12-30T07:00:00Z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10/25/2017 1:39:20 PM</vt:lpwstr>
  </property>
  <property fmtid="{D5CDD505-2E9C-101B-9397-08002B2CF9AE}" pid="5" name="OriginalDocID">
    <vt:lpwstr>865e7234-c186-4932-8223-85f5cd2fd5f8</vt:lpwstr>
  </property>
  <property fmtid="{D5CDD505-2E9C-101B-9397-08002B2CF9AE}" pid="6" name="ContentTypeId">
    <vt:lpwstr>0x010100832FB50329565A48AF124FD5AEDB7005</vt:lpwstr>
  </property>
</Properties>
</file>