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62" w:type="dxa"/>
        <w:tblInd w:w="-34" w:type="dxa"/>
        <w:tblBorders>
          <w:bottom w:val="single" w:sz="24" w:space="0" w:color="auto"/>
          <w:insideH w:val="single" w:sz="8" w:space="0" w:color="auto"/>
        </w:tblBorders>
        <w:tblLayout w:type="fixed"/>
        <w:tblCellMar>
          <w:top w:w="28" w:type="dxa"/>
          <w:left w:w="85" w:type="dxa"/>
          <w:bottom w:w="28" w:type="dxa"/>
          <w:right w:w="85" w:type="dxa"/>
        </w:tblCellMar>
        <w:tblLook w:val="0000" w:firstRow="0" w:lastRow="0" w:firstColumn="0" w:lastColumn="0" w:noHBand="0" w:noVBand="0"/>
      </w:tblPr>
      <w:tblGrid>
        <w:gridCol w:w="2707"/>
        <w:gridCol w:w="5407"/>
        <w:gridCol w:w="1526"/>
        <w:gridCol w:w="22"/>
      </w:tblGrid>
      <w:tr w:rsidR="00DE796A" w14:paraId="65151BD3" w14:textId="77777777" w:rsidTr="00C07A4A">
        <w:trPr>
          <w:gridAfter w:val="1"/>
          <w:wAfter w:w="22" w:type="dxa"/>
          <w:cantSplit/>
          <w:trHeight w:val="708"/>
        </w:trPr>
        <w:tc>
          <w:tcPr>
            <w:tcW w:w="2707" w:type="dxa"/>
            <w:tcBorders>
              <w:bottom w:val="nil"/>
            </w:tcBorders>
          </w:tcPr>
          <w:p w14:paraId="43EA6F7E" w14:textId="77777777" w:rsidR="00DE796A" w:rsidRPr="00C811BE" w:rsidRDefault="00C811BE">
            <w:pPr>
              <w:bidi w:val="0"/>
              <w:rPr>
                <w:rFonts w:cs="Times New Roman"/>
                <w:b/>
                <w:bCs/>
                <w:sz w:val="60"/>
                <w:szCs w:val="60"/>
                <w:rtl/>
              </w:rPr>
            </w:pPr>
            <w:r w:rsidRPr="00C811BE">
              <w:rPr>
                <w:rFonts w:ascii="Univers" w:hAnsi="Univers" w:cs="Times New Roman"/>
                <w:b/>
                <w:sz w:val="60"/>
                <w:szCs w:val="60"/>
              </w:rPr>
              <w:t>EP</w:t>
            </w:r>
          </w:p>
        </w:tc>
        <w:tc>
          <w:tcPr>
            <w:tcW w:w="6933" w:type="dxa"/>
            <w:gridSpan w:val="2"/>
            <w:tcBorders>
              <w:bottom w:val="nil"/>
            </w:tcBorders>
          </w:tcPr>
          <w:p w14:paraId="054AD989" w14:textId="77777777" w:rsidR="007277EF" w:rsidRPr="006D5F3B" w:rsidRDefault="00DE796A" w:rsidP="00DB15A4">
            <w:pPr>
              <w:spacing w:before="120" w:after="80" w:line="360" w:lineRule="exact"/>
              <w:ind w:left="168"/>
              <w:jc w:val="both"/>
              <w:rPr>
                <w:rFonts w:ascii="Simplified Arabic" w:hAnsi="Simplified Arabic"/>
                <w:b/>
                <w:bCs/>
                <w:sz w:val="20"/>
                <w:szCs w:val="20"/>
                <w:rtl/>
              </w:rPr>
            </w:pPr>
            <w:r w:rsidRPr="006D5F3B">
              <w:rPr>
                <w:rFonts w:ascii="Simplified Arabic" w:hAnsi="Simplified Arabic"/>
                <w:b/>
                <w:bCs/>
                <w:sz w:val="44"/>
                <w:szCs w:val="44"/>
                <w:rtl/>
              </w:rPr>
              <w:t>الأمم</w:t>
            </w:r>
          </w:p>
          <w:p w14:paraId="13C4198E" w14:textId="2387FF63" w:rsidR="00DE796A" w:rsidRPr="000844F9" w:rsidRDefault="00DE796A" w:rsidP="00DB15A4">
            <w:pPr>
              <w:spacing w:before="120" w:line="360" w:lineRule="exact"/>
              <w:ind w:left="168"/>
              <w:jc w:val="both"/>
              <w:rPr>
                <w:rFonts w:cs="Traditional Arabic"/>
                <w:b/>
                <w:bCs/>
                <w:sz w:val="44"/>
                <w:szCs w:val="44"/>
              </w:rPr>
            </w:pPr>
            <w:r w:rsidRPr="006D5F3B">
              <w:rPr>
                <w:rFonts w:ascii="Simplified Arabic" w:hAnsi="Simplified Arabic"/>
                <w:b/>
                <w:bCs/>
                <w:sz w:val="44"/>
                <w:szCs w:val="44"/>
                <w:rtl/>
              </w:rPr>
              <w:t>المتحدة</w:t>
            </w:r>
          </w:p>
        </w:tc>
      </w:tr>
      <w:tr w:rsidR="004B0A17" w14:paraId="47203BE6" w14:textId="77777777" w:rsidTr="009C06F1">
        <w:trPr>
          <w:gridAfter w:val="1"/>
          <w:wAfter w:w="22" w:type="dxa"/>
          <w:cantSplit/>
          <w:trHeight w:val="312"/>
        </w:trPr>
        <w:tc>
          <w:tcPr>
            <w:tcW w:w="2707" w:type="dxa"/>
            <w:tcBorders>
              <w:top w:val="nil"/>
              <w:bottom w:val="single" w:sz="4" w:space="0" w:color="auto"/>
            </w:tcBorders>
            <w:vAlign w:val="bottom"/>
          </w:tcPr>
          <w:p w14:paraId="75D9532D" w14:textId="4E554F12" w:rsidR="004B0A17" w:rsidRPr="002802ED" w:rsidRDefault="00FC1DEC" w:rsidP="00DD7FB2">
            <w:pPr>
              <w:bidi w:val="0"/>
              <w:spacing w:before="60" w:line="300" w:lineRule="exact"/>
              <w:rPr>
                <w:rFonts w:cs="Times New Roman"/>
                <w:b/>
                <w:bCs/>
                <w:sz w:val="20"/>
                <w:szCs w:val="20"/>
              </w:rPr>
            </w:pPr>
            <w:r w:rsidRPr="00A4434B">
              <w:rPr>
                <w:b/>
                <w:bCs/>
                <w:sz w:val="28"/>
                <w:lang w:val="en-GB"/>
              </w:rPr>
              <w:t>UNEP</w:t>
            </w:r>
            <w:r w:rsidRPr="00A4434B">
              <w:rPr>
                <w:lang w:val="en-GB"/>
              </w:rPr>
              <w:t>/</w:t>
            </w:r>
            <w:r w:rsidRPr="00004629">
              <w:rPr>
                <w:sz w:val="20"/>
                <w:szCs w:val="20"/>
                <w:lang w:val="en-GB"/>
              </w:rPr>
              <w:t>EA.</w:t>
            </w:r>
            <w:r w:rsidR="00AC52A5">
              <w:rPr>
                <w:sz w:val="20"/>
                <w:szCs w:val="20"/>
                <w:lang w:val="en-GB"/>
              </w:rPr>
              <w:t>5</w:t>
            </w:r>
            <w:r w:rsidRPr="00B4256C">
              <w:rPr>
                <w:sz w:val="20"/>
                <w:szCs w:val="20"/>
                <w:lang w:val="en-GB"/>
              </w:rPr>
              <w:t>/</w:t>
            </w:r>
            <w:r w:rsidR="00E75023">
              <w:rPr>
                <w:rFonts w:cs="Times New Roman"/>
                <w:sz w:val="20"/>
                <w:szCs w:val="20"/>
              </w:rPr>
              <w:t>19</w:t>
            </w:r>
          </w:p>
        </w:tc>
        <w:tc>
          <w:tcPr>
            <w:tcW w:w="6933" w:type="dxa"/>
            <w:gridSpan w:val="2"/>
            <w:tcBorders>
              <w:top w:val="nil"/>
              <w:bottom w:val="single" w:sz="4" w:space="0" w:color="auto"/>
            </w:tcBorders>
            <w:vAlign w:val="bottom"/>
          </w:tcPr>
          <w:p w14:paraId="2D58EA46" w14:textId="77777777" w:rsidR="004B0A17" w:rsidRPr="00CE0519" w:rsidRDefault="004B0A17" w:rsidP="00DD7FB2">
            <w:pPr>
              <w:bidi w:val="0"/>
              <w:spacing w:before="60" w:line="300" w:lineRule="exact"/>
              <w:jc w:val="both"/>
              <w:rPr>
                <w:rFonts w:cs="Times New Roman"/>
                <w:b/>
                <w:bCs/>
                <w:sz w:val="20"/>
                <w:szCs w:val="20"/>
                <w:rtl/>
                <w:lang w:val="en-GB"/>
              </w:rPr>
            </w:pPr>
          </w:p>
        </w:tc>
      </w:tr>
      <w:tr w:rsidR="00DE796A" w14:paraId="6AA30135" w14:textId="77777777" w:rsidTr="0015228F">
        <w:trPr>
          <w:cantSplit/>
          <w:trHeight w:val="2475"/>
        </w:trPr>
        <w:tc>
          <w:tcPr>
            <w:tcW w:w="2707" w:type="dxa"/>
            <w:tcBorders>
              <w:top w:val="single" w:sz="4" w:space="0" w:color="auto"/>
              <w:bottom w:val="single" w:sz="24" w:space="0" w:color="auto"/>
            </w:tcBorders>
          </w:tcPr>
          <w:p w14:paraId="3AA6B06F" w14:textId="77777777" w:rsidR="00DE796A" w:rsidRPr="00A969A0" w:rsidRDefault="00DE796A" w:rsidP="00386B73">
            <w:pPr>
              <w:bidi w:val="0"/>
              <w:spacing w:before="160"/>
              <w:jc w:val="both"/>
              <w:rPr>
                <w:rFonts w:cs="Times New Roman"/>
                <w:sz w:val="20"/>
                <w:szCs w:val="20"/>
                <w:lang w:val="en-GB"/>
              </w:rPr>
            </w:pPr>
            <w:r w:rsidRPr="00A969A0">
              <w:rPr>
                <w:rFonts w:cs="Times New Roman"/>
                <w:sz w:val="20"/>
                <w:szCs w:val="20"/>
              </w:rPr>
              <w:t>Distr.</w:t>
            </w:r>
            <w:r w:rsidR="006C560D" w:rsidRPr="00A969A0">
              <w:rPr>
                <w:rFonts w:cs="Times New Roman"/>
                <w:sz w:val="20"/>
                <w:szCs w:val="20"/>
                <w:lang w:val="en-GB"/>
              </w:rPr>
              <w:t>: General</w:t>
            </w:r>
          </w:p>
          <w:p w14:paraId="27CB6FE9" w14:textId="0B0833BB" w:rsidR="00DE796A" w:rsidRPr="00DD7FB2" w:rsidRDefault="002802ED">
            <w:pPr>
              <w:bidi w:val="0"/>
              <w:jc w:val="both"/>
              <w:rPr>
                <w:rFonts w:cs="Times New Roman"/>
                <w:sz w:val="20"/>
                <w:szCs w:val="20"/>
              </w:rPr>
            </w:pPr>
            <w:r>
              <w:rPr>
                <w:rFonts w:cs="Times New Roman"/>
                <w:sz w:val="20"/>
                <w:szCs w:val="20"/>
              </w:rPr>
              <w:t>1</w:t>
            </w:r>
            <w:r w:rsidR="00DD0D3D">
              <w:rPr>
                <w:rFonts w:cs="Times New Roman"/>
                <w:sz w:val="20"/>
                <w:szCs w:val="20"/>
              </w:rPr>
              <w:t>6</w:t>
            </w:r>
            <w:r w:rsidR="00A576F2" w:rsidRPr="00A969A0">
              <w:rPr>
                <w:rFonts w:cs="Times New Roman"/>
                <w:sz w:val="20"/>
                <w:szCs w:val="20"/>
              </w:rPr>
              <w:t xml:space="preserve"> </w:t>
            </w:r>
            <w:r w:rsidR="00A718E2">
              <w:rPr>
                <w:rFonts w:cs="Times New Roman"/>
                <w:sz w:val="20"/>
                <w:szCs w:val="20"/>
              </w:rPr>
              <w:t>November</w:t>
            </w:r>
            <w:r w:rsidR="00A576F2">
              <w:rPr>
                <w:rFonts w:cs="Times New Roman"/>
                <w:sz w:val="20"/>
                <w:szCs w:val="20"/>
              </w:rPr>
              <w:t xml:space="preserve"> </w:t>
            </w:r>
            <w:r w:rsidR="00A576F2" w:rsidRPr="00A969A0">
              <w:rPr>
                <w:rFonts w:cs="Times New Roman"/>
                <w:sz w:val="20"/>
                <w:szCs w:val="20"/>
              </w:rPr>
              <w:t>20</w:t>
            </w:r>
            <w:r w:rsidR="00AC52A5">
              <w:rPr>
                <w:rFonts w:cs="Times New Roman"/>
                <w:sz w:val="20"/>
                <w:szCs w:val="20"/>
              </w:rPr>
              <w:t>20</w:t>
            </w:r>
          </w:p>
          <w:p w14:paraId="42911277" w14:textId="77777777" w:rsidR="00DE796A" w:rsidRPr="00A969A0" w:rsidRDefault="009819E2" w:rsidP="00A969A0">
            <w:pPr>
              <w:pStyle w:val="Heading5"/>
              <w:bidi w:val="0"/>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27E2A62" w14:textId="77777777" w:rsidR="00DE796A" w:rsidRDefault="009819E2" w:rsidP="00A969A0">
            <w:pPr>
              <w:bidi w:val="0"/>
              <w:ind w:right="34"/>
              <w:jc w:val="both"/>
            </w:pPr>
            <w:r w:rsidRPr="00A969A0">
              <w:rPr>
                <w:rFonts w:cs="Times New Roman"/>
                <w:sz w:val="20"/>
                <w:szCs w:val="20"/>
              </w:rPr>
              <w:t>Original: English</w:t>
            </w:r>
          </w:p>
        </w:tc>
        <w:tc>
          <w:tcPr>
            <w:tcW w:w="5407" w:type="dxa"/>
            <w:tcBorders>
              <w:top w:val="single" w:sz="4" w:space="0" w:color="auto"/>
              <w:bottom w:val="single" w:sz="24" w:space="0" w:color="auto"/>
            </w:tcBorders>
            <w:vAlign w:val="bottom"/>
          </w:tcPr>
          <w:p w14:paraId="4D2CD28F" w14:textId="77777777" w:rsidR="00DE796A" w:rsidRPr="007D0244" w:rsidRDefault="00324C76" w:rsidP="00C77585">
            <w:pPr>
              <w:spacing w:after="120" w:line="460" w:lineRule="exact"/>
              <w:ind w:right="2064" w:firstLine="17"/>
              <w:rPr>
                <w:rFonts w:ascii="Simplified Arabic" w:hAnsi="Simplified Arabic"/>
                <w:sz w:val="40"/>
                <w:szCs w:val="40"/>
                <w:rtl/>
              </w:rPr>
            </w:pPr>
            <w:r w:rsidRPr="007D0244">
              <w:rPr>
                <w:rFonts w:ascii="Simplified Arabic" w:hAnsi="Simplified Arabic"/>
                <w:b/>
                <w:bCs/>
                <w:sz w:val="40"/>
                <w:szCs w:val="40"/>
                <w:rtl/>
              </w:rPr>
              <w:t xml:space="preserve">جمعية الأمم المتحدة للبيئة </w:t>
            </w:r>
            <w:r w:rsidR="000255EE" w:rsidRPr="007D0244">
              <w:rPr>
                <w:rFonts w:ascii="Simplified Arabic" w:hAnsi="Simplified Arabic"/>
                <w:b/>
                <w:bCs/>
                <w:sz w:val="40"/>
                <w:szCs w:val="40"/>
                <w:rtl/>
              </w:rPr>
              <w:t xml:space="preserve">التابعة </w:t>
            </w:r>
            <w:r w:rsidR="007C0FF8" w:rsidRPr="007D0244">
              <w:rPr>
                <w:rFonts w:ascii="Simplified Arabic" w:hAnsi="Simplified Arabic"/>
                <w:b/>
                <w:bCs/>
                <w:sz w:val="40"/>
                <w:szCs w:val="40"/>
                <w:rtl/>
              </w:rPr>
              <w:t>ل</w:t>
            </w:r>
            <w:r w:rsidRPr="007D0244">
              <w:rPr>
                <w:rFonts w:ascii="Simplified Arabic" w:hAnsi="Simplified Arabic"/>
                <w:b/>
                <w:bCs/>
                <w:sz w:val="40"/>
                <w:szCs w:val="40"/>
                <w:rtl/>
              </w:rPr>
              <w:t>برنامج الأمم المتحدة للبيئة</w:t>
            </w:r>
          </w:p>
        </w:tc>
        <w:tc>
          <w:tcPr>
            <w:tcW w:w="1548" w:type="dxa"/>
            <w:gridSpan w:val="2"/>
            <w:tcBorders>
              <w:top w:val="single" w:sz="4" w:space="0" w:color="auto"/>
              <w:bottom w:val="single" w:sz="24" w:space="0" w:color="auto"/>
            </w:tcBorders>
          </w:tcPr>
          <w:p w14:paraId="4B969370" w14:textId="1D71DA6E" w:rsidR="00DE796A" w:rsidRDefault="007277EF" w:rsidP="002B0E93">
            <w:pPr>
              <w:spacing w:line="20" w:lineRule="exact"/>
              <w:jc w:val="right"/>
            </w:pPr>
            <w:r>
              <w:rPr>
                <w:noProof/>
              </w:rPr>
              <w:drawing>
                <wp:anchor distT="0" distB="0" distL="114300" distR="114300" simplePos="0" relativeHeight="251659264" behindDoc="0" locked="0" layoutInCell="1" allowOverlap="1" wp14:anchorId="669A1AFD" wp14:editId="146FB547">
                  <wp:simplePos x="0" y="0"/>
                  <wp:positionH relativeFrom="column">
                    <wp:posOffset>88265</wp:posOffset>
                  </wp:positionH>
                  <wp:positionV relativeFrom="paragraph">
                    <wp:posOffset>699433</wp:posOffset>
                  </wp:positionV>
                  <wp:extent cx="756000" cy="706154"/>
                  <wp:effectExtent l="0" t="0" r="635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b="9727"/>
                          <a:stretch>
                            <a:fillRect/>
                          </a:stretch>
                        </pic:blipFill>
                        <pic:spPr bwMode="auto">
                          <a:xfrm>
                            <a:off x="0" y="0"/>
                            <a:ext cx="756000" cy="706154"/>
                          </a:xfrm>
                          <a:prstGeom prst="rect">
                            <a:avLst/>
                          </a:prstGeom>
                          <a:noFill/>
                        </pic:spPr>
                      </pic:pic>
                    </a:graphicData>
                  </a:graphic>
                  <wp14:sizeRelH relativeFrom="page">
                    <wp14:pctWidth>0</wp14:pctWidth>
                  </wp14:sizeRelH>
                  <wp14:sizeRelV relativeFrom="page">
                    <wp14:pctHeight>0</wp14:pctHeight>
                  </wp14:sizeRelV>
                </wp:anchor>
              </w:drawing>
            </w:r>
            <w:r w:rsidR="00DD0D3D">
              <w:rPr>
                <w:noProof/>
              </w:rPr>
              <w:object w:dxaOrig="1440" w:dyaOrig="1440" w14:anchorId="42CAB5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6pt;margin-top:0;width:65.55pt;height:61.85pt;z-index:251660288;mso-position-horizontal-relative:text;mso-position-vertical-relative:text;mso-width-relative:page;mso-height-relative:page" wrapcoords="-248 0 -248 18439 19117 18439 19117 0 -248 0" fillcolor="window">
                  <v:imagedata r:id="rId12" o:title=""/>
                  <w10:wrap type="tight"/>
                </v:shape>
                <o:OLEObject Type="Embed" ProgID="Word.Picture.8" ShapeID="_x0000_s1026" DrawAspect="Content" ObjectID="_1670845937" r:id="rId13"/>
              </w:object>
            </w:r>
          </w:p>
        </w:tc>
      </w:tr>
      <w:tr w:rsidR="00600F25" w:rsidRPr="008D2C69" w14:paraId="4412F186" w14:textId="77777777" w:rsidTr="0015228F">
        <w:trPr>
          <w:cantSplit/>
          <w:trHeight w:val="1948"/>
        </w:trPr>
        <w:tc>
          <w:tcPr>
            <w:tcW w:w="2707" w:type="dxa"/>
            <w:tcBorders>
              <w:top w:val="single" w:sz="24" w:space="0" w:color="auto"/>
              <w:bottom w:val="nil"/>
            </w:tcBorders>
          </w:tcPr>
          <w:p w14:paraId="2105CEF6" w14:textId="77777777" w:rsidR="00600F25" w:rsidRPr="008D2C69" w:rsidRDefault="00600F25" w:rsidP="00386B73">
            <w:pPr>
              <w:bidi w:val="0"/>
              <w:spacing w:before="160"/>
              <w:jc w:val="both"/>
              <w:rPr>
                <w:sz w:val="28"/>
                <w:lang w:eastAsia="zh-TW"/>
              </w:rPr>
            </w:pPr>
          </w:p>
        </w:tc>
        <w:tc>
          <w:tcPr>
            <w:tcW w:w="6955" w:type="dxa"/>
            <w:gridSpan w:val="3"/>
            <w:tcBorders>
              <w:top w:val="single" w:sz="24" w:space="0" w:color="auto"/>
              <w:bottom w:val="nil"/>
            </w:tcBorders>
          </w:tcPr>
          <w:p w14:paraId="2B345280" w14:textId="77777777" w:rsidR="00600F25" w:rsidRPr="0059256C" w:rsidRDefault="00600F25" w:rsidP="0059256C">
            <w:pPr>
              <w:spacing w:line="340" w:lineRule="exact"/>
              <w:ind w:right="3905"/>
              <w:rPr>
                <w:rFonts w:ascii="Simplified Arabic" w:hAnsi="Simplified Arabic"/>
                <w:b/>
                <w:bCs/>
                <w:sz w:val="26"/>
                <w:szCs w:val="26"/>
                <w:rtl/>
              </w:rPr>
            </w:pPr>
            <w:r w:rsidRPr="0059256C">
              <w:rPr>
                <w:rFonts w:ascii="Simplified Arabic" w:hAnsi="Simplified Arabic"/>
                <w:b/>
                <w:bCs/>
                <w:sz w:val="26"/>
                <w:szCs w:val="26"/>
                <w:rtl/>
              </w:rPr>
              <w:t>جمعية الأمم المتحدة للبيئة التابعة لبرنامج الأمم المتحدة للبيئة</w:t>
            </w:r>
          </w:p>
          <w:p w14:paraId="114DD03F" w14:textId="4D4960F2" w:rsidR="00600F25" w:rsidRPr="0059256C" w:rsidRDefault="00600F25" w:rsidP="0059256C">
            <w:pPr>
              <w:spacing w:line="340" w:lineRule="exact"/>
              <w:ind w:right="3905"/>
              <w:rPr>
                <w:rFonts w:ascii="Simplified Arabic" w:hAnsi="Simplified Arabic"/>
                <w:sz w:val="26"/>
                <w:szCs w:val="26"/>
                <w:rtl/>
              </w:rPr>
            </w:pPr>
            <w:r w:rsidRPr="0059256C">
              <w:rPr>
                <w:rFonts w:ascii="Simplified Arabic" w:hAnsi="Simplified Arabic"/>
                <w:b/>
                <w:bCs/>
                <w:sz w:val="26"/>
                <w:szCs w:val="26"/>
                <w:rtl/>
              </w:rPr>
              <w:t>الدورة ال</w:t>
            </w:r>
            <w:r w:rsidR="00263A7E">
              <w:rPr>
                <w:rFonts w:ascii="Simplified Arabic" w:hAnsi="Simplified Arabic" w:hint="cs"/>
                <w:b/>
                <w:bCs/>
                <w:sz w:val="26"/>
                <w:szCs w:val="26"/>
                <w:rtl/>
              </w:rPr>
              <w:t>خامسة</w:t>
            </w:r>
          </w:p>
          <w:p w14:paraId="713AB466" w14:textId="066FC29A" w:rsidR="00600F25" w:rsidRPr="0059256C" w:rsidRDefault="00600F25" w:rsidP="00DB15A4">
            <w:pPr>
              <w:spacing w:line="340" w:lineRule="exact"/>
              <w:ind w:right="2204"/>
              <w:rPr>
                <w:rFonts w:ascii="Simplified Arabic" w:hAnsi="Simplified Arabic"/>
                <w:sz w:val="26"/>
                <w:szCs w:val="26"/>
                <w:rtl/>
              </w:rPr>
            </w:pPr>
            <w:r w:rsidRPr="0059256C">
              <w:rPr>
                <w:rFonts w:ascii="Simplified Arabic" w:hAnsi="Simplified Arabic"/>
                <w:sz w:val="26"/>
                <w:szCs w:val="26"/>
                <w:rtl/>
              </w:rPr>
              <w:t xml:space="preserve">نيروبي، </w:t>
            </w:r>
            <w:r w:rsidR="00DB15A4">
              <w:rPr>
                <w:rFonts w:ascii="Simplified Arabic" w:hAnsi="Simplified Arabic" w:hint="cs"/>
                <w:sz w:val="24"/>
                <w:szCs w:val="24"/>
                <w:rtl/>
              </w:rPr>
              <w:t>(عبر الإنترن</w:t>
            </w:r>
            <w:r w:rsidR="00DB15A4">
              <w:rPr>
                <w:rFonts w:ascii="Simplified Arabic" w:hAnsi="Simplified Arabic" w:hint="eastAsia"/>
                <w:sz w:val="24"/>
                <w:szCs w:val="24"/>
                <w:rtl/>
              </w:rPr>
              <w:t>ت</w:t>
            </w:r>
            <w:r w:rsidR="00DB15A4">
              <w:rPr>
                <w:rFonts w:ascii="Simplified Arabic" w:hAnsi="Simplified Arabic" w:hint="cs"/>
                <w:sz w:val="24"/>
                <w:szCs w:val="24"/>
                <w:rtl/>
              </w:rPr>
              <w:t xml:space="preserve">) </w:t>
            </w:r>
            <w:r w:rsidRPr="0059256C">
              <w:rPr>
                <w:rFonts w:ascii="Simplified Arabic" w:hAnsi="Simplified Arabic"/>
                <w:sz w:val="26"/>
                <w:szCs w:val="26"/>
                <w:rtl/>
              </w:rPr>
              <w:t>22-26 شباط/فبراير 202</w:t>
            </w:r>
            <w:r w:rsidR="00DB15A4">
              <w:rPr>
                <w:rFonts w:ascii="Simplified Arabic" w:hAnsi="Simplified Arabic" w:hint="cs"/>
                <w:sz w:val="26"/>
                <w:szCs w:val="26"/>
                <w:rtl/>
              </w:rPr>
              <w:t>1</w:t>
            </w:r>
            <w:r w:rsidR="00DB15A4" w:rsidRPr="00DB7C70">
              <w:rPr>
                <w:rStyle w:val="FootnoteReference"/>
                <w:rFonts w:asciiTheme="majorBidi" w:hAnsiTheme="majorBidi" w:cstheme="majorBidi"/>
                <w:sz w:val="28"/>
                <w:rtl/>
              </w:rPr>
              <w:footnoteReference w:customMarkFollows="1" w:id="1"/>
              <w:t>*</w:t>
            </w:r>
          </w:p>
          <w:p w14:paraId="55890CC6" w14:textId="1F8505A3" w:rsidR="00600F25" w:rsidRDefault="00600F25" w:rsidP="00DB15A4">
            <w:pPr>
              <w:spacing w:after="60" w:line="340" w:lineRule="exact"/>
              <w:ind w:right="3621"/>
              <w:rPr>
                <w:rFonts w:ascii="Simplified Arabic" w:hAnsi="Simplified Arabic"/>
                <w:sz w:val="28"/>
                <w:rtl/>
              </w:rPr>
            </w:pPr>
            <w:r w:rsidRPr="0059256C">
              <w:rPr>
                <w:rFonts w:ascii="Simplified Arabic" w:hAnsi="Simplified Arabic"/>
                <w:sz w:val="26"/>
                <w:szCs w:val="26"/>
                <w:rtl/>
              </w:rPr>
              <w:t xml:space="preserve">البند </w:t>
            </w:r>
            <w:r w:rsidR="002802ED">
              <w:rPr>
                <w:rFonts w:ascii="Simplified Arabic" w:hAnsi="Simplified Arabic" w:hint="cs"/>
                <w:sz w:val="26"/>
                <w:szCs w:val="26"/>
                <w:rtl/>
              </w:rPr>
              <w:t>5</w:t>
            </w:r>
            <w:r w:rsidRPr="0059256C">
              <w:rPr>
                <w:rFonts w:ascii="Simplified Arabic" w:hAnsi="Simplified Arabic"/>
                <w:sz w:val="26"/>
                <w:szCs w:val="26"/>
                <w:rtl/>
              </w:rPr>
              <w:t xml:space="preserve"> من جدول الأعمال المؤقت</w:t>
            </w:r>
            <w:r w:rsidR="00DB15A4" w:rsidRPr="00DB7C70">
              <w:rPr>
                <w:rStyle w:val="FootnoteReference"/>
                <w:rFonts w:asciiTheme="majorBidi" w:hAnsiTheme="majorBidi" w:cstheme="majorBidi"/>
                <w:sz w:val="28"/>
                <w:rtl/>
              </w:rPr>
              <w:footnoteReference w:customMarkFollows="1" w:id="2"/>
              <w:t>*</w:t>
            </w:r>
            <w:r w:rsidR="00DB15A4" w:rsidRPr="00DB7C70">
              <w:rPr>
                <w:rStyle w:val="FootnoteReference"/>
                <w:rFonts w:asciiTheme="majorBidi" w:hAnsiTheme="majorBidi" w:cstheme="majorBidi" w:hint="cs"/>
                <w:sz w:val="28"/>
                <w:rtl/>
              </w:rPr>
              <w:t>*</w:t>
            </w:r>
          </w:p>
          <w:p w14:paraId="76E180B1" w14:textId="33C2BF0A" w:rsidR="00600F25" w:rsidRPr="008D2C69" w:rsidRDefault="001B3867" w:rsidP="001B3867">
            <w:pPr>
              <w:spacing w:after="60" w:line="320" w:lineRule="exact"/>
              <w:ind w:right="4615"/>
              <w:jc w:val="both"/>
              <w:rPr>
                <w:rFonts w:ascii="Simplified Arabic" w:hAnsi="Simplified Arabic"/>
                <w:sz w:val="28"/>
                <w:rtl/>
              </w:rPr>
            </w:pPr>
            <w:r w:rsidRPr="001B3867">
              <w:rPr>
                <w:rFonts w:ascii="Simplified Arabic" w:hAnsi="Simplified Arabic"/>
                <w:b/>
                <w:bCs/>
                <w:sz w:val="24"/>
                <w:szCs w:val="24"/>
                <w:rtl/>
              </w:rPr>
              <w:t>المسائل المتعلقة بالسياسات والإدارة البيئية الدولي</w:t>
            </w:r>
            <w:r w:rsidRPr="001B3867">
              <w:rPr>
                <w:rFonts w:ascii="Simplified Arabic" w:hAnsi="Simplified Arabic" w:hint="cs"/>
                <w:b/>
                <w:bCs/>
                <w:sz w:val="24"/>
                <w:szCs w:val="24"/>
                <w:rtl/>
              </w:rPr>
              <w:t>ة</w:t>
            </w:r>
          </w:p>
        </w:tc>
      </w:tr>
    </w:tbl>
    <w:p w14:paraId="09391426" w14:textId="77777777" w:rsidR="001B3867" w:rsidRPr="00DB15A4" w:rsidRDefault="001B3867" w:rsidP="00DB15A4">
      <w:pPr>
        <w:spacing w:before="360" w:after="160" w:line="360" w:lineRule="exact"/>
        <w:ind w:left="1134"/>
        <w:jc w:val="both"/>
        <w:rPr>
          <w:b/>
          <w:bCs/>
          <w:sz w:val="28"/>
        </w:rPr>
      </w:pPr>
      <w:r w:rsidRPr="00DB15A4">
        <w:rPr>
          <w:b/>
          <w:bCs/>
          <w:sz w:val="28"/>
          <w:rtl/>
        </w:rPr>
        <w:t>التقدم المحرز في تنفيذ القرار 3/6 بشأن إدارة تلوث التربة لتحقيق التنمية المستدامة</w:t>
      </w:r>
    </w:p>
    <w:p w14:paraId="6DC69EAD" w14:textId="77777777" w:rsidR="001B3867" w:rsidRPr="00DB15A4" w:rsidRDefault="001B3867" w:rsidP="00CE0519">
      <w:pPr>
        <w:spacing w:after="160" w:line="360" w:lineRule="exact"/>
        <w:ind w:left="1134"/>
        <w:jc w:val="both"/>
        <w:rPr>
          <w:b/>
          <w:bCs/>
          <w:sz w:val="26"/>
          <w:szCs w:val="26"/>
          <w:rtl/>
        </w:rPr>
      </w:pPr>
      <w:r w:rsidRPr="00DB15A4">
        <w:rPr>
          <w:b/>
          <w:bCs/>
          <w:sz w:val="26"/>
          <w:szCs w:val="26"/>
          <w:rtl/>
        </w:rPr>
        <w:t>تقرير المديرة التنفيذية</w:t>
      </w:r>
    </w:p>
    <w:p w14:paraId="77C24320" w14:textId="77777777" w:rsidR="001B3867" w:rsidRPr="00DB15A4" w:rsidRDefault="001B3867" w:rsidP="001B3867">
      <w:pPr>
        <w:spacing w:after="120" w:line="360" w:lineRule="exact"/>
        <w:ind w:left="1134"/>
        <w:jc w:val="both"/>
        <w:rPr>
          <w:b/>
          <w:bCs/>
          <w:sz w:val="28"/>
          <w:rtl/>
        </w:rPr>
      </w:pPr>
      <w:r w:rsidRPr="00DB15A4">
        <w:rPr>
          <w:b/>
          <w:bCs/>
          <w:sz w:val="28"/>
          <w:rtl/>
        </w:rPr>
        <w:t>مقدمة</w:t>
      </w:r>
    </w:p>
    <w:p w14:paraId="729616FC" w14:textId="13EB3C22" w:rsidR="001B3867" w:rsidRPr="00DB15A4" w:rsidRDefault="001B3867" w:rsidP="00CE0519">
      <w:pPr>
        <w:pStyle w:val="ListParagraph"/>
        <w:numPr>
          <w:ilvl w:val="0"/>
          <w:numId w:val="8"/>
        </w:numPr>
        <w:tabs>
          <w:tab w:val="right" w:pos="1841"/>
        </w:tabs>
        <w:spacing w:after="120" w:line="360" w:lineRule="exact"/>
        <w:ind w:left="1134" w:firstLine="0"/>
        <w:contextualSpacing w:val="0"/>
        <w:jc w:val="both"/>
        <w:rPr>
          <w:sz w:val="24"/>
          <w:szCs w:val="24"/>
        </w:rPr>
      </w:pPr>
      <w:r w:rsidRPr="00DB15A4">
        <w:rPr>
          <w:sz w:val="24"/>
          <w:szCs w:val="24"/>
          <w:rtl/>
        </w:rPr>
        <w:t>طلبت جمعية الأمم المتحدة للبيئة التابعة لبرنامج الأمم المتحدة للبيئة في قرارها 3/6 إلى الدول الأعضاء</w:t>
      </w:r>
      <w:r w:rsidRPr="00DB15A4">
        <w:rPr>
          <w:rFonts w:hint="cs"/>
          <w:sz w:val="24"/>
          <w:szCs w:val="24"/>
          <w:rtl/>
        </w:rPr>
        <w:t>ـ</w:t>
      </w:r>
      <w:r w:rsidRPr="00DB15A4">
        <w:rPr>
          <w:sz w:val="24"/>
          <w:szCs w:val="24"/>
          <w:rtl/>
        </w:rPr>
        <w:t xml:space="preserve"> ودعت منظمات الأمم المتحدة المعنية</w:t>
      </w:r>
      <w:r w:rsidRPr="00DB15A4">
        <w:rPr>
          <w:rFonts w:hint="cs"/>
          <w:sz w:val="24"/>
          <w:szCs w:val="24"/>
          <w:rtl/>
        </w:rPr>
        <w:t>،</w:t>
      </w:r>
      <w:r w:rsidRPr="00DB15A4">
        <w:rPr>
          <w:sz w:val="24"/>
          <w:szCs w:val="24"/>
          <w:rtl/>
        </w:rPr>
        <w:t xml:space="preserve"> إلى التصدي لتلوث التربة في إطار جداول الأعمال العالمية المتعلقة بالبيئة، والأمن الغذائي والزراعة، والتنمية، والصحة، وذلك بطريقة متكاملة، ولا سيما باتباع النهج الوقائية وإدارة المخاطر باستخدام العلوم المتاحة.</w:t>
      </w:r>
    </w:p>
    <w:p w14:paraId="02FCC533" w14:textId="77777777" w:rsidR="001B3867" w:rsidRPr="00DB15A4" w:rsidRDefault="001B3867" w:rsidP="00CE0519">
      <w:pPr>
        <w:pStyle w:val="ListParagraph"/>
        <w:numPr>
          <w:ilvl w:val="0"/>
          <w:numId w:val="8"/>
        </w:numPr>
        <w:tabs>
          <w:tab w:val="right" w:pos="1841"/>
        </w:tabs>
        <w:spacing w:after="120" w:line="360" w:lineRule="exact"/>
        <w:ind w:left="1134" w:firstLine="0"/>
        <w:contextualSpacing w:val="0"/>
        <w:jc w:val="both"/>
        <w:rPr>
          <w:sz w:val="24"/>
          <w:szCs w:val="24"/>
        </w:rPr>
      </w:pPr>
      <w:r w:rsidRPr="00DB15A4">
        <w:rPr>
          <w:sz w:val="24"/>
          <w:szCs w:val="24"/>
          <w:rtl/>
        </w:rPr>
        <w:t>وإلحاقاً بالتقرير المرحلي الذي قُدِّم إلى الدورة الرابعة لجمعية البيئة للنظر فيه</w:t>
      </w:r>
      <w:r w:rsidRPr="00DB15A4">
        <w:rPr>
          <w:rFonts w:hint="cs"/>
          <w:sz w:val="24"/>
          <w:szCs w:val="24"/>
          <w:rtl/>
        </w:rPr>
        <w:t xml:space="preserve"> </w:t>
      </w:r>
      <w:r w:rsidRPr="00DB15A4">
        <w:rPr>
          <w:rFonts w:asciiTheme="majorBidi" w:hAnsiTheme="majorBidi" w:cstheme="majorBidi"/>
          <w:sz w:val="24"/>
          <w:szCs w:val="24"/>
          <w:rtl/>
        </w:rPr>
        <w:t>(</w:t>
      </w:r>
      <w:r w:rsidRPr="00DB15A4">
        <w:rPr>
          <w:rFonts w:asciiTheme="majorBidi" w:hAnsiTheme="majorBidi" w:cstheme="majorBidi"/>
          <w:sz w:val="24"/>
          <w:szCs w:val="24"/>
        </w:rPr>
        <w:t>(UNEP/EA.4/9</w:t>
      </w:r>
      <w:r w:rsidRPr="00DB15A4">
        <w:rPr>
          <w:sz w:val="24"/>
          <w:szCs w:val="24"/>
          <w:rtl/>
        </w:rPr>
        <w:t>، يتضمن هذا التقرير معلومات مستكملة عن الخطوات المتخذة لتنفيذ القرار 3/6، ولا سيما الفقرة 7 منه</w:t>
      </w:r>
      <w:r w:rsidRPr="00DB15A4">
        <w:rPr>
          <w:rFonts w:hint="cs"/>
          <w:sz w:val="24"/>
          <w:szCs w:val="24"/>
          <w:rtl/>
        </w:rPr>
        <w:t>،</w:t>
      </w:r>
      <w:r w:rsidRPr="00DB15A4">
        <w:rPr>
          <w:sz w:val="24"/>
          <w:szCs w:val="24"/>
          <w:rtl/>
        </w:rPr>
        <w:t xml:space="preserve"> التي طلبت فيها جمعية البيئة إلى المديرة التنفيذية أن تقوم، في حدود الموارد المتاحة، وبحلول الدورة الخامسة لجمعية الأمم المتحدة للبيئة، بدعوة منظمات الأمم المتحدة المعنية في إطار ولاية كل منها، بما في ذلك منظمة الصحة العالمية، ومنظمة الأغذية والزراعة للأمم المتحدة، والشراكة العالمية من أجل التربة والفريق التقني الحكومي الدولي المعني بالتربة التابع لها، واتفاقية الأمم المتحدة لمكافحة التصحر إلى: (أ) إعداد تقرير استناداً إلى المعلومات والبيانات العلمية المتاحة، بشأن النطاق والاتجاهات المستقبلية لتلوث التربة، بالنظر إلى كل من المصادر الثابتة للتلوث والتلوث المنتشر؛ وبشأن مخاطر وآثار تلوث التربة على الصحة والبيئة والأمن الغذائي، بما في ذلك تدهور التربة </w:t>
      </w:r>
      <w:r w:rsidRPr="00DB15A4">
        <w:rPr>
          <w:sz w:val="24"/>
          <w:szCs w:val="24"/>
          <w:rtl/>
        </w:rPr>
        <w:lastRenderedPageBreak/>
        <w:t>وعبء المرض الناجم عن التعرض للتربة الملوثة؛ (ب) وضع مبادئ توجيهية تقنية لمنع تلوث التربة والتقليل منه كمساهمة في دعم تنفيذ المبادئ التوجيهية الطوعية للإدارة المستدامة للتربة، بما في ذلك الحلول القائمة على الطبيعة.</w:t>
      </w:r>
    </w:p>
    <w:p w14:paraId="3625EE8C" w14:textId="77777777" w:rsidR="001B3867" w:rsidRPr="00DB15A4" w:rsidRDefault="001B3867" w:rsidP="00CE0519">
      <w:pPr>
        <w:pStyle w:val="ListParagraph"/>
        <w:numPr>
          <w:ilvl w:val="0"/>
          <w:numId w:val="8"/>
        </w:numPr>
        <w:tabs>
          <w:tab w:val="right" w:pos="1841"/>
        </w:tabs>
        <w:spacing w:after="120" w:line="360" w:lineRule="exact"/>
        <w:ind w:left="1134" w:firstLine="0"/>
        <w:contextualSpacing w:val="0"/>
        <w:jc w:val="both"/>
        <w:rPr>
          <w:sz w:val="24"/>
          <w:szCs w:val="24"/>
        </w:rPr>
      </w:pPr>
      <w:r w:rsidRPr="00DB15A4">
        <w:rPr>
          <w:sz w:val="24"/>
          <w:szCs w:val="24"/>
          <w:rtl/>
        </w:rPr>
        <w:t>ويوجز هذا التقرير أيضاً كيفية تعاون برنامج الأمم المتحدة للبيئة مع منظمات الأمم المتحدة الأخرى والمؤسسات الوطنية والدولية التي تتناول مسألة تلوث التربة، بما في ذلك في إطار الشراكات، من أجل وضع جدول أعمال مشترك يتعلق بتنفيذ الإجراءات التي طلبتها جمعية البيئة في الفقرات 6 إلى 9 من القرار 3/6</w:t>
      </w:r>
      <w:r w:rsidRPr="00DB15A4">
        <w:rPr>
          <w:sz w:val="24"/>
          <w:szCs w:val="24"/>
        </w:rPr>
        <w:t>.</w:t>
      </w:r>
    </w:p>
    <w:p w14:paraId="683D5377" w14:textId="696F76C7" w:rsidR="001B3867" w:rsidRPr="00ED0225" w:rsidRDefault="001B3867" w:rsidP="00CE0519">
      <w:pPr>
        <w:pStyle w:val="ListParagraph"/>
        <w:tabs>
          <w:tab w:val="right" w:pos="1841"/>
        </w:tabs>
        <w:spacing w:after="120" w:line="360" w:lineRule="exact"/>
        <w:ind w:left="1134" w:hanging="710"/>
        <w:contextualSpacing w:val="0"/>
        <w:jc w:val="both"/>
        <w:rPr>
          <w:b/>
          <w:bCs/>
          <w:sz w:val="26"/>
          <w:szCs w:val="26"/>
          <w:rtl/>
        </w:rPr>
      </w:pPr>
      <w:r w:rsidRPr="00ED0225">
        <w:rPr>
          <w:rFonts w:hint="cs"/>
          <w:b/>
          <w:bCs/>
          <w:sz w:val="26"/>
          <w:szCs w:val="26"/>
          <w:rtl/>
        </w:rPr>
        <w:t>أولاً-</w:t>
      </w:r>
      <w:r w:rsidRPr="00ED0225">
        <w:rPr>
          <w:b/>
          <w:bCs/>
          <w:sz w:val="26"/>
          <w:szCs w:val="26"/>
          <w:rtl/>
        </w:rPr>
        <w:tab/>
        <w:t>التقدم المحرز في تنفيذ القرار 3/6</w:t>
      </w:r>
    </w:p>
    <w:p w14:paraId="13B7EE93" w14:textId="77777777" w:rsidR="001B3867" w:rsidRPr="00DB15A4" w:rsidRDefault="001B3867" w:rsidP="00CE0519">
      <w:pPr>
        <w:pStyle w:val="ListParagraph"/>
        <w:numPr>
          <w:ilvl w:val="0"/>
          <w:numId w:val="8"/>
        </w:numPr>
        <w:tabs>
          <w:tab w:val="right" w:pos="1841"/>
        </w:tabs>
        <w:spacing w:after="120" w:line="360" w:lineRule="exact"/>
        <w:ind w:left="1134" w:firstLine="0"/>
        <w:contextualSpacing w:val="0"/>
        <w:jc w:val="both"/>
        <w:rPr>
          <w:sz w:val="24"/>
          <w:szCs w:val="24"/>
          <w:rtl/>
        </w:rPr>
      </w:pPr>
      <w:r w:rsidRPr="00DB15A4">
        <w:rPr>
          <w:sz w:val="24"/>
          <w:szCs w:val="24"/>
          <w:rtl/>
        </w:rPr>
        <w:t>كانت التوصيات المنبثقة عن الندوة العالمية بشأن تلوث التربة، التي عقدت في أيار/مايو 2018، بمثابة أول مساهمة ملموسة في إعداد تقرير التقييم العالمي لتلوث التربة وإقراره</w:t>
      </w:r>
      <w:r w:rsidRPr="00DB15A4">
        <w:rPr>
          <w:sz w:val="24"/>
          <w:szCs w:val="24"/>
        </w:rPr>
        <w:t>.</w:t>
      </w:r>
      <w:r w:rsidRPr="00DB15A4">
        <w:rPr>
          <w:sz w:val="24"/>
          <w:szCs w:val="24"/>
          <w:rtl/>
        </w:rPr>
        <w:t xml:space="preserve"> وأنشأت الشراكة العالمية للتربة، تحت رعاية منظمة الأمم المتحدة للأغذية والزراعة، هيئة تحرير مؤلفة من ممثلين عن الشراكات الإقليمية في مجال التربة، وأعضاء الفريق التقني الحكومي الدولي المعني بالتربة، وخبراء معروفين في مجال تلوث التربة، وأعضاء كيانات الأمم المتحدة، وممثلين عن أصحاب المصلحة الآخرين، ولا سيما من قطاع إصلاح التربة والشبكات الدولية والمنظمات غير الحكومية التي تتصدى للمسائل المتعلقة بتلوث التربة</w:t>
      </w:r>
      <w:r w:rsidRPr="00DB15A4">
        <w:rPr>
          <w:sz w:val="24"/>
          <w:szCs w:val="24"/>
        </w:rPr>
        <w:t>.</w:t>
      </w:r>
    </w:p>
    <w:p w14:paraId="124837ED" w14:textId="77777777" w:rsidR="001B3867" w:rsidRPr="00DB15A4" w:rsidRDefault="001B3867" w:rsidP="00CE0519">
      <w:pPr>
        <w:pStyle w:val="ListParagraph"/>
        <w:numPr>
          <w:ilvl w:val="0"/>
          <w:numId w:val="8"/>
        </w:numPr>
        <w:tabs>
          <w:tab w:val="right" w:pos="1841"/>
        </w:tabs>
        <w:spacing w:after="120" w:line="360" w:lineRule="exact"/>
        <w:ind w:left="1134" w:firstLine="0"/>
        <w:contextualSpacing w:val="0"/>
        <w:jc w:val="both"/>
        <w:rPr>
          <w:sz w:val="24"/>
          <w:szCs w:val="24"/>
          <w:rtl/>
        </w:rPr>
      </w:pPr>
      <w:r w:rsidRPr="00DB15A4">
        <w:rPr>
          <w:sz w:val="24"/>
          <w:szCs w:val="24"/>
          <w:rtl/>
        </w:rPr>
        <w:t>وبدأ الإعداد للتقرير في أوائل عام 2019 من خلال إرسال استبيان موجه إلى الدول الأعضاء وأصحاب المصلحة الآخرين</w:t>
      </w:r>
      <w:r w:rsidRPr="00DB15A4">
        <w:rPr>
          <w:sz w:val="24"/>
          <w:szCs w:val="24"/>
        </w:rPr>
        <w:t>.</w:t>
      </w:r>
      <w:r w:rsidRPr="00DB15A4">
        <w:rPr>
          <w:rFonts w:hint="cs"/>
          <w:sz w:val="24"/>
          <w:szCs w:val="24"/>
          <w:rtl/>
        </w:rPr>
        <w:t xml:space="preserve"> </w:t>
      </w:r>
      <w:r w:rsidRPr="00DB15A4">
        <w:rPr>
          <w:sz w:val="24"/>
          <w:szCs w:val="24"/>
          <w:rtl/>
        </w:rPr>
        <w:t>وكان الهدف من الدراسة جمع معلومات عن مواضيع مثل الأطر القانونية الوطنية والإقليمية؛</w:t>
      </w:r>
      <w:r w:rsidRPr="00DB15A4">
        <w:rPr>
          <w:rFonts w:hint="cs"/>
          <w:sz w:val="24"/>
          <w:szCs w:val="24"/>
          <w:rtl/>
        </w:rPr>
        <w:t xml:space="preserve"> </w:t>
      </w:r>
      <w:r w:rsidRPr="00DB15A4">
        <w:rPr>
          <w:sz w:val="24"/>
          <w:szCs w:val="24"/>
          <w:rtl/>
        </w:rPr>
        <w:t>والقيم المرجعية للملوثات؛</w:t>
      </w:r>
      <w:r w:rsidRPr="00DB15A4">
        <w:rPr>
          <w:rFonts w:hint="cs"/>
          <w:sz w:val="24"/>
          <w:szCs w:val="24"/>
          <w:rtl/>
        </w:rPr>
        <w:t xml:space="preserve"> و</w:t>
      </w:r>
      <w:r w:rsidRPr="00DB15A4">
        <w:rPr>
          <w:sz w:val="24"/>
          <w:szCs w:val="24"/>
          <w:rtl/>
        </w:rPr>
        <w:t>المصادر الرئيسية لتلوث التربة والملوثات المرتبطة بها؛</w:t>
      </w:r>
      <w:r w:rsidRPr="00DB15A4">
        <w:rPr>
          <w:rFonts w:hint="cs"/>
          <w:sz w:val="24"/>
          <w:szCs w:val="24"/>
          <w:rtl/>
        </w:rPr>
        <w:t xml:space="preserve"> و</w:t>
      </w:r>
      <w:r w:rsidRPr="00DB15A4">
        <w:rPr>
          <w:sz w:val="24"/>
          <w:szCs w:val="24"/>
          <w:rtl/>
        </w:rPr>
        <w:t>نظم رصد تلوث التربة؛</w:t>
      </w:r>
      <w:r w:rsidRPr="00DB15A4">
        <w:rPr>
          <w:rFonts w:hint="cs"/>
          <w:sz w:val="24"/>
          <w:szCs w:val="24"/>
          <w:rtl/>
        </w:rPr>
        <w:t xml:space="preserve"> </w:t>
      </w:r>
      <w:r w:rsidRPr="00DB15A4">
        <w:rPr>
          <w:sz w:val="24"/>
          <w:szCs w:val="24"/>
          <w:rtl/>
        </w:rPr>
        <w:t>وعمليات الجرد والبيانات؛</w:t>
      </w:r>
      <w:r w:rsidRPr="00DB15A4">
        <w:rPr>
          <w:rFonts w:hint="cs"/>
          <w:sz w:val="24"/>
          <w:szCs w:val="24"/>
          <w:rtl/>
        </w:rPr>
        <w:t xml:space="preserve"> و</w:t>
      </w:r>
      <w:r w:rsidRPr="00DB15A4">
        <w:rPr>
          <w:sz w:val="24"/>
          <w:szCs w:val="24"/>
          <w:rtl/>
        </w:rPr>
        <w:t>رصد المخاطر الصحية والبيئية؛</w:t>
      </w:r>
      <w:r w:rsidRPr="00DB15A4">
        <w:rPr>
          <w:rFonts w:hint="cs"/>
          <w:sz w:val="24"/>
          <w:szCs w:val="24"/>
          <w:rtl/>
        </w:rPr>
        <w:t xml:space="preserve"> و</w:t>
      </w:r>
      <w:r w:rsidRPr="00DB15A4">
        <w:rPr>
          <w:sz w:val="24"/>
          <w:szCs w:val="24"/>
          <w:rtl/>
        </w:rPr>
        <w:t>التكلفة الاجتماعية والاقتصادية لتلوث التربة؛</w:t>
      </w:r>
      <w:r w:rsidRPr="00DB15A4">
        <w:rPr>
          <w:rFonts w:hint="cs"/>
          <w:sz w:val="24"/>
          <w:szCs w:val="24"/>
          <w:rtl/>
        </w:rPr>
        <w:t xml:space="preserve"> و</w:t>
      </w:r>
      <w:r w:rsidRPr="00DB15A4">
        <w:rPr>
          <w:sz w:val="24"/>
          <w:szCs w:val="24"/>
          <w:rtl/>
        </w:rPr>
        <w:t>ممارسات الإدارة والإصلاح؛</w:t>
      </w:r>
      <w:r w:rsidRPr="00DB15A4">
        <w:rPr>
          <w:rFonts w:hint="cs"/>
          <w:sz w:val="24"/>
          <w:szCs w:val="24"/>
          <w:rtl/>
        </w:rPr>
        <w:t xml:space="preserve"> و</w:t>
      </w:r>
      <w:r w:rsidRPr="00DB15A4">
        <w:rPr>
          <w:sz w:val="24"/>
          <w:szCs w:val="24"/>
          <w:rtl/>
        </w:rPr>
        <w:t xml:space="preserve">دراسات </w:t>
      </w:r>
      <w:r w:rsidRPr="00DB15A4">
        <w:rPr>
          <w:rFonts w:hint="cs"/>
          <w:sz w:val="24"/>
          <w:szCs w:val="24"/>
          <w:rtl/>
        </w:rPr>
        <w:t>ال</w:t>
      </w:r>
      <w:r w:rsidRPr="00DB15A4">
        <w:rPr>
          <w:sz w:val="24"/>
          <w:szCs w:val="24"/>
          <w:rtl/>
        </w:rPr>
        <w:t xml:space="preserve">حالات </w:t>
      </w:r>
      <w:r w:rsidRPr="00DB15A4">
        <w:rPr>
          <w:rFonts w:hint="cs"/>
          <w:sz w:val="24"/>
          <w:szCs w:val="24"/>
          <w:rtl/>
        </w:rPr>
        <w:t>ال</w:t>
      </w:r>
      <w:r w:rsidRPr="00DB15A4">
        <w:rPr>
          <w:sz w:val="24"/>
          <w:szCs w:val="24"/>
          <w:rtl/>
        </w:rPr>
        <w:t>إفرادية؛</w:t>
      </w:r>
      <w:r w:rsidRPr="00DB15A4">
        <w:rPr>
          <w:rFonts w:hint="cs"/>
          <w:sz w:val="24"/>
          <w:szCs w:val="24"/>
          <w:rtl/>
        </w:rPr>
        <w:t xml:space="preserve"> و</w:t>
      </w:r>
      <w:r w:rsidRPr="00DB15A4">
        <w:rPr>
          <w:sz w:val="24"/>
          <w:szCs w:val="24"/>
          <w:rtl/>
        </w:rPr>
        <w:t>القيود الرئيسية في معالجة تلوث التربة؛</w:t>
      </w:r>
      <w:r w:rsidRPr="00DB15A4">
        <w:rPr>
          <w:rFonts w:hint="cs"/>
          <w:sz w:val="24"/>
          <w:szCs w:val="24"/>
          <w:rtl/>
        </w:rPr>
        <w:t xml:space="preserve"> </w:t>
      </w:r>
      <w:r w:rsidRPr="00DB15A4">
        <w:rPr>
          <w:sz w:val="24"/>
          <w:szCs w:val="24"/>
          <w:rtl/>
        </w:rPr>
        <w:t>والإجراءات المستقبلية المخطط لها</w:t>
      </w:r>
      <w:r w:rsidRPr="00DB15A4">
        <w:rPr>
          <w:sz w:val="24"/>
          <w:szCs w:val="24"/>
        </w:rPr>
        <w:t>.</w:t>
      </w:r>
    </w:p>
    <w:p w14:paraId="77962D40" w14:textId="77777777" w:rsidR="001B3867" w:rsidRPr="00DB15A4" w:rsidRDefault="001B3867" w:rsidP="00CE0519">
      <w:pPr>
        <w:pStyle w:val="ListParagraph"/>
        <w:numPr>
          <w:ilvl w:val="0"/>
          <w:numId w:val="8"/>
        </w:numPr>
        <w:tabs>
          <w:tab w:val="right" w:pos="1841"/>
        </w:tabs>
        <w:spacing w:after="120" w:line="360" w:lineRule="exact"/>
        <w:ind w:left="1134" w:firstLine="0"/>
        <w:contextualSpacing w:val="0"/>
        <w:jc w:val="both"/>
        <w:rPr>
          <w:sz w:val="24"/>
          <w:szCs w:val="24"/>
        </w:rPr>
      </w:pPr>
      <w:r w:rsidRPr="00DB15A4">
        <w:rPr>
          <w:sz w:val="24"/>
          <w:szCs w:val="24"/>
          <w:rtl/>
        </w:rPr>
        <w:t>ومن المتوقع أن يصدر التقرير في أوائل عام 2021 باعتباره منشوراً مشتركاً بين الشراكة العالمية في مجال التربة، والفريق التقني الحكومي الدولي المعني بالتربة، وبرنامج الأمم المتحدة للبيئة</w:t>
      </w:r>
      <w:r w:rsidRPr="00DB15A4">
        <w:rPr>
          <w:sz w:val="24"/>
          <w:szCs w:val="24"/>
        </w:rPr>
        <w:t>.</w:t>
      </w:r>
      <w:r w:rsidRPr="00DB15A4">
        <w:rPr>
          <w:rFonts w:hint="cs"/>
          <w:sz w:val="24"/>
          <w:szCs w:val="24"/>
          <w:rtl/>
        </w:rPr>
        <w:t xml:space="preserve"> </w:t>
      </w:r>
      <w:r w:rsidRPr="00DB15A4">
        <w:rPr>
          <w:sz w:val="24"/>
          <w:szCs w:val="24"/>
          <w:rtl/>
        </w:rPr>
        <w:t>وسيُعلن رسمياً عن التقرير وعن موجز له لمقرري السياسات خلال الدورة الخامسة لجمعية البيئة</w:t>
      </w:r>
      <w:r w:rsidRPr="00DB15A4">
        <w:rPr>
          <w:sz w:val="24"/>
          <w:szCs w:val="24"/>
        </w:rPr>
        <w:t>.</w:t>
      </w:r>
      <w:r w:rsidRPr="00DB15A4">
        <w:rPr>
          <w:rFonts w:hint="cs"/>
          <w:sz w:val="24"/>
          <w:szCs w:val="24"/>
          <w:rtl/>
        </w:rPr>
        <w:t xml:space="preserve"> </w:t>
      </w:r>
      <w:r w:rsidRPr="00DB15A4">
        <w:rPr>
          <w:sz w:val="24"/>
          <w:szCs w:val="24"/>
          <w:rtl/>
        </w:rPr>
        <w:t xml:space="preserve">وبالإضافة إلى ذلك، ونظراً للتداخل بين ذلك التقرير والتقرير </w:t>
      </w:r>
      <w:r w:rsidRPr="00DB15A4">
        <w:rPr>
          <w:rFonts w:hint="cs"/>
          <w:sz w:val="24"/>
          <w:szCs w:val="24"/>
          <w:rtl/>
        </w:rPr>
        <w:t>المعني ب</w:t>
      </w:r>
      <w:r w:rsidRPr="00DB15A4">
        <w:rPr>
          <w:sz w:val="24"/>
          <w:szCs w:val="24"/>
          <w:rtl/>
        </w:rPr>
        <w:t>الآثار البيئية والصحية لمبيدات الآفات والأسمدة، وسبل التقليل منها إلى أدنى حد، الذي يجري إعداده عملاً بقرار جمعية البيئة 3/4، فقد تم تحديد أوجه للتآزر بين الفريقين القائمين على صياغة التقريرين</w:t>
      </w:r>
      <w:r w:rsidRPr="00DB15A4">
        <w:rPr>
          <w:sz w:val="24"/>
          <w:szCs w:val="24"/>
        </w:rPr>
        <w:t>.</w:t>
      </w:r>
    </w:p>
    <w:p w14:paraId="5752EC41" w14:textId="77777777" w:rsidR="001B3867" w:rsidRPr="00DB15A4" w:rsidRDefault="001B3867" w:rsidP="00CE0519">
      <w:pPr>
        <w:pStyle w:val="ListParagraph"/>
        <w:numPr>
          <w:ilvl w:val="0"/>
          <w:numId w:val="8"/>
        </w:numPr>
        <w:tabs>
          <w:tab w:val="right" w:pos="1841"/>
        </w:tabs>
        <w:spacing w:after="120" w:line="360" w:lineRule="exact"/>
        <w:ind w:left="1134" w:firstLine="0"/>
        <w:contextualSpacing w:val="0"/>
        <w:jc w:val="both"/>
        <w:rPr>
          <w:sz w:val="24"/>
          <w:szCs w:val="24"/>
        </w:rPr>
      </w:pPr>
      <w:r w:rsidRPr="00DB15A4">
        <w:rPr>
          <w:sz w:val="24"/>
          <w:szCs w:val="24"/>
          <w:rtl/>
        </w:rPr>
        <w:t>وعملاً بالفقرة 7 (ب) من القرار 3/6، يقوم الفريق التقني الحكومي الدولي المعني بالتربة، من خلال الفريق العامل المعني بتلوث التربة التابع له، الذي يتألف من خبراء دوليين متعددي التخصصات، بإعداد عدة وثائق تقنية لتوفير تدابير محددة السياق لمنع تلوث التربة وتقليله إلى أدنى حد ومعالجته</w:t>
      </w:r>
      <w:r w:rsidRPr="00DB15A4">
        <w:rPr>
          <w:sz w:val="24"/>
          <w:szCs w:val="24"/>
        </w:rPr>
        <w:t>.</w:t>
      </w:r>
    </w:p>
    <w:p w14:paraId="233E6B22" w14:textId="77777777" w:rsidR="001B3867" w:rsidRPr="00DB15A4" w:rsidRDefault="001B3867" w:rsidP="00CE0519">
      <w:pPr>
        <w:pStyle w:val="ListParagraph"/>
        <w:numPr>
          <w:ilvl w:val="0"/>
          <w:numId w:val="8"/>
        </w:numPr>
        <w:tabs>
          <w:tab w:val="right" w:pos="1841"/>
        </w:tabs>
        <w:spacing w:after="120" w:line="360" w:lineRule="exact"/>
        <w:ind w:left="1134" w:firstLine="0"/>
        <w:contextualSpacing w:val="0"/>
        <w:jc w:val="both"/>
        <w:rPr>
          <w:sz w:val="24"/>
          <w:szCs w:val="24"/>
        </w:rPr>
      </w:pPr>
      <w:r w:rsidRPr="00DB15A4">
        <w:rPr>
          <w:sz w:val="24"/>
          <w:szCs w:val="24"/>
          <w:rtl/>
        </w:rPr>
        <w:t>وعلاوة على ذلك، تقوم الشراكة العالمية في مجال التربة، من خلال الفريق التقني الحكومي الدولي المعني بالتربة وفريقها العامل المعني بتلوث التربة، بوضع مبادئ توجيهية تقنية للمنظمات الحكومية بشأن تقييم تلوث التربة وتحديده ورصده والإبلاغ عنه</w:t>
      </w:r>
      <w:r w:rsidRPr="00DB15A4">
        <w:rPr>
          <w:sz w:val="24"/>
          <w:szCs w:val="24"/>
        </w:rPr>
        <w:t>.</w:t>
      </w:r>
      <w:r w:rsidRPr="00DB15A4">
        <w:rPr>
          <w:rFonts w:hint="cs"/>
          <w:sz w:val="24"/>
          <w:szCs w:val="24"/>
          <w:rtl/>
        </w:rPr>
        <w:t xml:space="preserve"> </w:t>
      </w:r>
      <w:r w:rsidRPr="00DB15A4">
        <w:rPr>
          <w:sz w:val="24"/>
          <w:szCs w:val="24"/>
          <w:rtl/>
        </w:rPr>
        <w:t>والقصد من المبادئ التوجيهية هو دعم البلدان في وضع استراتيجيات لتحليل المخاطر، وتحديد أولويات الإجراءات المتعلقة بالتحديد الكمي لملوثات التربة في البؤر الشديدة التلوث، واتخاذ قرارات مستنيرة بشأن إدارة ومعالجة تلوث التربة</w:t>
      </w:r>
      <w:r w:rsidRPr="00DB15A4">
        <w:rPr>
          <w:sz w:val="24"/>
          <w:szCs w:val="24"/>
        </w:rPr>
        <w:t>.</w:t>
      </w:r>
      <w:r w:rsidRPr="00DB15A4">
        <w:rPr>
          <w:rFonts w:hint="cs"/>
          <w:sz w:val="24"/>
          <w:szCs w:val="24"/>
          <w:rtl/>
        </w:rPr>
        <w:t xml:space="preserve"> </w:t>
      </w:r>
      <w:r w:rsidRPr="00DB15A4">
        <w:rPr>
          <w:sz w:val="24"/>
          <w:szCs w:val="24"/>
          <w:rtl/>
        </w:rPr>
        <w:t>ومن المتوقع أن تنشر المبادئ التوجيهية في النصف الأول من عام 2021</w:t>
      </w:r>
      <w:r w:rsidRPr="00DB15A4">
        <w:rPr>
          <w:sz w:val="24"/>
          <w:szCs w:val="24"/>
        </w:rPr>
        <w:t>.</w:t>
      </w:r>
    </w:p>
    <w:p w14:paraId="2CA0B1F2" w14:textId="77777777" w:rsidR="001B3867" w:rsidRPr="00DB15A4" w:rsidRDefault="001B3867" w:rsidP="00CE0519">
      <w:pPr>
        <w:pStyle w:val="ListParagraph"/>
        <w:numPr>
          <w:ilvl w:val="0"/>
          <w:numId w:val="8"/>
        </w:numPr>
        <w:tabs>
          <w:tab w:val="right" w:pos="1841"/>
        </w:tabs>
        <w:spacing w:after="120" w:line="360" w:lineRule="exact"/>
        <w:ind w:left="1134" w:firstLine="0"/>
        <w:contextualSpacing w:val="0"/>
        <w:jc w:val="both"/>
        <w:rPr>
          <w:sz w:val="24"/>
          <w:szCs w:val="24"/>
        </w:rPr>
      </w:pPr>
      <w:r w:rsidRPr="00DB15A4">
        <w:rPr>
          <w:sz w:val="24"/>
          <w:szCs w:val="24"/>
          <w:rtl/>
        </w:rPr>
        <w:t>وقد تعهدت الشراكة العالمية للتربة بتقديم دعم مالي لإعداد تقرير التقييم العالمي لتلوث التربة، كما قدمت حكومات الاتحاد الروسي وسويسرا وفرنسا وهولندا والمفوضية الأوروبية دعماً مالياً إضافياً</w:t>
      </w:r>
      <w:r w:rsidRPr="00DB15A4">
        <w:rPr>
          <w:sz w:val="24"/>
          <w:szCs w:val="24"/>
        </w:rPr>
        <w:t>.</w:t>
      </w:r>
    </w:p>
    <w:p w14:paraId="0F1960C3" w14:textId="77777777" w:rsidR="00ED0225" w:rsidRDefault="00ED0225" w:rsidP="00ED0225">
      <w:pPr>
        <w:rPr>
          <w:b/>
          <w:bCs/>
          <w:sz w:val="24"/>
          <w:szCs w:val="24"/>
          <w:rtl/>
        </w:rPr>
      </w:pPr>
      <w:r>
        <w:rPr>
          <w:b/>
          <w:bCs/>
          <w:sz w:val="24"/>
          <w:szCs w:val="24"/>
          <w:rtl/>
        </w:rPr>
        <w:br w:type="page"/>
      </w:r>
    </w:p>
    <w:p w14:paraId="02667CF2" w14:textId="6F0ADEFC" w:rsidR="001B3867" w:rsidRPr="00ED0225" w:rsidRDefault="001B3867" w:rsidP="00CE0519">
      <w:pPr>
        <w:pStyle w:val="ListParagraph"/>
        <w:tabs>
          <w:tab w:val="right" w:pos="1841"/>
        </w:tabs>
        <w:spacing w:after="120" w:line="360" w:lineRule="exact"/>
        <w:ind w:left="1134" w:hanging="710"/>
        <w:contextualSpacing w:val="0"/>
        <w:jc w:val="both"/>
        <w:rPr>
          <w:b/>
          <w:bCs/>
          <w:sz w:val="26"/>
          <w:szCs w:val="26"/>
          <w:rtl/>
        </w:rPr>
      </w:pPr>
      <w:r w:rsidRPr="00ED0225">
        <w:rPr>
          <w:rFonts w:hint="cs"/>
          <w:b/>
          <w:bCs/>
          <w:sz w:val="26"/>
          <w:szCs w:val="26"/>
          <w:rtl/>
        </w:rPr>
        <w:lastRenderedPageBreak/>
        <w:t>ثانياً-</w:t>
      </w:r>
      <w:r w:rsidRPr="00ED0225">
        <w:rPr>
          <w:b/>
          <w:bCs/>
          <w:sz w:val="26"/>
          <w:szCs w:val="26"/>
          <w:rtl/>
        </w:rPr>
        <w:tab/>
        <w:t>الدروس المستفادة</w:t>
      </w:r>
    </w:p>
    <w:p w14:paraId="30D3F501" w14:textId="77777777" w:rsidR="001B3867" w:rsidRPr="00DB15A4" w:rsidRDefault="001B3867" w:rsidP="00CE0519">
      <w:pPr>
        <w:pStyle w:val="ListParagraph"/>
        <w:numPr>
          <w:ilvl w:val="0"/>
          <w:numId w:val="8"/>
        </w:numPr>
        <w:tabs>
          <w:tab w:val="right" w:pos="1841"/>
        </w:tabs>
        <w:spacing w:after="120" w:line="360" w:lineRule="exact"/>
        <w:ind w:left="1134" w:firstLine="0"/>
        <w:contextualSpacing w:val="0"/>
        <w:jc w:val="both"/>
        <w:rPr>
          <w:sz w:val="24"/>
          <w:szCs w:val="24"/>
        </w:rPr>
      </w:pPr>
      <w:r w:rsidRPr="00DB15A4">
        <w:rPr>
          <w:sz w:val="24"/>
          <w:szCs w:val="24"/>
          <w:rtl/>
        </w:rPr>
        <w:t>كشف تحليل المعلومات التي قدمتها الدول الأعضاء واستعراض المؤلفات العلمية ذات الصلة عن وجود ثغرتين رئيسيتين في هذا المجال من مجالات العمل</w:t>
      </w:r>
      <w:r w:rsidRPr="00DB15A4">
        <w:rPr>
          <w:sz w:val="24"/>
          <w:szCs w:val="24"/>
        </w:rPr>
        <w:t>.</w:t>
      </w:r>
      <w:r w:rsidRPr="00DB15A4">
        <w:rPr>
          <w:rFonts w:hint="cs"/>
          <w:sz w:val="24"/>
          <w:szCs w:val="24"/>
          <w:rtl/>
        </w:rPr>
        <w:t xml:space="preserve"> </w:t>
      </w:r>
      <w:r w:rsidRPr="00DB15A4">
        <w:rPr>
          <w:sz w:val="24"/>
          <w:szCs w:val="24"/>
          <w:rtl/>
        </w:rPr>
        <w:t>فأولاً، وعلى الرغم من الخطر الشديد الذي يشكله تلوث التربة على البيئة وعلى صحة البشر والتنمية، فثمة افتقار عموما</w:t>
      </w:r>
      <w:r w:rsidRPr="00DB15A4">
        <w:rPr>
          <w:rFonts w:hint="cs"/>
          <w:sz w:val="24"/>
          <w:szCs w:val="24"/>
          <w:rtl/>
        </w:rPr>
        <w:t>ً</w:t>
      </w:r>
      <w:r w:rsidRPr="00DB15A4">
        <w:rPr>
          <w:sz w:val="24"/>
          <w:szCs w:val="24"/>
          <w:rtl/>
        </w:rPr>
        <w:t xml:space="preserve"> إلى بيانات عالمية ووطنية متسقة ومنسقة عن وجود الملوثات في التربة</w:t>
      </w:r>
      <w:r w:rsidRPr="00DB15A4">
        <w:rPr>
          <w:sz w:val="24"/>
          <w:szCs w:val="24"/>
        </w:rPr>
        <w:t>.</w:t>
      </w:r>
      <w:r w:rsidRPr="00DB15A4">
        <w:rPr>
          <w:sz w:val="24"/>
          <w:szCs w:val="24"/>
          <w:rtl/>
        </w:rPr>
        <w:t xml:space="preserve"> ويرجع ذلك إلى التعقد التقني والتكلفة التي يتسم بها تحليل التربة، وفي بعض الحالات، إلى عدم وجود قدرات ومؤسسات تُسند إليها مهمة القيام بهذا العمل</w:t>
      </w:r>
      <w:r w:rsidRPr="00DB15A4">
        <w:rPr>
          <w:sz w:val="24"/>
          <w:szCs w:val="24"/>
        </w:rPr>
        <w:t>.</w:t>
      </w:r>
      <w:r w:rsidRPr="00DB15A4">
        <w:rPr>
          <w:rFonts w:hint="cs"/>
          <w:sz w:val="24"/>
          <w:szCs w:val="24"/>
          <w:rtl/>
        </w:rPr>
        <w:t xml:space="preserve"> </w:t>
      </w:r>
      <w:r w:rsidRPr="00DB15A4">
        <w:rPr>
          <w:sz w:val="24"/>
          <w:szCs w:val="24"/>
          <w:rtl/>
        </w:rPr>
        <w:t>ومن الأمور التي تثير القلق بصفة خاصة عدم وجود معلومات عن انتشار تلوث التربة الذي يؤثر أساساً على الأراضي الزراعية ويهدد بالتالي إنتاج الأغذية المأمونة</w:t>
      </w:r>
      <w:r w:rsidRPr="00DB15A4">
        <w:rPr>
          <w:sz w:val="24"/>
          <w:szCs w:val="24"/>
        </w:rPr>
        <w:t>.</w:t>
      </w:r>
      <w:r w:rsidRPr="00DB15A4">
        <w:rPr>
          <w:rFonts w:hint="cs"/>
          <w:sz w:val="24"/>
          <w:szCs w:val="24"/>
          <w:rtl/>
        </w:rPr>
        <w:t xml:space="preserve"> و</w:t>
      </w:r>
      <w:r w:rsidRPr="00DB15A4">
        <w:rPr>
          <w:sz w:val="24"/>
          <w:szCs w:val="24"/>
          <w:rtl/>
        </w:rPr>
        <w:t xml:space="preserve">ثانياً، عند توافر البيانات، يكون فهم مصير الملوثات في ظل ظروف حقيقية محدوداً، حيث يمكن للملوثات أن تتفاعل فيما بينها وتتسبب في آثار </w:t>
      </w:r>
      <w:proofErr w:type="spellStart"/>
      <w:r w:rsidRPr="00DB15A4">
        <w:rPr>
          <w:sz w:val="24"/>
          <w:szCs w:val="24"/>
          <w:rtl/>
        </w:rPr>
        <w:t>تآزرية</w:t>
      </w:r>
      <w:proofErr w:type="spellEnd"/>
      <w:r w:rsidRPr="00DB15A4">
        <w:rPr>
          <w:sz w:val="24"/>
          <w:szCs w:val="24"/>
          <w:rtl/>
        </w:rPr>
        <w:t xml:space="preserve"> أو ضارة إضافية</w:t>
      </w:r>
      <w:r w:rsidRPr="00DB15A4">
        <w:rPr>
          <w:sz w:val="24"/>
          <w:szCs w:val="24"/>
        </w:rPr>
        <w:t>.</w:t>
      </w:r>
      <w:r w:rsidRPr="00DB15A4">
        <w:rPr>
          <w:rFonts w:hint="cs"/>
          <w:sz w:val="24"/>
          <w:szCs w:val="24"/>
          <w:rtl/>
        </w:rPr>
        <w:t xml:space="preserve"> </w:t>
      </w:r>
      <w:r w:rsidRPr="00DB15A4">
        <w:rPr>
          <w:sz w:val="24"/>
          <w:szCs w:val="24"/>
          <w:rtl/>
        </w:rPr>
        <w:t>ونظراً لصعوبة تحليل الملوثات في مصفوفة التربة، لم تُتناوَل آثار اختلاط الملوثات إلا بقليل من الدراسة</w:t>
      </w:r>
      <w:r w:rsidRPr="00DB15A4">
        <w:rPr>
          <w:sz w:val="24"/>
          <w:szCs w:val="24"/>
        </w:rPr>
        <w:t>.</w:t>
      </w:r>
      <w:r w:rsidRPr="00DB15A4">
        <w:rPr>
          <w:rFonts w:hint="cs"/>
          <w:sz w:val="24"/>
          <w:szCs w:val="24"/>
          <w:rtl/>
        </w:rPr>
        <w:t xml:space="preserve"> </w:t>
      </w:r>
      <w:r w:rsidRPr="00DB15A4">
        <w:rPr>
          <w:sz w:val="24"/>
          <w:szCs w:val="24"/>
          <w:rtl/>
        </w:rPr>
        <w:t>وضآلة الدراسات تقلل من كفاءة نهج تقييم المخاطر وتصعِّب اتخاذ قرارات فعالة لمعالجة تلوث التربة</w:t>
      </w:r>
      <w:r w:rsidRPr="00DB15A4">
        <w:rPr>
          <w:sz w:val="24"/>
          <w:szCs w:val="24"/>
        </w:rPr>
        <w:t>.</w:t>
      </w:r>
    </w:p>
    <w:p w14:paraId="7998B662" w14:textId="5B6E8AA3" w:rsidR="001B3867" w:rsidRPr="00ED0225" w:rsidRDefault="00ED0225" w:rsidP="00ED0225">
      <w:pPr>
        <w:pStyle w:val="ListParagraph"/>
        <w:tabs>
          <w:tab w:val="right" w:pos="1841"/>
        </w:tabs>
        <w:spacing w:after="120" w:line="360" w:lineRule="exact"/>
        <w:ind w:left="1134" w:hanging="710"/>
        <w:contextualSpacing w:val="0"/>
        <w:jc w:val="both"/>
        <w:rPr>
          <w:b/>
          <w:bCs/>
          <w:sz w:val="26"/>
          <w:szCs w:val="26"/>
          <w:rtl/>
        </w:rPr>
      </w:pPr>
      <w:r w:rsidRPr="00ED0225">
        <w:rPr>
          <w:rFonts w:hint="cs"/>
          <w:b/>
          <w:bCs/>
          <w:sz w:val="26"/>
          <w:szCs w:val="26"/>
          <w:rtl/>
        </w:rPr>
        <w:t>ثالثاً-</w:t>
      </w:r>
      <w:r w:rsidRPr="00ED0225">
        <w:rPr>
          <w:b/>
          <w:bCs/>
          <w:sz w:val="26"/>
          <w:szCs w:val="26"/>
          <w:rtl/>
        </w:rPr>
        <w:tab/>
      </w:r>
      <w:r w:rsidR="001B3867" w:rsidRPr="00ED0225">
        <w:rPr>
          <w:b/>
          <w:bCs/>
          <w:sz w:val="26"/>
          <w:szCs w:val="26"/>
          <w:rtl/>
        </w:rPr>
        <w:t>التوصيات والإجراءات المقترح اتخاذها</w:t>
      </w:r>
    </w:p>
    <w:p w14:paraId="3D6BE808" w14:textId="7299BDEB" w:rsidR="00C07A4A" w:rsidRPr="00DB15A4" w:rsidRDefault="001B3867" w:rsidP="00CE0519">
      <w:pPr>
        <w:pStyle w:val="ListParagraph"/>
        <w:numPr>
          <w:ilvl w:val="0"/>
          <w:numId w:val="8"/>
        </w:numPr>
        <w:tabs>
          <w:tab w:val="right" w:pos="1841"/>
        </w:tabs>
        <w:spacing w:line="360" w:lineRule="exact"/>
        <w:ind w:left="1134" w:firstLine="0"/>
        <w:contextualSpacing w:val="0"/>
        <w:jc w:val="both"/>
        <w:rPr>
          <w:sz w:val="24"/>
          <w:szCs w:val="24"/>
          <w:rtl/>
        </w:rPr>
      </w:pPr>
      <w:r w:rsidRPr="00DB15A4">
        <w:rPr>
          <w:sz w:val="24"/>
          <w:szCs w:val="24"/>
          <w:rtl/>
        </w:rPr>
        <w:t>قد تود جمعية البيئة الإقرار بنتائج التقييم العالمي لتقرير تلوث التربة والترحيب بها</w:t>
      </w:r>
      <w:r w:rsidRPr="00DB15A4">
        <w:rPr>
          <w:sz w:val="24"/>
          <w:szCs w:val="24"/>
        </w:rPr>
        <w:t>.</w:t>
      </w:r>
    </w:p>
    <w:p w14:paraId="293EBB09" w14:textId="09DE3319" w:rsidR="003D7E80" w:rsidRPr="00DB15A4" w:rsidRDefault="00EC3A5F" w:rsidP="001B3867">
      <w:pPr>
        <w:spacing w:after="120" w:line="360" w:lineRule="exact"/>
        <w:ind w:left="1134"/>
        <w:jc w:val="center"/>
        <w:rPr>
          <w:rFonts w:cs="Traditional Arabic"/>
          <w:sz w:val="20"/>
          <w:szCs w:val="20"/>
        </w:rPr>
      </w:pPr>
      <w:bookmarkStart w:id="0" w:name="TmpSave"/>
      <w:bookmarkEnd w:id="0"/>
      <w:r w:rsidRPr="001B3867">
        <w:rPr>
          <w:rFonts w:cs="Traditional Arabic"/>
          <w:b/>
          <w:bCs/>
          <w:sz w:val="30"/>
          <w:szCs w:val="30"/>
        </w:rPr>
        <w:t>______</w:t>
      </w:r>
      <w:r w:rsidR="008721C9" w:rsidRPr="001B3867">
        <w:rPr>
          <w:rFonts w:cs="Traditional Arabic"/>
          <w:b/>
          <w:bCs/>
          <w:sz w:val="30"/>
          <w:szCs w:val="30"/>
        </w:rPr>
        <w:t>_____</w:t>
      </w:r>
    </w:p>
    <w:sectPr w:rsidR="003D7E80" w:rsidRPr="00DB15A4" w:rsidSect="001B3867">
      <w:headerReference w:type="even" r:id="rId14"/>
      <w:headerReference w:type="default" r:id="rId15"/>
      <w:footerReference w:type="even" r:id="rId16"/>
      <w:footerReference w:type="default" r:id="rId17"/>
      <w:footerReference w:type="first" r:id="rId18"/>
      <w:endnotePr>
        <w:numFmt w:val="lowerLetter"/>
      </w:endnotePr>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4A7229" w14:textId="77777777" w:rsidR="00386B73" w:rsidRDefault="00386B73">
      <w:r>
        <w:separator/>
      </w:r>
    </w:p>
  </w:endnote>
  <w:endnote w:type="continuationSeparator" w:id="0">
    <w:p w14:paraId="21D18EF8" w14:textId="77777777" w:rsidR="00386B73" w:rsidRDefault="00386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80000000" w:usb2="00000008" w:usb3="00000000" w:csb0="00000041" w:csb1="00000000"/>
  </w:font>
  <w:font w:name="Times">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FF869" w14:textId="77777777" w:rsidR="00386B73" w:rsidRPr="0012040B" w:rsidRDefault="00386B73" w:rsidP="0012040B">
    <w:pPr>
      <w:pStyle w:val="Footer"/>
      <w:bidi w:val="0"/>
      <w:rPr>
        <w:rFonts w:ascii="Times New Roman" w:hAnsi="Times New Roman" w:cs="Times New Roman"/>
        <w:sz w:val="22"/>
        <w:szCs w:val="20"/>
        <w:rtl/>
      </w:rPr>
    </w:pPr>
    <w:r>
      <w:rPr>
        <w:rStyle w:val="PageNumber"/>
      </w:rPr>
      <w:fldChar w:fldCharType="begin"/>
    </w:r>
    <w:r>
      <w:rPr>
        <w:rStyle w:val="PageNumber"/>
        <w:rtl/>
      </w:rPr>
      <w:instrText xml:space="preserve"> </w:instrText>
    </w:r>
    <w:r>
      <w:rPr>
        <w:rStyle w:val="PageNumber"/>
      </w:rPr>
      <w:instrText>PAGE</w:instrText>
    </w:r>
    <w:r>
      <w:rPr>
        <w:rStyle w:val="PageNumber"/>
        <w:rtl/>
      </w:rPr>
      <w:instrText xml:space="preserve"> </w:instrText>
    </w:r>
    <w:r>
      <w:rPr>
        <w:rStyle w:val="PageNumber"/>
      </w:rPr>
      <w:fldChar w:fldCharType="separate"/>
    </w:r>
    <w:r w:rsidR="00F2495E">
      <w:rPr>
        <w:rStyle w:val="PageNumber"/>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128AE" w14:textId="77777777" w:rsidR="00386B73" w:rsidRPr="00780A9D" w:rsidRDefault="00386B73" w:rsidP="00780A9D">
    <w:pPr>
      <w:pStyle w:val="Footer"/>
      <w:tabs>
        <w:tab w:val="clear" w:pos="4153"/>
        <w:tab w:val="clear" w:pos="8306"/>
      </w:tabs>
      <w:bidi w:val="0"/>
      <w:jc w:val="left"/>
      <w:rPr>
        <w:rFonts w:ascii="Times New Roman" w:hAnsi="Times New Roman" w:cs="Times New Roman"/>
        <w:szCs w:val="20"/>
        <w:rtl/>
      </w:rPr>
    </w:pPr>
    <w:r w:rsidRPr="00780A9D">
      <w:rPr>
        <w:rStyle w:val="PageNumber"/>
        <w:rFonts w:ascii="Times New Roman" w:hAnsi="Times New Roman" w:cs="Times New Roman"/>
        <w:szCs w:val="20"/>
      </w:rPr>
      <w:fldChar w:fldCharType="begin"/>
    </w:r>
    <w:r w:rsidRPr="00780A9D">
      <w:rPr>
        <w:rStyle w:val="PageNumber"/>
        <w:rFonts w:ascii="Times New Roman" w:hAnsi="Times New Roman" w:cs="Times New Roman"/>
        <w:szCs w:val="20"/>
      </w:rPr>
      <w:instrText xml:space="preserve"> PAGE </w:instrText>
    </w:r>
    <w:r w:rsidRPr="00780A9D">
      <w:rPr>
        <w:rStyle w:val="PageNumber"/>
        <w:rFonts w:ascii="Times New Roman" w:hAnsi="Times New Roman" w:cs="Times New Roman"/>
        <w:szCs w:val="20"/>
      </w:rPr>
      <w:fldChar w:fldCharType="separate"/>
    </w:r>
    <w:r w:rsidR="00F2495E">
      <w:rPr>
        <w:rStyle w:val="PageNumber"/>
        <w:rFonts w:ascii="Times New Roman" w:hAnsi="Times New Roman" w:cs="Times New Roman"/>
        <w:szCs w:val="20"/>
      </w:rPr>
      <w:t>3</w:t>
    </w:r>
    <w:r w:rsidRPr="00780A9D">
      <w:rPr>
        <w:rStyle w:val="PageNumber"/>
        <w:rFonts w:ascii="Times New Roman" w:hAnsi="Times New Roman" w:cs="Times New Roman"/>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0E5E0" w14:textId="30CE88CA" w:rsidR="00386B73" w:rsidRPr="00217B48" w:rsidRDefault="00386B73" w:rsidP="002C5BD4">
    <w:pPr>
      <w:spacing w:line="200" w:lineRule="exact"/>
      <w:ind w:left="1132" w:hanging="1132"/>
      <w:rPr>
        <w:szCs w:val="22"/>
        <w:rtl/>
      </w:rPr>
    </w:pPr>
    <w:r w:rsidRPr="00F45D78">
      <w:rPr>
        <w:rFonts w:cs="Times New Roman"/>
        <w:sz w:val="20"/>
        <w:szCs w:val="20"/>
        <w:lang w:val="en-GB"/>
      </w:rPr>
      <w:t>K</w:t>
    </w:r>
    <w:r w:rsidR="002C5BD4">
      <w:rPr>
        <w:rFonts w:cs="Times New Roman"/>
        <w:sz w:val="20"/>
        <w:szCs w:val="20"/>
        <w:lang w:val="en-GB"/>
      </w:rPr>
      <w:t>200</w:t>
    </w:r>
    <w:r w:rsidR="00CE0519">
      <w:rPr>
        <w:rFonts w:cs="Times New Roman"/>
        <w:sz w:val="20"/>
        <w:szCs w:val="20"/>
        <w:lang w:val="en-GB"/>
      </w:rPr>
      <w:t>2609</w:t>
    </w:r>
    <w:r w:rsidRPr="00F45D78">
      <w:rPr>
        <w:rFonts w:cs="Times New Roman" w:hint="cs"/>
        <w:sz w:val="20"/>
        <w:szCs w:val="20"/>
        <w:rtl/>
        <w:lang w:val="en-GB"/>
      </w:rPr>
      <w:tab/>
    </w:r>
    <w:r w:rsidR="00ED0225">
      <w:rPr>
        <w:rFonts w:cs="Times New Roman"/>
        <w:sz w:val="20"/>
        <w:szCs w:val="20"/>
      </w:rPr>
      <w:t>29</w:t>
    </w:r>
    <w:r w:rsidR="0059256C">
      <w:rPr>
        <w:rFonts w:cs="Times New Roman"/>
        <w:sz w:val="20"/>
        <w:szCs w:val="20"/>
      </w:rPr>
      <w:t>1</w:t>
    </w:r>
    <w:r w:rsidR="002C5BD4">
      <w:rPr>
        <w:rFonts w:cs="Times New Roman"/>
        <w:sz w:val="20"/>
        <w:szCs w:val="20"/>
      </w:rPr>
      <w:t>2</w:t>
    </w:r>
    <w:r w:rsidR="002C5BD4">
      <w:rPr>
        <w:rFonts w:cs="Times New Roman"/>
        <w:sz w:val="20"/>
        <w:szCs w:val="20"/>
        <w:lang w:val="en-GB"/>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9802E2" w14:textId="77777777" w:rsidR="00386B73" w:rsidRDefault="00386B73">
      <w:r>
        <w:separator/>
      </w:r>
    </w:p>
  </w:footnote>
  <w:footnote w:type="continuationSeparator" w:id="0">
    <w:p w14:paraId="782F44D0" w14:textId="77777777" w:rsidR="00386B73" w:rsidRDefault="00386B73">
      <w:r>
        <w:continuationSeparator/>
      </w:r>
    </w:p>
  </w:footnote>
  <w:footnote w:id="1">
    <w:p w14:paraId="32CCBAE6" w14:textId="77777777" w:rsidR="00DB15A4" w:rsidRPr="00DB7C70" w:rsidRDefault="00DB15A4" w:rsidP="00DB15A4">
      <w:pPr>
        <w:pStyle w:val="FootnoteText"/>
        <w:spacing w:after="120" w:line="260" w:lineRule="exact"/>
        <w:ind w:left="1132"/>
        <w:jc w:val="both"/>
        <w:rPr>
          <w:noProof w:val="0"/>
          <w:szCs w:val="18"/>
          <w:rtl/>
          <w:lang w:val="en-GB"/>
        </w:rPr>
      </w:pPr>
      <w:r w:rsidRPr="00DB7C70">
        <w:rPr>
          <w:rStyle w:val="FootnoteReference"/>
          <w:rFonts w:asciiTheme="majorBidi" w:hAnsiTheme="majorBidi" w:cstheme="majorBidi"/>
          <w:noProof w:val="0"/>
          <w:sz w:val="26"/>
          <w:szCs w:val="26"/>
          <w:vertAlign w:val="subscript"/>
        </w:rPr>
        <w:t>*</w:t>
      </w:r>
      <w:r w:rsidRPr="00DB7C70">
        <w:rPr>
          <w:rFonts w:asciiTheme="majorBidi" w:hAnsiTheme="majorBidi" w:cstheme="majorBidi" w:hint="cs"/>
          <w:sz w:val="24"/>
          <w:szCs w:val="24"/>
          <w:rtl/>
        </w:rPr>
        <w:t xml:space="preserve">  </w:t>
      </w:r>
      <w:r w:rsidRPr="00DB7C70">
        <w:rPr>
          <w:rFonts w:ascii="Simplified Arabic" w:hAnsi="Simplified Arabic"/>
          <w:sz w:val="18"/>
          <w:szCs w:val="18"/>
          <w:rtl/>
          <w:lang w:val="en-GB" w:eastAsia="en-GB"/>
        </w:rPr>
        <w:t>وفقاً للمقررين اللذين اتُخذا في اجتماع مكتب جمعية الأمم المتحدة للبيئة المعقود في 8 تشرين الأول/أكتوبر 2020 والاجتماع المشترك لمكتبي جمعية الأمم المتحدة للبيئة ولجنة الممثلين الدائمين المعقود في 1 كانون الأول/ديسمبر 2020، من المتوقع أن تُرفع الدورة الخامسة للجمعية في 23 شباط/فبراير 2021 وتُستأنف في اجتماع حضوري في شباط/فبراير 2022</w:t>
      </w:r>
      <w:r>
        <w:rPr>
          <w:rFonts w:ascii="Simplified Arabic" w:hAnsi="Simplified Arabic" w:hint="cs"/>
          <w:sz w:val="18"/>
          <w:szCs w:val="18"/>
          <w:rtl/>
          <w:lang w:val="en-GB" w:eastAsia="en-GB"/>
        </w:rPr>
        <w:t>.</w:t>
      </w:r>
    </w:p>
  </w:footnote>
  <w:footnote w:id="2">
    <w:p w14:paraId="4D35F609" w14:textId="77777777" w:rsidR="00DB15A4" w:rsidRPr="00225EC6" w:rsidRDefault="00DB15A4" w:rsidP="00DB15A4">
      <w:pPr>
        <w:pStyle w:val="FootnoteText"/>
        <w:spacing w:after="40" w:line="280" w:lineRule="exact"/>
        <w:ind w:left="1132"/>
        <w:jc w:val="both"/>
        <w:rPr>
          <w:noProof w:val="0"/>
          <w:szCs w:val="18"/>
          <w:rtl/>
          <w:lang w:val="en-GB"/>
        </w:rPr>
      </w:pPr>
      <w:r w:rsidRPr="009F3DAC">
        <w:rPr>
          <w:rStyle w:val="FootnoteReference"/>
          <w:rFonts w:asciiTheme="majorBidi" w:hAnsiTheme="majorBidi" w:cstheme="majorBidi"/>
          <w:noProof w:val="0"/>
          <w:sz w:val="18"/>
          <w:szCs w:val="18"/>
          <w:vertAlign w:val="baseline"/>
        </w:rPr>
        <w:t>*</w:t>
      </w:r>
      <w:r w:rsidRPr="009F3DAC">
        <w:rPr>
          <w:rStyle w:val="FootnoteReference"/>
          <w:rFonts w:asciiTheme="majorBidi" w:hAnsiTheme="majorBidi" w:cstheme="majorBidi"/>
          <w:sz w:val="18"/>
          <w:szCs w:val="18"/>
          <w:vertAlign w:val="baseline"/>
          <w:rtl/>
        </w:rPr>
        <w:t>*</w:t>
      </w:r>
      <w:r w:rsidRPr="009F3DAC">
        <w:rPr>
          <w:noProof w:val="0"/>
          <w:sz w:val="18"/>
          <w:szCs w:val="18"/>
          <w:rtl/>
          <w:lang w:val="en-GB"/>
        </w:rPr>
        <w:t xml:space="preserve"> </w:t>
      </w:r>
      <w:r w:rsidRPr="00C8690E">
        <w:rPr>
          <w:rStyle w:val="FootnoteReference"/>
          <w:rFonts w:asciiTheme="majorBidi" w:hAnsiTheme="majorBidi" w:cstheme="majorBidi"/>
          <w:noProof w:val="0"/>
          <w:vertAlign w:val="baseline"/>
        </w:rPr>
        <w:t>UNEP/EA.</w:t>
      </w:r>
      <w:r>
        <w:rPr>
          <w:rFonts w:asciiTheme="majorBidi" w:hAnsiTheme="majorBidi" w:cstheme="majorBidi"/>
          <w:noProof w:val="0"/>
        </w:rPr>
        <w:t>5</w:t>
      </w:r>
      <w:r w:rsidRPr="00C8690E">
        <w:rPr>
          <w:rStyle w:val="FootnoteReference"/>
          <w:rFonts w:asciiTheme="majorBidi" w:hAnsiTheme="majorBidi" w:cstheme="majorBidi"/>
          <w:noProof w:val="0"/>
          <w:vertAlign w:val="baseline"/>
        </w:rPr>
        <w:t>/</w:t>
      </w:r>
      <w:r w:rsidRPr="00C8690E">
        <w:rPr>
          <w:rFonts w:asciiTheme="majorBidi" w:hAnsiTheme="majorBidi" w:cstheme="majorBidi"/>
          <w:noProof w:val="0"/>
        </w:rPr>
        <w:t>1</w:t>
      </w:r>
      <w:r>
        <w:rPr>
          <w:rFonts w:asciiTheme="majorBidi" w:hAnsiTheme="majorBidi" w:cstheme="majorBidi"/>
          <w:noProof w:val="0"/>
        </w:rPr>
        <w:t>/Rev.1</w:t>
      </w:r>
      <w:r>
        <w:rPr>
          <w:rFonts w:cs="Times New Roman"/>
          <w:noProof w:val="0"/>
        </w:rPr>
        <w:t xml:space="preserve"> </w:t>
      </w:r>
      <w:r>
        <w:rPr>
          <w:noProof w:val="0"/>
          <w:szCs w:val="18"/>
          <w:rtl/>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8D6FF" w14:textId="7B414066" w:rsidR="00386B73" w:rsidRPr="0073400D" w:rsidRDefault="00386B73" w:rsidP="00A94CE7">
    <w:pPr>
      <w:pBdr>
        <w:bottom w:val="single" w:sz="4" w:space="0" w:color="auto"/>
      </w:pBdr>
      <w:spacing w:before="20" w:after="40"/>
      <w:rPr>
        <w:b/>
        <w:bCs/>
        <w:sz w:val="17"/>
        <w:szCs w:val="17"/>
        <w:rtl/>
        <w:lang w:val="fr-FR"/>
      </w:rPr>
    </w:pPr>
    <w:r>
      <w:rPr>
        <w:rStyle w:val="PageNumber"/>
        <w:rFonts w:cs="Times New Roman"/>
        <w:b/>
        <w:bCs/>
        <w:sz w:val="17"/>
        <w:szCs w:val="17"/>
      </w:rPr>
      <w:t>U</w:t>
    </w:r>
    <w:r w:rsidR="00315A11">
      <w:rPr>
        <w:rStyle w:val="PageNumber"/>
        <w:rFonts w:cs="Times New Roman"/>
        <w:b/>
        <w:bCs/>
        <w:sz w:val="17"/>
        <w:szCs w:val="17"/>
      </w:rPr>
      <w:t>N</w:t>
    </w:r>
    <w:r>
      <w:rPr>
        <w:rStyle w:val="PageNumber"/>
        <w:rFonts w:cs="Times New Roman"/>
        <w:b/>
        <w:bCs/>
        <w:sz w:val="17"/>
        <w:szCs w:val="17"/>
      </w:rPr>
      <w:t>EP/EA.</w:t>
    </w:r>
    <w:r w:rsidR="002C5BD4">
      <w:rPr>
        <w:rStyle w:val="PageNumber"/>
        <w:rFonts w:cs="Times New Roman"/>
        <w:b/>
        <w:bCs/>
        <w:sz w:val="17"/>
        <w:szCs w:val="17"/>
      </w:rPr>
      <w:t>5</w:t>
    </w:r>
    <w:r>
      <w:rPr>
        <w:rStyle w:val="PageNumber"/>
        <w:rFonts w:cs="Times New Roman"/>
        <w:b/>
        <w:bCs/>
        <w:sz w:val="17"/>
        <w:szCs w:val="17"/>
      </w:rPr>
      <w:t>/</w:t>
    </w:r>
    <w:r w:rsidR="00B06805">
      <w:rPr>
        <w:b/>
        <w:bCs/>
        <w:sz w:val="17"/>
        <w:szCs w:val="17"/>
        <w:lang w:val="fr-FR"/>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30195" w14:textId="38CADF15" w:rsidR="00386B73" w:rsidRPr="00EC3A5F" w:rsidRDefault="00386B73" w:rsidP="00A94CE7">
    <w:pPr>
      <w:pBdr>
        <w:bottom w:val="single" w:sz="4" w:space="1" w:color="auto"/>
      </w:pBdr>
      <w:bidi w:val="0"/>
      <w:spacing w:before="20" w:after="40"/>
      <w:rPr>
        <w:b/>
        <w:bCs/>
        <w:sz w:val="17"/>
        <w:szCs w:val="17"/>
        <w:rtl/>
        <w:lang w:val="fr-FR"/>
      </w:rPr>
    </w:pPr>
    <w:r w:rsidRPr="00EC3A5F">
      <w:rPr>
        <w:rStyle w:val="PageNumber"/>
        <w:rFonts w:cs="Times New Roman"/>
        <w:b/>
        <w:bCs/>
        <w:sz w:val="17"/>
        <w:szCs w:val="17"/>
        <w:lang w:val="fr-FR"/>
      </w:rPr>
      <w:t>UNEP/</w:t>
    </w:r>
    <w:r>
      <w:rPr>
        <w:rStyle w:val="PageNumber"/>
        <w:rFonts w:cs="Times New Roman"/>
        <w:b/>
        <w:bCs/>
        <w:sz w:val="17"/>
        <w:szCs w:val="17"/>
      </w:rPr>
      <w:t>EA.</w:t>
    </w:r>
    <w:r w:rsidR="002C5BD4">
      <w:rPr>
        <w:rStyle w:val="PageNumber"/>
        <w:rFonts w:cs="Times New Roman"/>
        <w:b/>
        <w:bCs/>
        <w:sz w:val="17"/>
        <w:szCs w:val="17"/>
      </w:rPr>
      <w:t>5</w:t>
    </w:r>
    <w:r w:rsidRPr="00EC3A5F">
      <w:rPr>
        <w:rStyle w:val="PageNumber"/>
        <w:rFonts w:cs="Times New Roman"/>
        <w:b/>
        <w:bCs/>
        <w:sz w:val="17"/>
        <w:szCs w:val="17"/>
      </w:rPr>
      <w:t>/</w:t>
    </w:r>
    <w:r w:rsidR="00B06805">
      <w:rPr>
        <w:b/>
        <w:bCs/>
        <w:sz w:val="17"/>
        <w:szCs w:val="17"/>
        <w:lang w:val="fr-FR"/>
      </w:rP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113A7"/>
    <w:multiLevelType w:val="multilevel"/>
    <w:tmpl w:val="48241D10"/>
    <w:numStyleLink w:val="Normallist"/>
  </w:abstractNum>
  <w:abstractNum w:abstractNumId="1" w15:restartNumberingAfterBreak="0">
    <w:nsid w:val="2946226F"/>
    <w:multiLevelType w:val="hybridMultilevel"/>
    <w:tmpl w:val="58922C66"/>
    <w:lvl w:ilvl="0" w:tplc="C1DA614C">
      <w:start w:val="1"/>
      <w:numFmt w:val="decimal"/>
      <w:lvlText w:val="%1-"/>
      <w:lvlJc w:val="left"/>
      <w:pPr>
        <w:ind w:left="1967" w:hanging="360"/>
      </w:pPr>
      <w:rPr>
        <w:rFonts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 w15:restartNumberingAfterBreak="0">
    <w:nsid w:val="426E2775"/>
    <w:multiLevelType w:val="hybridMultilevel"/>
    <w:tmpl w:val="906AC902"/>
    <w:lvl w:ilvl="0" w:tplc="DA78F11E">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58476E90"/>
    <w:multiLevelType w:val="hybridMultilevel"/>
    <w:tmpl w:val="CCF43610"/>
    <w:lvl w:ilvl="0" w:tplc="0809000F">
      <w:start w:val="1"/>
      <w:numFmt w:val="decimal"/>
      <w:lvlText w:val="%1."/>
      <w:lvlJc w:val="left"/>
      <w:pPr>
        <w:ind w:left="1607" w:hanging="360"/>
      </w:p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5"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6" w15:restartNumberingAfterBreak="0">
    <w:nsid w:val="741A63E2"/>
    <w:multiLevelType w:val="hybridMultilevel"/>
    <w:tmpl w:val="2AB25B84"/>
    <w:lvl w:ilvl="0" w:tplc="1410F1A2">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5"/>
  </w:num>
  <w:num w:numId="2">
    <w:abstractNumId w:val="3"/>
  </w:num>
  <w:num w:numId="3">
    <w:abstractNumId w:val="0"/>
    <w:lvlOverride w:ilvl="0">
      <w:lvl w:ilvl="0">
        <w:start w:val="1"/>
        <w:numFmt w:val="decimal"/>
        <w:pStyle w:val="Normalnumber"/>
        <w:lvlText w:val="%1-"/>
        <w:lvlJc w:val="left"/>
        <w:pPr>
          <w:tabs>
            <w:tab w:val="num" w:pos="567"/>
          </w:tabs>
          <w:ind w:left="1247" w:firstLine="0"/>
        </w:pPr>
        <w:rPr>
          <w:rFonts w:hint="default"/>
          <w:color w:val="000000" w:themeColor="text1"/>
        </w:rPr>
      </w:lvl>
    </w:lvlOverride>
  </w:num>
  <w:num w:numId="4">
    <w:abstractNumId w:val="0"/>
    <w:lvlOverride w:ilvl="0">
      <w:lvl w:ilvl="0">
        <w:start w:val="1"/>
        <w:numFmt w:val="decimal"/>
        <w:pStyle w:val="Normalnumber"/>
        <w:lvlText w:val="%1-"/>
        <w:lvlJc w:val="left"/>
        <w:pPr>
          <w:tabs>
            <w:tab w:val="num" w:pos="567"/>
          </w:tabs>
          <w:ind w:left="1247" w:firstLine="0"/>
        </w:pPr>
        <w:rPr>
          <w:rFonts w:hint="default"/>
          <w:color w:val="000000" w:themeColor="text1"/>
        </w:rPr>
      </w:lvl>
    </w:lvlOverride>
  </w:num>
  <w:num w:numId="5">
    <w:abstractNumId w:val="1"/>
  </w:num>
  <w:num w:numId="6">
    <w:abstractNumId w:val="4"/>
    <w:lvlOverride w:ilvl="0">
      <w:lvl w:ilvl="0" w:tplc="0809000F">
        <w:start w:val="1"/>
        <w:numFmt w:val="decimal"/>
        <w:lvlText w:val="%1-"/>
        <w:lvlJc w:val="left"/>
        <w:pPr>
          <w:ind w:left="1607" w:hanging="360"/>
        </w:pPr>
      </w:lvl>
    </w:lvlOverride>
  </w:num>
  <w:num w:numId="7">
    <w:abstractNumId w:val="2"/>
  </w:num>
  <w:num w:numId="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9"/>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38913"/>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S2MDO1NDM3tjQ2MDVR0lEKTi0uzszPAykwqQUAoW5UkiwAAAA="/>
  </w:docVars>
  <w:rsids>
    <w:rsidRoot w:val="0090002B"/>
    <w:rsid w:val="00004629"/>
    <w:rsid w:val="000242CB"/>
    <w:rsid w:val="000255EE"/>
    <w:rsid w:val="00080DBA"/>
    <w:rsid w:val="0008359A"/>
    <w:rsid w:val="000844F9"/>
    <w:rsid w:val="00087210"/>
    <w:rsid w:val="000C095D"/>
    <w:rsid w:val="000D0380"/>
    <w:rsid w:val="000E24FF"/>
    <w:rsid w:val="001044B6"/>
    <w:rsid w:val="00113EC2"/>
    <w:rsid w:val="00116C73"/>
    <w:rsid w:val="0012040B"/>
    <w:rsid w:val="00131CE1"/>
    <w:rsid w:val="00144421"/>
    <w:rsid w:val="0015228F"/>
    <w:rsid w:val="00153644"/>
    <w:rsid w:val="00153926"/>
    <w:rsid w:val="00154CC2"/>
    <w:rsid w:val="001602FD"/>
    <w:rsid w:val="00165BE3"/>
    <w:rsid w:val="00175870"/>
    <w:rsid w:val="00177C0C"/>
    <w:rsid w:val="001914D3"/>
    <w:rsid w:val="00193855"/>
    <w:rsid w:val="0019738E"/>
    <w:rsid w:val="001A7B84"/>
    <w:rsid w:val="001B3867"/>
    <w:rsid w:val="001B69F3"/>
    <w:rsid w:val="001D37C2"/>
    <w:rsid w:val="001E4795"/>
    <w:rsid w:val="00217B48"/>
    <w:rsid w:val="00226109"/>
    <w:rsid w:val="00243FC6"/>
    <w:rsid w:val="002568E6"/>
    <w:rsid w:val="00260C3B"/>
    <w:rsid w:val="00261451"/>
    <w:rsid w:val="00263A7E"/>
    <w:rsid w:val="0027481A"/>
    <w:rsid w:val="002802ED"/>
    <w:rsid w:val="00282759"/>
    <w:rsid w:val="002B0E93"/>
    <w:rsid w:val="002C5BD4"/>
    <w:rsid w:val="002C60AD"/>
    <w:rsid w:val="002D6F30"/>
    <w:rsid w:val="00315A11"/>
    <w:rsid w:val="00324C76"/>
    <w:rsid w:val="00366112"/>
    <w:rsid w:val="00386B73"/>
    <w:rsid w:val="00386BD3"/>
    <w:rsid w:val="00392389"/>
    <w:rsid w:val="003A3C5E"/>
    <w:rsid w:val="003D7E80"/>
    <w:rsid w:val="003E4E41"/>
    <w:rsid w:val="00405211"/>
    <w:rsid w:val="004073F0"/>
    <w:rsid w:val="00417F36"/>
    <w:rsid w:val="004353B0"/>
    <w:rsid w:val="00440290"/>
    <w:rsid w:val="00442979"/>
    <w:rsid w:val="004965D3"/>
    <w:rsid w:val="004B0A17"/>
    <w:rsid w:val="004C5D36"/>
    <w:rsid w:val="004D08E4"/>
    <w:rsid w:val="004D0E9D"/>
    <w:rsid w:val="004D1F6B"/>
    <w:rsid w:val="004D2B12"/>
    <w:rsid w:val="004D3BED"/>
    <w:rsid w:val="004D6802"/>
    <w:rsid w:val="004E1E55"/>
    <w:rsid w:val="004E4E97"/>
    <w:rsid w:val="004E5370"/>
    <w:rsid w:val="004E557C"/>
    <w:rsid w:val="004E7B30"/>
    <w:rsid w:val="004F230A"/>
    <w:rsid w:val="00500B42"/>
    <w:rsid w:val="005018F4"/>
    <w:rsid w:val="00530F46"/>
    <w:rsid w:val="00565047"/>
    <w:rsid w:val="005809B9"/>
    <w:rsid w:val="00581ED6"/>
    <w:rsid w:val="0059256C"/>
    <w:rsid w:val="005945AA"/>
    <w:rsid w:val="005A19CF"/>
    <w:rsid w:val="005B7D85"/>
    <w:rsid w:val="005C55FF"/>
    <w:rsid w:val="005E06C5"/>
    <w:rsid w:val="00600F25"/>
    <w:rsid w:val="0060772E"/>
    <w:rsid w:val="006135DA"/>
    <w:rsid w:val="00614103"/>
    <w:rsid w:val="006160A4"/>
    <w:rsid w:val="006227F4"/>
    <w:rsid w:val="00642185"/>
    <w:rsid w:val="006517DF"/>
    <w:rsid w:val="00671875"/>
    <w:rsid w:val="006A7796"/>
    <w:rsid w:val="006C560D"/>
    <w:rsid w:val="006D5F3B"/>
    <w:rsid w:val="006E1B00"/>
    <w:rsid w:val="006E4BE0"/>
    <w:rsid w:val="006F060B"/>
    <w:rsid w:val="00706852"/>
    <w:rsid w:val="007071C8"/>
    <w:rsid w:val="007159C9"/>
    <w:rsid w:val="00715AF4"/>
    <w:rsid w:val="00722365"/>
    <w:rsid w:val="007277EF"/>
    <w:rsid w:val="007500A2"/>
    <w:rsid w:val="007653B3"/>
    <w:rsid w:val="007712A8"/>
    <w:rsid w:val="00780A9D"/>
    <w:rsid w:val="007B3833"/>
    <w:rsid w:val="007B4E5E"/>
    <w:rsid w:val="007C0FF8"/>
    <w:rsid w:val="007C3EB8"/>
    <w:rsid w:val="007D0244"/>
    <w:rsid w:val="007E35E2"/>
    <w:rsid w:val="00805014"/>
    <w:rsid w:val="00810D57"/>
    <w:rsid w:val="00821CBF"/>
    <w:rsid w:val="008226DC"/>
    <w:rsid w:val="00827F6A"/>
    <w:rsid w:val="00852DD4"/>
    <w:rsid w:val="00856921"/>
    <w:rsid w:val="00864C12"/>
    <w:rsid w:val="008721C9"/>
    <w:rsid w:val="00895358"/>
    <w:rsid w:val="008B2E95"/>
    <w:rsid w:val="008C5028"/>
    <w:rsid w:val="008D2C69"/>
    <w:rsid w:val="0090002B"/>
    <w:rsid w:val="00900B6E"/>
    <w:rsid w:val="009024C1"/>
    <w:rsid w:val="00924796"/>
    <w:rsid w:val="00926C1F"/>
    <w:rsid w:val="00945D6A"/>
    <w:rsid w:val="0097227D"/>
    <w:rsid w:val="009819E2"/>
    <w:rsid w:val="00997B87"/>
    <w:rsid w:val="009A16F9"/>
    <w:rsid w:val="009B38CE"/>
    <w:rsid w:val="009B79AE"/>
    <w:rsid w:val="009C06F1"/>
    <w:rsid w:val="009C60CE"/>
    <w:rsid w:val="009E5574"/>
    <w:rsid w:val="009E55B5"/>
    <w:rsid w:val="009F23D3"/>
    <w:rsid w:val="00A00198"/>
    <w:rsid w:val="00A47CC8"/>
    <w:rsid w:val="00A47EB4"/>
    <w:rsid w:val="00A576F2"/>
    <w:rsid w:val="00A579D1"/>
    <w:rsid w:val="00A70EED"/>
    <w:rsid w:val="00A718E2"/>
    <w:rsid w:val="00A81553"/>
    <w:rsid w:val="00A841A3"/>
    <w:rsid w:val="00A94CE7"/>
    <w:rsid w:val="00A969A0"/>
    <w:rsid w:val="00AB1E5D"/>
    <w:rsid w:val="00AB2B5A"/>
    <w:rsid w:val="00AC52A5"/>
    <w:rsid w:val="00AD1EE5"/>
    <w:rsid w:val="00AD700B"/>
    <w:rsid w:val="00AF0EBF"/>
    <w:rsid w:val="00B02742"/>
    <w:rsid w:val="00B06805"/>
    <w:rsid w:val="00B14D70"/>
    <w:rsid w:val="00B270C7"/>
    <w:rsid w:val="00B34EA4"/>
    <w:rsid w:val="00B4256C"/>
    <w:rsid w:val="00B748E6"/>
    <w:rsid w:val="00B92BCD"/>
    <w:rsid w:val="00B96D40"/>
    <w:rsid w:val="00BA6ED1"/>
    <w:rsid w:val="00BD795E"/>
    <w:rsid w:val="00C07013"/>
    <w:rsid w:val="00C07A4A"/>
    <w:rsid w:val="00C130F3"/>
    <w:rsid w:val="00C22877"/>
    <w:rsid w:val="00C2334D"/>
    <w:rsid w:val="00C35B65"/>
    <w:rsid w:val="00C47D0B"/>
    <w:rsid w:val="00C56205"/>
    <w:rsid w:val="00C7051C"/>
    <w:rsid w:val="00C77585"/>
    <w:rsid w:val="00C811BE"/>
    <w:rsid w:val="00C85728"/>
    <w:rsid w:val="00C95361"/>
    <w:rsid w:val="00CA1B4E"/>
    <w:rsid w:val="00CA4B0F"/>
    <w:rsid w:val="00CA4F8C"/>
    <w:rsid w:val="00CC797B"/>
    <w:rsid w:val="00CD28D2"/>
    <w:rsid w:val="00CE0519"/>
    <w:rsid w:val="00D00843"/>
    <w:rsid w:val="00D17F74"/>
    <w:rsid w:val="00D304DE"/>
    <w:rsid w:val="00D42F1B"/>
    <w:rsid w:val="00D553BC"/>
    <w:rsid w:val="00D578BF"/>
    <w:rsid w:val="00D71822"/>
    <w:rsid w:val="00D8085A"/>
    <w:rsid w:val="00D86E43"/>
    <w:rsid w:val="00D9173E"/>
    <w:rsid w:val="00D91942"/>
    <w:rsid w:val="00DA1588"/>
    <w:rsid w:val="00DB15A4"/>
    <w:rsid w:val="00DC0FF0"/>
    <w:rsid w:val="00DD0D3D"/>
    <w:rsid w:val="00DD2FA5"/>
    <w:rsid w:val="00DD6C8F"/>
    <w:rsid w:val="00DD7FB2"/>
    <w:rsid w:val="00DE796A"/>
    <w:rsid w:val="00E11905"/>
    <w:rsid w:val="00E20C50"/>
    <w:rsid w:val="00E32A3D"/>
    <w:rsid w:val="00E57228"/>
    <w:rsid w:val="00E75023"/>
    <w:rsid w:val="00E760C7"/>
    <w:rsid w:val="00E9640A"/>
    <w:rsid w:val="00EA2CCF"/>
    <w:rsid w:val="00EC3A5F"/>
    <w:rsid w:val="00ED0225"/>
    <w:rsid w:val="00ED77A3"/>
    <w:rsid w:val="00EE6015"/>
    <w:rsid w:val="00EE70DB"/>
    <w:rsid w:val="00F10C46"/>
    <w:rsid w:val="00F240DC"/>
    <w:rsid w:val="00F2495E"/>
    <w:rsid w:val="00F27726"/>
    <w:rsid w:val="00F65F58"/>
    <w:rsid w:val="00F7639B"/>
    <w:rsid w:val="00F81A30"/>
    <w:rsid w:val="00FA78D2"/>
    <w:rsid w:val="00FB2080"/>
    <w:rsid w:val="00FC1DEC"/>
    <w:rsid w:val="00FC2264"/>
    <w:rsid w:val="00FC582C"/>
    <w:rsid w:val="00FD2B77"/>
    <w:rsid w:val="00FD42F5"/>
    <w:rsid w:val="00FD4D75"/>
    <w:rsid w:val="00FF59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3C56E8D"/>
  <w15:docId w15:val="{E6ADE4B8-2C9B-4B79-901A-1C736A871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cs="Simplified Arabic"/>
      <w:sz w:val="22"/>
      <w:szCs w:val="28"/>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 w:val="20"/>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sz w:val="20"/>
    </w:rPr>
  </w:style>
  <w:style w:type="paragraph" w:styleId="Heading8">
    <w:name w:val="heading 8"/>
    <w:basedOn w:val="Normal"/>
    <w:next w:val="Normal"/>
    <w:qFormat/>
    <w:pPr>
      <w:keepNext/>
      <w:jc w:val="center"/>
      <w:outlineLvl w:val="7"/>
    </w:pPr>
    <w:rPr>
      <w:b/>
      <w:bCs/>
      <w:sz w:val="30"/>
      <w:szCs w:val="30"/>
    </w:rPr>
  </w:style>
  <w:style w:type="paragraph" w:styleId="Heading9">
    <w:name w:val="heading 9"/>
    <w:basedOn w:val="Normal"/>
    <w:next w:val="Normal"/>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 w:val="20"/>
      <w:szCs w:val="24"/>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E Fußnotentext,93"/>
    <w:basedOn w:val="Normal"/>
    <w:link w:val="FootnoteTextChar"/>
    <w:pPr>
      <w:jc w:val="right"/>
    </w:pPr>
    <w:rPr>
      <w:rFonts w:ascii="Times" w:hAnsi="Times"/>
      <w:noProof/>
      <w:sz w:val="20"/>
      <w:szCs w:val="20"/>
    </w:rPr>
  </w:style>
  <w:style w:type="character" w:styleId="FootnoteReference">
    <w:name w:val="footnote reference"/>
    <w:aliases w:val="ftref,16 Point,Superscript 6 Point,(Ref. de nota al pie),number,SUPERS,Footnote Reference Superscript,Footnote Reference S,fr,Fotnotsreferens,ftref Char Char,16 Point Char Char,Superscript 6 Point Char Char,BVI fnr Char Char Char Char"/>
    <w:link w:val="ftrefChar"/>
    <w:qFormat/>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pPr>
      <w:bidi w:val="0"/>
    </w:pPr>
    <w:rPr>
      <w:rFonts w:ascii="Times" w:hAnsi="Times"/>
      <w:sz w:val="20"/>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3D7E80"/>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rFonts w:cs="Traditional Arabic"/>
      <w:w w:val="103"/>
      <w:kern w:val="14"/>
      <w:sz w:val="20"/>
      <w:szCs w:val="30"/>
    </w:rPr>
  </w:style>
  <w:style w:type="paragraph" w:styleId="BalloonText">
    <w:name w:val="Balloon Text"/>
    <w:basedOn w:val="Normal"/>
    <w:link w:val="BalloonTextChar"/>
    <w:rsid w:val="00FD42F5"/>
    <w:rPr>
      <w:rFonts w:ascii="Tahoma" w:hAnsi="Tahoma" w:cs="Tahoma"/>
      <w:sz w:val="16"/>
      <w:szCs w:val="16"/>
    </w:rPr>
  </w:style>
  <w:style w:type="character" w:customStyle="1" w:styleId="BalloonTextChar">
    <w:name w:val="Balloon Text Char"/>
    <w:link w:val="BalloonText"/>
    <w:rsid w:val="00FD42F5"/>
    <w:rPr>
      <w:rFonts w:ascii="Tahoma" w:hAnsi="Tahoma" w:cs="Tahoma"/>
      <w:sz w:val="16"/>
      <w:szCs w:val="16"/>
    </w:rPr>
  </w:style>
  <w:style w:type="paragraph" w:customStyle="1" w:styleId="CH1">
    <w:name w:val="CH1"/>
    <w:basedOn w:val="Normal"/>
    <w:next w:val="CH2"/>
    <w:rsid w:val="00B4256C"/>
    <w:pPr>
      <w:keepNext/>
      <w:keepLines/>
      <w:tabs>
        <w:tab w:val="right" w:pos="851"/>
        <w:tab w:val="left" w:pos="1247"/>
        <w:tab w:val="left" w:pos="1814"/>
        <w:tab w:val="left" w:pos="2381"/>
        <w:tab w:val="left" w:pos="2948"/>
        <w:tab w:val="left" w:pos="3515"/>
      </w:tabs>
      <w:suppressAutoHyphens/>
      <w:bidi w:val="0"/>
      <w:spacing w:before="240" w:after="120"/>
      <w:ind w:left="1247" w:right="284" w:hanging="1247"/>
    </w:pPr>
    <w:rPr>
      <w:rFonts w:cs="Traditional Arabic" w:hint="cs"/>
      <w:b/>
      <w:sz w:val="28"/>
      <w:lang w:val="en-GB"/>
    </w:rPr>
  </w:style>
  <w:style w:type="paragraph" w:customStyle="1" w:styleId="CH2">
    <w:name w:val="CH2"/>
    <w:basedOn w:val="Normal"/>
    <w:next w:val="Normalnumber"/>
    <w:rsid w:val="00B4256C"/>
    <w:pPr>
      <w:keepNext/>
      <w:keepLines/>
      <w:tabs>
        <w:tab w:val="right" w:pos="851"/>
        <w:tab w:val="left" w:pos="1247"/>
        <w:tab w:val="left" w:pos="1814"/>
        <w:tab w:val="left" w:pos="2381"/>
        <w:tab w:val="left" w:pos="2948"/>
        <w:tab w:val="left" w:pos="3515"/>
      </w:tabs>
      <w:suppressAutoHyphens/>
      <w:bidi w:val="0"/>
      <w:spacing w:before="80" w:after="120"/>
      <w:ind w:left="1247" w:right="284" w:hanging="1247"/>
    </w:pPr>
    <w:rPr>
      <w:rFonts w:cs="Traditional Arabic" w:hint="cs"/>
      <w:b/>
      <w:sz w:val="24"/>
      <w:szCs w:val="24"/>
      <w:lang w:val="en-GB"/>
    </w:rPr>
  </w:style>
  <w:style w:type="character" w:customStyle="1" w:styleId="FootnoteTextChar">
    <w:name w:val="Footnote Text Char"/>
    <w:aliases w:val="Geneva 9 Char,Font: Geneva 9 Char,Boston 10 Char,f Char,DNV-FT Char,fn Char,footnote text Char,Footnotes Char,Footnote ak Char,ft Char,fn cafc Char,Footnotes Char Char Char,Footnote Text Char Char Char,fn Char Char Char,93 Char"/>
    <w:basedOn w:val="DefaultParagraphFont"/>
    <w:link w:val="FootnoteText"/>
    <w:rsid w:val="00B4256C"/>
    <w:rPr>
      <w:rFonts w:ascii="Times" w:hAnsi="Times" w:cs="Simplified Arabic"/>
      <w:noProof/>
    </w:rPr>
  </w:style>
  <w:style w:type="paragraph" w:customStyle="1" w:styleId="AATitle">
    <w:name w:val="AA_Title"/>
    <w:basedOn w:val="Normal"/>
    <w:rsid w:val="00B4256C"/>
    <w:pPr>
      <w:keepNext/>
      <w:keepLines/>
      <w:tabs>
        <w:tab w:val="left" w:pos="1247"/>
        <w:tab w:val="left" w:pos="1814"/>
        <w:tab w:val="left" w:pos="2381"/>
        <w:tab w:val="left" w:pos="2948"/>
        <w:tab w:val="left" w:pos="3515"/>
      </w:tabs>
      <w:suppressAutoHyphens/>
      <w:bidi w:val="0"/>
      <w:ind w:right="3402"/>
    </w:pPr>
    <w:rPr>
      <w:rFonts w:cs="Traditional Arabic" w:hint="cs"/>
      <w:b/>
      <w:sz w:val="20"/>
      <w:szCs w:val="30"/>
      <w:lang w:val="en-GB"/>
    </w:rPr>
  </w:style>
  <w:style w:type="paragraph" w:customStyle="1" w:styleId="BBTitle">
    <w:name w:val="BB_Title"/>
    <w:basedOn w:val="Normal"/>
    <w:rsid w:val="00B4256C"/>
    <w:pPr>
      <w:keepNext/>
      <w:keepLines/>
      <w:tabs>
        <w:tab w:val="left" w:pos="1247"/>
        <w:tab w:val="left" w:pos="1814"/>
        <w:tab w:val="left" w:pos="2381"/>
        <w:tab w:val="left" w:pos="2948"/>
        <w:tab w:val="left" w:pos="3515"/>
      </w:tabs>
      <w:suppressAutoHyphens/>
      <w:bidi w:val="0"/>
      <w:spacing w:before="320" w:after="240"/>
      <w:ind w:left="1247" w:right="567"/>
    </w:pPr>
    <w:rPr>
      <w:rFonts w:cs="Traditional Arabic" w:hint="cs"/>
      <w:b/>
      <w:sz w:val="28"/>
      <w:lang w:val="en-GB"/>
    </w:rPr>
  </w:style>
  <w:style w:type="numbering" w:customStyle="1" w:styleId="Normallist">
    <w:name w:val="Normal_list"/>
    <w:basedOn w:val="NoList"/>
    <w:rsid w:val="00B4256C"/>
    <w:pPr>
      <w:numPr>
        <w:numId w:val="2"/>
      </w:numPr>
    </w:pPr>
  </w:style>
  <w:style w:type="paragraph" w:customStyle="1" w:styleId="NormalNonumber">
    <w:name w:val="Normal_No_number"/>
    <w:basedOn w:val="Normal"/>
    <w:rsid w:val="00B4256C"/>
    <w:pPr>
      <w:tabs>
        <w:tab w:val="left" w:pos="1247"/>
        <w:tab w:val="left" w:pos="1814"/>
        <w:tab w:val="left" w:pos="2381"/>
        <w:tab w:val="left" w:pos="2948"/>
        <w:tab w:val="left" w:pos="3515"/>
      </w:tabs>
      <w:bidi w:val="0"/>
      <w:spacing w:after="120"/>
      <w:ind w:left="1247"/>
    </w:pPr>
    <w:rPr>
      <w:rFonts w:cs="Traditional Arabic" w:hint="cs"/>
      <w:sz w:val="20"/>
      <w:szCs w:val="30"/>
      <w:lang w:val="en-GB"/>
    </w:rPr>
  </w:style>
  <w:style w:type="paragraph" w:customStyle="1" w:styleId="Normalnumber">
    <w:name w:val="Normal_number"/>
    <w:basedOn w:val="Normal"/>
    <w:rsid w:val="00B4256C"/>
    <w:pPr>
      <w:numPr>
        <w:numId w:val="3"/>
      </w:numPr>
      <w:tabs>
        <w:tab w:val="left" w:pos="1247"/>
        <w:tab w:val="left" w:pos="1814"/>
        <w:tab w:val="left" w:pos="2381"/>
        <w:tab w:val="left" w:pos="2948"/>
        <w:tab w:val="left" w:pos="3515"/>
      </w:tabs>
      <w:bidi w:val="0"/>
      <w:spacing w:after="120"/>
    </w:pPr>
    <w:rPr>
      <w:rFonts w:cs="Traditional Arabic" w:hint="cs"/>
      <w:sz w:val="20"/>
      <w:szCs w:val="30"/>
      <w:lang w:val="en-GB"/>
    </w:rPr>
  </w:style>
  <w:style w:type="paragraph" w:styleId="ListParagraph">
    <w:name w:val="List Paragraph"/>
    <w:basedOn w:val="Normal"/>
    <w:uiPriority w:val="34"/>
    <w:qFormat/>
    <w:rsid w:val="00C07A4A"/>
    <w:pPr>
      <w:ind w:left="720"/>
      <w:contextualSpacing/>
    </w:pPr>
  </w:style>
  <w:style w:type="table" w:styleId="TableGrid">
    <w:name w:val="Table Grid"/>
    <w:basedOn w:val="TableNormal"/>
    <w:uiPriority w:val="39"/>
    <w:rsid w:val="00C07A4A"/>
    <w:rPr>
      <w:rFonts w:ascii="Century" w:eastAsia="MS Mincho" w:hAnsi="Century" w:cs="Times New Roman"/>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9C06F1"/>
    <w:pPr>
      <w:bidi w:val="0"/>
      <w:spacing w:after="160" w:line="240" w:lineRule="exact"/>
    </w:pPr>
    <w:rPr>
      <w:rFonts w:ascii="Tahoma" w:hAnsi="Tahoma" w:cs="Times New Roman"/>
      <w:sz w:val="20"/>
      <w:szCs w:val="20"/>
    </w:rPr>
  </w:style>
  <w:style w:type="paragraph" w:customStyle="1" w:styleId="Normal-pool">
    <w:name w:val="Normal-pool"/>
    <w:link w:val="Normal-poolChar1"/>
    <w:rsid w:val="001B3867"/>
    <w:pPr>
      <w:tabs>
        <w:tab w:val="left" w:pos="1247"/>
        <w:tab w:val="left" w:pos="1814"/>
        <w:tab w:val="left" w:pos="2381"/>
        <w:tab w:val="left" w:pos="2948"/>
        <w:tab w:val="left" w:pos="3515"/>
        <w:tab w:val="left" w:pos="4082"/>
      </w:tabs>
    </w:pPr>
    <w:rPr>
      <w:rFonts w:cs="Times New Roman"/>
      <w:lang w:val="en-GB"/>
    </w:rPr>
  </w:style>
  <w:style w:type="character" w:customStyle="1" w:styleId="Normal-poolChar1">
    <w:name w:val="Normal-pool Char1"/>
    <w:link w:val="Normal-pool"/>
    <w:locked/>
    <w:rsid w:val="001B3867"/>
    <w:rPr>
      <w:rFonts w:cs="Times New Roman"/>
      <w:lang w:val="en-GB"/>
    </w:rPr>
  </w:style>
  <w:style w:type="paragraph" w:customStyle="1" w:styleId="ftrefChar">
    <w:name w:val="ftref Char"/>
    <w:aliases w:val="16 Point Char,Superscript 6 Point Char,BVI fnr Char Char Char,BVI fnr Car Car Char Char Char,BVI fnr Car Char Char Char,BVI fnr Car Car Car Car Char Char Char"/>
    <w:basedOn w:val="Normal"/>
    <w:link w:val="FootnoteReference"/>
    <w:rsid w:val="00DB15A4"/>
    <w:pPr>
      <w:bidi w:val="0"/>
      <w:spacing w:after="160" w:line="240" w:lineRule="exact"/>
    </w:pPr>
    <w:rPr>
      <w:rFonts w:cs="Traditional Arabic"/>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5D4F860D66614BADA8AE4A931E72AB" ma:contentTypeVersion="9" ma:contentTypeDescription="Create a new document." ma:contentTypeScope="" ma:versionID="617705d99d2638f851b36f11f1583cfc">
  <xsd:schema xmlns:xsd="http://www.w3.org/2001/XMLSchema" xmlns:xs="http://www.w3.org/2001/XMLSchema" xmlns:p="http://schemas.microsoft.com/office/2006/metadata/properties" xmlns:ns2="3db09683-50ee-412d-9d3f-013dd3b9fb66" targetNamespace="http://schemas.microsoft.com/office/2006/metadata/properties" ma:root="true" ma:fieldsID="229bd52fe525b5a92111c89982c9e445" ns2:_="">
    <xsd:import namespace="3db09683-50ee-412d-9d3f-013dd3b9fb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b09683-50ee-412d-9d3f-013dd3b9fb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27865-30E7-4C19-9734-AA21613E0A60}">
  <ds:schemaRefs>
    <ds:schemaRef ds:uri="http://schemas.microsoft.com/sharepoint/v3/contenttype/forms"/>
  </ds:schemaRefs>
</ds:datastoreItem>
</file>

<file path=customXml/itemProps2.xml><?xml version="1.0" encoding="utf-8"?>
<ds:datastoreItem xmlns:ds="http://schemas.openxmlformats.org/officeDocument/2006/customXml" ds:itemID="{4A3D8F50-53EF-4DCC-8634-B5136DF53FCB}">
  <ds:schemaRefs>
    <ds:schemaRef ds:uri="http://www.w3.org/XML/1998/namespace"/>
    <ds:schemaRef ds:uri="http://purl.org/dc/elements/1.1/"/>
    <ds:schemaRef ds:uri="http://purl.org/dc/dcmitype/"/>
    <ds:schemaRef ds:uri="http://schemas.microsoft.com/office/infopath/2007/PartnerControls"/>
    <ds:schemaRef ds:uri="3db09683-50ee-412d-9d3f-013dd3b9fb66"/>
    <ds:schemaRef ds:uri="http://purl.org/dc/terms/"/>
    <ds:schemaRef ds:uri="http://schemas.microsoft.com/office/2006/metadata/properties"/>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FFDF574B-0BDD-48B0-9FAD-F03EA7CF7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b09683-50ee-412d-9d3f-013dd3b9fb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ED2C56-2300-46AC-AEFE-F170C5B51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UNEP/EA</vt:lpstr>
    </vt:vector>
  </TitlesOfParts>
  <Company>UNON</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UNEP/EA</dc:title>
  <dc:creator>kotb</dc:creator>
  <cp:lastModifiedBy>Afaf Ali-Salih</cp:lastModifiedBy>
  <cp:revision>12</cp:revision>
  <cp:lastPrinted>2020-12-29T11:26:00Z</cp:lastPrinted>
  <dcterms:created xsi:type="dcterms:W3CDTF">2020-12-02T13:08:00Z</dcterms:created>
  <dcterms:modified xsi:type="dcterms:W3CDTF">2020-12-30T12:06:00Z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0x010100E35D4F860D66614BADA8AE4A931E72AB</vt:lpwstr>
  </property>
  <property fmtid="{D5CDD505-2E9C-101B-9397-08002B2CF9AE}" pid="3" name="Order">
    <vt:r8>100</vt:r8>
  </property>
</Properties>
</file>