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45" w:type="dxa"/>
        <w:jc w:val="center"/>
        <w:tblLayout w:type="fixed"/>
        <w:tblLook w:val="04A0" w:firstRow="1" w:lastRow="0" w:firstColumn="1" w:lastColumn="0" w:noHBand="0" w:noVBand="1"/>
      </w:tblPr>
      <w:tblGrid>
        <w:gridCol w:w="1242"/>
        <w:gridCol w:w="5295"/>
        <w:gridCol w:w="3108"/>
      </w:tblGrid>
      <w:tr w:rsidR="00455F0E" w14:paraId="0E9F84D5" w14:textId="77777777" w:rsidTr="00B251E1">
        <w:trPr>
          <w:cantSplit/>
          <w:jc w:val="center"/>
        </w:trPr>
        <w:tc>
          <w:tcPr>
            <w:tcW w:w="6533" w:type="dxa"/>
            <w:gridSpan w:val="2"/>
            <w:tcBorders>
              <w:top w:val="nil"/>
              <w:left w:val="nil"/>
              <w:bottom w:val="single" w:sz="2" w:space="0" w:color="auto"/>
              <w:right w:val="nil"/>
            </w:tcBorders>
            <w:hideMark/>
          </w:tcPr>
          <w:p w14:paraId="720A43F2" w14:textId="77777777" w:rsidR="00455F0E" w:rsidRDefault="00455F0E">
            <w:pPr>
              <w:rPr>
                <w:rFonts w:ascii="Arial" w:eastAsia="Times New Roman" w:hAnsi="Arial" w:cs="Arial"/>
                <w:b/>
                <w:sz w:val="27"/>
                <w:szCs w:val="27"/>
                <w:lang w:val="ru-RU"/>
              </w:rPr>
            </w:pPr>
            <w:r>
              <w:rPr>
                <w:rFonts w:ascii="Arial" w:hAnsi="Arial" w:cs="Arial"/>
                <w:b/>
                <w:sz w:val="27"/>
                <w:szCs w:val="27"/>
              </w:rPr>
              <w:t>ОРГАНИЗАЦИЯ</w:t>
            </w:r>
          </w:p>
          <w:p w14:paraId="0EDD937A" w14:textId="77777777" w:rsidR="00455F0E" w:rsidRDefault="00455F0E">
            <w:pPr>
              <w:rPr>
                <w:rFonts w:ascii="Arial" w:hAnsi="Arial" w:cs="Arial"/>
                <w:b/>
                <w:sz w:val="27"/>
                <w:szCs w:val="27"/>
              </w:rPr>
            </w:pPr>
            <w:r>
              <w:rPr>
                <w:rFonts w:ascii="Arial" w:hAnsi="Arial" w:cs="Arial"/>
                <w:b/>
                <w:sz w:val="27"/>
                <w:szCs w:val="27"/>
              </w:rPr>
              <w:t>ОБЪЕДИНЕННЫХ</w:t>
            </w:r>
          </w:p>
          <w:p w14:paraId="656F6CD6" w14:textId="77777777" w:rsidR="00455F0E" w:rsidRDefault="00455F0E">
            <w:pPr>
              <w:rPr>
                <w:b/>
                <w:sz w:val="32"/>
                <w:szCs w:val="32"/>
              </w:rPr>
            </w:pPr>
            <w:r>
              <w:rPr>
                <w:rFonts w:ascii="Arial" w:hAnsi="Arial" w:cs="Arial"/>
                <w:b/>
                <w:sz w:val="27"/>
                <w:szCs w:val="27"/>
              </w:rPr>
              <w:t>НАЦИЙ</w:t>
            </w:r>
          </w:p>
        </w:tc>
        <w:tc>
          <w:tcPr>
            <w:tcW w:w="3106" w:type="dxa"/>
            <w:tcBorders>
              <w:top w:val="nil"/>
              <w:left w:val="nil"/>
              <w:bottom w:val="single" w:sz="2" w:space="0" w:color="auto"/>
              <w:right w:val="nil"/>
            </w:tcBorders>
            <w:hideMark/>
          </w:tcPr>
          <w:p w14:paraId="7EAF2C73" w14:textId="77777777" w:rsidR="00455F0E" w:rsidRDefault="00455F0E">
            <w:pPr>
              <w:spacing w:after="120"/>
              <w:jc w:val="right"/>
              <w:rPr>
                <w:rFonts w:ascii="Arial" w:hAnsi="Arial" w:cs="Arial"/>
                <w:b/>
                <w:sz w:val="64"/>
                <w:szCs w:val="64"/>
                <w:lang w:val="en-US"/>
              </w:rPr>
            </w:pPr>
            <w:r>
              <w:rPr>
                <w:rFonts w:ascii="Arial" w:hAnsi="Arial" w:cs="Arial"/>
                <w:b/>
                <w:sz w:val="64"/>
                <w:szCs w:val="64"/>
                <w:lang w:val="en-US"/>
              </w:rPr>
              <w:t>EP</w:t>
            </w:r>
          </w:p>
          <w:p w14:paraId="21492866" w14:textId="5F56B310" w:rsidR="00455F0E" w:rsidRPr="002F2BCF" w:rsidRDefault="00455F0E">
            <w:pPr>
              <w:rPr>
                <w:b/>
                <w:sz w:val="22"/>
                <w:szCs w:val="20"/>
                <w:lang w:val="uk-UA"/>
              </w:rPr>
            </w:pPr>
            <w:r>
              <w:rPr>
                <w:b/>
                <w:sz w:val="28"/>
                <w:szCs w:val="28"/>
                <w:lang w:val="en-US"/>
              </w:rPr>
              <w:t>UNEP</w:t>
            </w:r>
            <w:r>
              <w:rPr>
                <w:lang w:val="en-US"/>
              </w:rPr>
              <w:t>/</w:t>
            </w:r>
            <w:proofErr w:type="spellStart"/>
            <w:r>
              <w:rPr>
                <w:lang w:val="en-US"/>
              </w:rPr>
              <w:t>EA.</w:t>
            </w:r>
            <w:r w:rsidR="003908C6">
              <w:rPr>
                <w:lang w:val="en-US"/>
              </w:rPr>
              <w:t>5</w:t>
            </w:r>
            <w:proofErr w:type="spellEnd"/>
            <w:r>
              <w:rPr>
                <w:lang w:val="en-US"/>
              </w:rPr>
              <w:t>/</w:t>
            </w:r>
            <w:r w:rsidR="00AF2746">
              <w:rPr>
                <w:lang w:val="en-US"/>
              </w:rPr>
              <w:t>20</w:t>
            </w:r>
          </w:p>
        </w:tc>
      </w:tr>
      <w:tr w:rsidR="00455F0E" w14:paraId="7E929D76" w14:textId="77777777" w:rsidTr="00B251E1">
        <w:trPr>
          <w:cantSplit/>
          <w:trHeight w:val="20"/>
          <w:jc w:val="center"/>
        </w:trPr>
        <w:tc>
          <w:tcPr>
            <w:tcW w:w="1241" w:type="dxa"/>
            <w:tcBorders>
              <w:top w:val="single" w:sz="2" w:space="0" w:color="auto"/>
            </w:tcBorders>
          </w:tcPr>
          <w:p w14:paraId="18B7A690" w14:textId="77777777" w:rsidR="00455F0E" w:rsidRDefault="00455F0E">
            <w:pPr>
              <w:rPr>
                <w:sz w:val="16"/>
                <w:lang w:val="en-US"/>
              </w:rPr>
            </w:pPr>
          </w:p>
        </w:tc>
        <w:tc>
          <w:tcPr>
            <w:tcW w:w="5292" w:type="dxa"/>
            <w:tcBorders>
              <w:top w:val="single" w:sz="2" w:space="0" w:color="auto"/>
            </w:tcBorders>
          </w:tcPr>
          <w:p w14:paraId="587DAB37" w14:textId="77777777" w:rsidR="00455F0E" w:rsidRDefault="00455F0E">
            <w:pPr>
              <w:rPr>
                <w:sz w:val="16"/>
                <w:lang w:val="en-US"/>
              </w:rPr>
            </w:pPr>
          </w:p>
        </w:tc>
        <w:tc>
          <w:tcPr>
            <w:tcW w:w="3106" w:type="dxa"/>
            <w:vMerge w:val="restart"/>
            <w:tcBorders>
              <w:top w:val="single" w:sz="2" w:space="0" w:color="auto"/>
              <w:left w:val="nil"/>
              <w:bottom w:val="single" w:sz="24" w:space="0" w:color="auto"/>
              <w:right w:val="nil"/>
            </w:tcBorders>
          </w:tcPr>
          <w:p w14:paraId="681E5311" w14:textId="77777777" w:rsidR="00455F0E" w:rsidRDefault="00455F0E">
            <w:pPr>
              <w:rPr>
                <w:lang w:val="en-US"/>
              </w:rPr>
            </w:pPr>
          </w:p>
          <w:p w14:paraId="6E659734" w14:textId="64530732" w:rsidR="00455F0E" w:rsidRDefault="00455F0E">
            <w:pPr>
              <w:rPr>
                <w:lang w:val="en-US"/>
              </w:rPr>
            </w:pPr>
            <w:r>
              <w:rPr>
                <w:lang w:val="en-US"/>
              </w:rPr>
              <w:t xml:space="preserve">Distr.: </w:t>
            </w:r>
            <w:r w:rsidR="00222F56">
              <w:rPr>
                <w:lang w:val="en-US"/>
              </w:rPr>
              <w:t>General</w:t>
            </w:r>
          </w:p>
          <w:p w14:paraId="4A669289" w14:textId="1DDE7F5C" w:rsidR="00455F0E" w:rsidRDefault="003908C6">
            <w:pPr>
              <w:rPr>
                <w:lang w:val="en-US"/>
              </w:rPr>
            </w:pPr>
            <w:r>
              <w:t>1</w:t>
            </w:r>
            <w:r w:rsidR="00AF2746">
              <w:t>6</w:t>
            </w:r>
            <w:r w:rsidR="00455F0E">
              <w:rPr>
                <w:lang w:val="en-US"/>
              </w:rPr>
              <w:t xml:space="preserve"> </w:t>
            </w:r>
            <w:r>
              <w:rPr>
                <w:lang w:val="en-US"/>
              </w:rPr>
              <w:t>November</w:t>
            </w:r>
            <w:r w:rsidR="00455F0E">
              <w:rPr>
                <w:lang w:val="en-US"/>
              </w:rPr>
              <w:t xml:space="preserve"> 20</w:t>
            </w:r>
            <w:r>
              <w:rPr>
                <w:lang w:val="en-US"/>
              </w:rPr>
              <w:t>20</w:t>
            </w:r>
          </w:p>
          <w:p w14:paraId="5C107A4B" w14:textId="77777777" w:rsidR="00455F0E" w:rsidRDefault="00455F0E">
            <w:pPr>
              <w:rPr>
                <w:lang w:val="en-US"/>
              </w:rPr>
            </w:pPr>
          </w:p>
          <w:p w14:paraId="7F3077FE" w14:textId="77777777" w:rsidR="00455F0E" w:rsidRDefault="00455F0E">
            <w:pPr>
              <w:rPr>
                <w:lang w:val="en-US"/>
              </w:rPr>
            </w:pPr>
            <w:r>
              <w:rPr>
                <w:lang w:val="en-US"/>
              </w:rPr>
              <w:t>Russian</w:t>
            </w:r>
          </w:p>
          <w:p w14:paraId="017848EF" w14:textId="77777777" w:rsidR="00455F0E" w:rsidRDefault="00455F0E">
            <w:pPr>
              <w:rPr>
                <w:sz w:val="22"/>
                <w:lang w:val="en-US"/>
              </w:rPr>
            </w:pPr>
            <w:r>
              <w:rPr>
                <w:lang w:val="en-US"/>
              </w:rPr>
              <w:t>Original: English</w:t>
            </w:r>
          </w:p>
        </w:tc>
      </w:tr>
      <w:tr w:rsidR="00455F0E" w:rsidRPr="00941C5F" w14:paraId="395D44DF" w14:textId="77777777" w:rsidTr="00455F0E">
        <w:trPr>
          <w:cantSplit/>
          <w:jc w:val="center"/>
        </w:trPr>
        <w:tc>
          <w:tcPr>
            <w:tcW w:w="1241" w:type="dxa"/>
            <w:hideMark/>
          </w:tcPr>
          <w:p w14:paraId="59AFB140" w14:textId="77777777" w:rsidR="00455F0E" w:rsidRDefault="00455F0E">
            <w:pPr>
              <w:rPr>
                <w:sz w:val="16"/>
                <w:lang w:val="en-US"/>
              </w:rPr>
            </w:pPr>
            <w:r>
              <w:rPr>
                <w:noProof/>
                <w:lang w:val="en-US"/>
              </w:rPr>
              <w:drawing>
                <wp:inline distT="0" distB="0" distL="0" distR="0" wp14:anchorId="2CC349E1" wp14:editId="5AF5FB27">
                  <wp:extent cx="650240" cy="554990"/>
                  <wp:effectExtent l="0" t="0" r="0" b="0"/>
                  <wp:docPr id="1" name="Picture 1" descr="Description: 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U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0240" cy="554990"/>
                          </a:xfrm>
                          <a:prstGeom prst="rect">
                            <a:avLst/>
                          </a:prstGeom>
                          <a:noFill/>
                          <a:ln>
                            <a:noFill/>
                          </a:ln>
                        </pic:spPr>
                      </pic:pic>
                    </a:graphicData>
                  </a:graphic>
                </wp:inline>
              </w:drawing>
            </w:r>
          </w:p>
        </w:tc>
        <w:tc>
          <w:tcPr>
            <w:tcW w:w="5292" w:type="dxa"/>
            <w:vMerge w:val="restart"/>
            <w:tcBorders>
              <w:top w:val="nil"/>
              <w:left w:val="nil"/>
              <w:bottom w:val="single" w:sz="24" w:space="0" w:color="auto"/>
              <w:right w:val="nil"/>
            </w:tcBorders>
          </w:tcPr>
          <w:p w14:paraId="442FD385" w14:textId="77777777" w:rsidR="00455F0E" w:rsidRDefault="00455F0E">
            <w:pPr>
              <w:rPr>
                <w:rFonts w:ascii="Arial" w:hAnsi="Arial" w:cs="Arial"/>
                <w:b/>
                <w:sz w:val="22"/>
                <w:lang w:val="en-US"/>
              </w:rPr>
            </w:pPr>
          </w:p>
          <w:p w14:paraId="79D26509" w14:textId="77777777" w:rsidR="00455F0E" w:rsidRDefault="00455F0E">
            <w:pPr>
              <w:rPr>
                <w:rFonts w:ascii="Arial" w:hAnsi="Arial" w:cs="Arial"/>
                <w:b/>
                <w:lang w:val="en-US"/>
              </w:rPr>
            </w:pPr>
          </w:p>
          <w:p w14:paraId="177B14AA" w14:textId="77777777" w:rsidR="00455F0E" w:rsidRDefault="00455F0E">
            <w:pPr>
              <w:rPr>
                <w:rFonts w:ascii="Arial" w:hAnsi="Arial" w:cs="Arial"/>
                <w:b/>
                <w:lang w:val="en-US"/>
              </w:rPr>
            </w:pPr>
          </w:p>
          <w:p w14:paraId="67D4841D" w14:textId="77777777" w:rsidR="00455F0E" w:rsidRDefault="00455F0E">
            <w:pPr>
              <w:rPr>
                <w:rFonts w:ascii="Arial" w:hAnsi="Arial" w:cs="Arial"/>
                <w:b/>
                <w:lang w:val="en-US"/>
              </w:rPr>
            </w:pPr>
          </w:p>
          <w:p w14:paraId="5EDD3BE1" w14:textId="77777777" w:rsidR="00455F0E" w:rsidRDefault="00455F0E" w:rsidP="00B251E1">
            <w:pPr>
              <w:spacing w:after="120"/>
              <w:rPr>
                <w:rFonts w:ascii="Arial" w:hAnsi="Arial" w:cs="Arial"/>
                <w:b/>
                <w:sz w:val="27"/>
                <w:szCs w:val="27"/>
                <w:lang w:val="ru-RU"/>
              </w:rPr>
            </w:pPr>
            <w:r w:rsidRPr="00455F0E">
              <w:rPr>
                <w:rFonts w:ascii="Arial" w:hAnsi="Arial" w:cs="Arial"/>
                <w:b/>
                <w:sz w:val="28"/>
                <w:szCs w:val="28"/>
                <w:lang w:val="ru-RU"/>
              </w:rPr>
              <w:t xml:space="preserve">Ассамблея Организации Объединенных Наций по окружающей среде Программы Организации Объединенных </w:t>
            </w:r>
            <w:r w:rsidRPr="00455F0E">
              <w:rPr>
                <w:rFonts w:ascii="Arial" w:hAnsi="Arial" w:cs="Arial"/>
                <w:b/>
                <w:sz w:val="28"/>
                <w:szCs w:val="28"/>
                <w:lang w:val="ru-RU"/>
              </w:rPr>
              <w:br/>
              <w:t>Наций по окружающей среде</w:t>
            </w:r>
          </w:p>
        </w:tc>
        <w:tc>
          <w:tcPr>
            <w:tcW w:w="3106" w:type="dxa"/>
            <w:vMerge/>
            <w:tcBorders>
              <w:top w:val="nil"/>
              <w:left w:val="nil"/>
              <w:bottom w:val="single" w:sz="24" w:space="0" w:color="auto"/>
              <w:right w:val="nil"/>
            </w:tcBorders>
            <w:vAlign w:val="center"/>
            <w:hideMark/>
          </w:tcPr>
          <w:p w14:paraId="684EFD6E" w14:textId="77777777" w:rsidR="00455F0E" w:rsidRPr="00455F0E" w:rsidRDefault="00455F0E">
            <w:pPr>
              <w:rPr>
                <w:sz w:val="22"/>
                <w:lang w:val="ru-RU"/>
              </w:rPr>
            </w:pPr>
          </w:p>
        </w:tc>
      </w:tr>
      <w:tr w:rsidR="00455F0E" w:rsidRPr="00941C5F" w14:paraId="0ABD3407" w14:textId="77777777" w:rsidTr="00455F0E">
        <w:trPr>
          <w:cantSplit/>
          <w:trHeight w:val="20"/>
          <w:jc w:val="center"/>
        </w:trPr>
        <w:tc>
          <w:tcPr>
            <w:tcW w:w="1241" w:type="dxa"/>
          </w:tcPr>
          <w:p w14:paraId="4A27E5AB" w14:textId="77777777" w:rsidR="00455F0E" w:rsidRPr="00455F0E" w:rsidRDefault="00455F0E">
            <w:pPr>
              <w:rPr>
                <w:sz w:val="16"/>
                <w:szCs w:val="20"/>
                <w:lang w:val="ru-RU"/>
              </w:rPr>
            </w:pPr>
          </w:p>
        </w:tc>
        <w:tc>
          <w:tcPr>
            <w:tcW w:w="5292" w:type="dxa"/>
            <w:vMerge/>
            <w:tcBorders>
              <w:top w:val="nil"/>
              <w:left w:val="nil"/>
              <w:bottom w:val="single" w:sz="24" w:space="0" w:color="auto"/>
              <w:right w:val="nil"/>
            </w:tcBorders>
            <w:vAlign w:val="center"/>
            <w:hideMark/>
          </w:tcPr>
          <w:p w14:paraId="77A2B5F9" w14:textId="77777777" w:rsidR="00455F0E" w:rsidRDefault="00455F0E">
            <w:pPr>
              <w:rPr>
                <w:rFonts w:ascii="Arial" w:hAnsi="Arial" w:cs="Arial"/>
                <w:b/>
                <w:sz w:val="27"/>
                <w:szCs w:val="27"/>
                <w:lang w:val="ru-RU"/>
              </w:rPr>
            </w:pPr>
          </w:p>
        </w:tc>
        <w:tc>
          <w:tcPr>
            <w:tcW w:w="3106" w:type="dxa"/>
            <w:vMerge/>
            <w:tcBorders>
              <w:top w:val="nil"/>
              <w:left w:val="nil"/>
              <w:bottom w:val="single" w:sz="24" w:space="0" w:color="auto"/>
              <w:right w:val="nil"/>
            </w:tcBorders>
            <w:vAlign w:val="center"/>
            <w:hideMark/>
          </w:tcPr>
          <w:p w14:paraId="382BFE07" w14:textId="77777777" w:rsidR="00455F0E" w:rsidRPr="00455F0E" w:rsidRDefault="00455F0E">
            <w:pPr>
              <w:rPr>
                <w:sz w:val="22"/>
                <w:lang w:val="ru-RU"/>
              </w:rPr>
            </w:pPr>
          </w:p>
        </w:tc>
      </w:tr>
      <w:bookmarkStart w:id="0" w:name="_MON_992911701"/>
      <w:bookmarkEnd w:id="0"/>
      <w:tr w:rsidR="00455F0E" w14:paraId="12F6C859" w14:textId="77777777" w:rsidTr="00455F0E">
        <w:trPr>
          <w:cantSplit/>
          <w:trHeight w:val="962"/>
          <w:jc w:val="center"/>
        </w:trPr>
        <w:tc>
          <w:tcPr>
            <w:tcW w:w="1241" w:type="dxa"/>
            <w:tcBorders>
              <w:top w:val="nil"/>
              <w:left w:val="nil"/>
              <w:bottom w:val="single" w:sz="24" w:space="0" w:color="auto"/>
              <w:right w:val="nil"/>
            </w:tcBorders>
            <w:hideMark/>
          </w:tcPr>
          <w:p w14:paraId="1781B016" w14:textId="77777777" w:rsidR="00455F0E" w:rsidRDefault="00455F0E">
            <w:pPr>
              <w:rPr>
                <w:sz w:val="22"/>
                <w:lang w:val="en-US"/>
              </w:rPr>
            </w:pPr>
            <w:r>
              <w:rPr>
                <w:rFonts w:eastAsia="Times New Roman"/>
                <w:sz w:val="22"/>
                <w:szCs w:val="20"/>
                <w:lang w:val="ru-RU"/>
              </w:rPr>
              <w:object w:dxaOrig="1020" w:dyaOrig="900" w14:anchorId="29B0EC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55pt;height:45.35pt" o:ole="" fillcolor="window">
                  <v:imagedata r:id="rId12" o:title="" cropbottom="13140f"/>
                </v:shape>
                <o:OLEObject Type="Embed" ProgID="Word.Picture.8" ShapeID="_x0000_i1025" DrawAspect="Content" ObjectID="_1670825804" r:id="rId13"/>
              </w:object>
            </w:r>
          </w:p>
        </w:tc>
        <w:tc>
          <w:tcPr>
            <w:tcW w:w="5292" w:type="dxa"/>
            <w:vMerge/>
            <w:tcBorders>
              <w:top w:val="nil"/>
              <w:left w:val="nil"/>
              <w:bottom w:val="single" w:sz="24" w:space="0" w:color="auto"/>
              <w:right w:val="nil"/>
            </w:tcBorders>
            <w:vAlign w:val="center"/>
            <w:hideMark/>
          </w:tcPr>
          <w:p w14:paraId="654CF0AA" w14:textId="77777777" w:rsidR="00455F0E" w:rsidRDefault="00455F0E">
            <w:pPr>
              <w:rPr>
                <w:rFonts w:ascii="Arial" w:hAnsi="Arial" w:cs="Arial"/>
                <w:b/>
                <w:sz w:val="27"/>
                <w:szCs w:val="27"/>
                <w:lang w:val="ru-RU"/>
              </w:rPr>
            </w:pPr>
          </w:p>
        </w:tc>
        <w:tc>
          <w:tcPr>
            <w:tcW w:w="3106" w:type="dxa"/>
            <w:vMerge/>
            <w:tcBorders>
              <w:top w:val="nil"/>
              <w:left w:val="nil"/>
              <w:bottom w:val="single" w:sz="24" w:space="0" w:color="auto"/>
              <w:right w:val="nil"/>
            </w:tcBorders>
            <w:vAlign w:val="center"/>
            <w:hideMark/>
          </w:tcPr>
          <w:p w14:paraId="53B99E32" w14:textId="77777777" w:rsidR="00455F0E" w:rsidRDefault="00455F0E">
            <w:pPr>
              <w:rPr>
                <w:sz w:val="22"/>
                <w:lang w:val="en-US"/>
              </w:rPr>
            </w:pPr>
          </w:p>
        </w:tc>
      </w:tr>
    </w:tbl>
    <w:p w14:paraId="2070AC31" w14:textId="77777777" w:rsidR="00455F0E" w:rsidRDefault="00455F0E" w:rsidP="00455F0E">
      <w:pPr>
        <w:rPr>
          <w:b/>
          <w:szCs w:val="20"/>
          <w:lang w:val="ru-RU"/>
        </w:rPr>
      </w:pPr>
      <w:r w:rsidRPr="00455F0E">
        <w:rPr>
          <w:b/>
          <w:lang w:val="ru-RU"/>
        </w:rPr>
        <w:t>Ассамблея</w:t>
      </w:r>
      <w:r>
        <w:rPr>
          <w:b/>
          <w:lang w:val="ru-RU"/>
        </w:rPr>
        <w:t xml:space="preserve"> Организации Объединенных Наций</w:t>
      </w:r>
      <w:r w:rsidRPr="00455F0E">
        <w:rPr>
          <w:b/>
          <w:lang w:val="ru-RU"/>
        </w:rPr>
        <w:br/>
        <w:t>по окружаю</w:t>
      </w:r>
      <w:r>
        <w:rPr>
          <w:b/>
          <w:lang w:val="ru-RU"/>
        </w:rPr>
        <w:t>щей среде Программы Организации</w:t>
      </w:r>
      <w:r w:rsidRPr="00455F0E">
        <w:rPr>
          <w:b/>
          <w:lang w:val="ru-RU"/>
        </w:rPr>
        <w:br/>
        <w:t>Объединенных Наций по окружающей среде</w:t>
      </w:r>
    </w:p>
    <w:p w14:paraId="1D8A8D93" w14:textId="14E398BF" w:rsidR="00455F0E" w:rsidRPr="00455F0E" w:rsidRDefault="003908C6" w:rsidP="00455F0E">
      <w:pPr>
        <w:rPr>
          <w:b/>
          <w:lang w:val="ru-RU"/>
        </w:rPr>
      </w:pPr>
      <w:r>
        <w:rPr>
          <w:b/>
          <w:lang w:val="ru-RU"/>
        </w:rPr>
        <w:t>Пятая</w:t>
      </w:r>
      <w:r w:rsidR="00455F0E" w:rsidRPr="00455F0E">
        <w:rPr>
          <w:b/>
          <w:lang w:val="ru-RU"/>
        </w:rPr>
        <w:t xml:space="preserve"> сессия</w:t>
      </w:r>
    </w:p>
    <w:p w14:paraId="4011FAAD" w14:textId="5A5F15E9" w:rsidR="00AF2746" w:rsidRPr="00536A18" w:rsidRDefault="00AF2746" w:rsidP="00720913">
      <w:r w:rsidRPr="00ED383E">
        <w:rPr>
          <w:lang w:val="ru-RU"/>
        </w:rPr>
        <w:t>Найроби (в онлайн-режиме), 22</w:t>
      </w:r>
      <w:r>
        <w:t>-</w:t>
      </w:r>
      <w:r w:rsidRPr="00ED383E">
        <w:rPr>
          <w:lang w:val="ru-RU"/>
        </w:rPr>
        <w:t>26 февраля 2021 года</w:t>
      </w:r>
      <w:r w:rsidR="00536A18">
        <w:t>*</w:t>
      </w:r>
    </w:p>
    <w:p w14:paraId="2731E748" w14:textId="0CD8839C" w:rsidR="007F405D" w:rsidRPr="00536A18" w:rsidRDefault="007F405D" w:rsidP="006615BC">
      <w:pPr>
        <w:spacing w:after="60"/>
        <w:rPr>
          <w:bCs/>
        </w:rPr>
      </w:pPr>
      <w:r w:rsidRPr="007F4908">
        <w:rPr>
          <w:lang w:val="ru-RU"/>
        </w:rPr>
        <w:t>Пункт 5 предварительной повестки дня</w:t>
      </w:r>
      <w:r w:rsidRPr="007F4908">
        <w:rPr>
          <w:bCs/>
          <w:lang w:val="ru-RU"/>
        </w:rPr>
        <w:footnoteReference w:customMarkFollows="1" w:id="1"/>
        <w:t>*</w:t>
      </w:r>
      <w:r w:rsidR="00536A18">
        <w:rPr>
          <w:bCs/>
        </w:rPr>
        <w:t>*</w:t>
      </w:r>
    </w:p>
    <w:p w14:paraId="47ADF955" w14:textId="23D0F0E1" w:rsidR="007F405D" w:rsidRPr="006615BC" w:rsidRDefault="007F405D" w:rsidP="007F405D">
      <w:pPr>
        <w:spacing w:after="120"/>
        <w:ind w:right="1701"/>
        <w:rPr>
          <w:b/>
          <w:lang w:val="ru-RU"/>
        </w:rPr>
      </w:pPr>
      <w:r w:rsidRPr="006615BC">
        <w:rPr>
          <w:b/>
          <w:lang w:val="ru-RU"/>
        </w:rPr>
        <w:t>Вопросы международной природоохранной политики и экологического регулирования</w:t>
      </w:r>
    </w:p>
    <w:p w14:paraId="10AF113A" w14:textId="77777777" w:rsidR="00D82F04" w:rsidRPr="00D82F04" w:rsidRDefault="00D82F04" w:rsidP="00D82F04">
      <w:pPr>
        <w:spacing w:before="320" w:after="240"/>
        <w:ind w:left="1247" w:right="567"/>
        <w:rPr>
          <w:rFonts w:eastAsia="Times New Roman"/>
          <w:b/>
          <w:bCs/>
          <w:sz w:val="28"/>
          <w:szCs w:val="28"/>
          <w:lang w:val="ru-RU"/>
        </w:rPr>
      </w:pPr>
      <w:r w:rsidRPr="00D82F04">
        <w:rPr>
          <w:rFonts w:eastAsia="Times New Roman"/>
          <w:b/>
          <w:bCs/>
          <w:sz w:val="28"/>
          <w:szCs w:val="28"/>
          <w:lang w:val="ru-RU"/>
        </w:rPr>
        <w:t xml:space="preserve">Ход осуществления резолюции 3/10 «Решение проблемы загрязнения воды в интересах охраны и восстановления связанных с водой экосистем» </w:t>
      </w:r>
    </w:p>
    <w:p w14:paraId="2734888E" w14:textId="3D6DE4F0" w:rsidR="00D82F04" w:rsidRPr="00D82F04" w:rsidRDefault="00D82F04" w:rsidP="00D82F04">
      <w:pPr>
        <w:spacing w:after="120"/>
        <w:ind w:left="1247"/>
        <w:rPr>
          <w:rFonts w:eastAsia="Times New Roman"/>
          <w:b/>
          <w:bCs/>
          <w:sz w:val="24"/>
          <w:szCs w:val="24"/>
          <w:lang w:val="ru-RU"/>
        </w:rPr>
      </w:pPr>
      <w:r w:rsidRPr="00D82F04">
        <w:rPr>
          <w:rFonts w:eastAsia="Times New Roman"/>
          <w:b/>
          <w:bCs/>
          <w:sz w:val="24"/>
          <w:szCs w:val="24"/>
          <w:lang w:val="ru-RU"/>
        </w:rPr>
        <w:tab/>
        <w:t>Доклад Директора-исполнителя</w:t>
      </w:r>
    </w:p>
    <w:p w14:paraId="2567890D" w14:textId="3BF4B34D" w:rsidR="00D82F04" w:rsidRPr="00D82F04" w:rsidRDefault="00D82F04" w:rsidP="00D82F04">
      <w:pPr>
        <w:spacing w:after="120"/>
        <w:ind w:left="1247"/>
        <w:rPr>
          <w:rFonts w:eastAsia="Times New Roman"/>
          <w:b/>
          <w:bCs/>
          <w:sz w:val="28"/>
          <w:szCs w:val="28"/>
          <w:lang w:val="ru-RU"/>
        </w:rPr>
      </w:pPr>
      <w:r w:rsidRPr="00D82F04">
        <w:rPr>
          <w:rFonts w:eastAsia="Times New Roman"/>
          <w:b/>
          <w:bCs/>
          <w:sz w:val="28"/>
          <w:szCs w:val="28"/>
          <w:lang w:val="ru-RU"/>
        </w:rPr>
        <w:tab/>
        <w:t>Введение</w:t>
      </w:r>
    </w:p>
    <w:p w14:paraId="10018CEB" w14:textId="6B76027E" w:rsidR="00D82F04" w:rsidRPr="00D82F04" w:rsidRDefault="00D82F04" w:rsidP="00D82F04">
      <w:pPr>
        <w:spacing w:after="120"/>
        <w:ind w:left="1247"/>
        <w:rPr>
          <w:rFonts w:eastAsia="Times New Roman"/>
          <w:szCs w:val="20"/>
          <w:lang w:val="ru-RU"/>
        </w:rPr>
      </w:pPr>
      <w:r>
        <w:rPr>
          <w:rFonts w:eastAsia="Times New Roman"/>
          <w:szCs w:val="20"/>
        </w:rPr>
        <w:t>1.</w:t>
      </w:r>
      <w:r>
        <w:rPr>
          <w:rFonts w:eastAsia="Times New Roman"/>
          <w:szCs w:val="20"/>
        </w:rPr>
        <w:tab/>
      </w:r>
      <w:r w:rsidRPr="00D82F04">
        <w:rPr>
          <w:rFonts w:eastAsia="Times New Roman"/>
          <w:szCs w:val="20"/>
          <w:lang w:val="ru-RU"/>
        </w:rPr>
        <w:t>В своей резолюции 3/10 о решении проблемы загрязнения воды в интересах охраны и восстановления связанных с водой экосистем Ассамблея Организации Объединенных Наций по окружающей среде Программы Организации Объединенных Наций по окружающей среде (</w:t>
      </w:r>
      <w:proofErr w:type="spellStart"/>
      <w:r w:rsidRPr="00D82F04">
        <w:rPr>
          <w:rFonts w:eastAsia="Times New Roman"/>
          <w:szCs w:val="20"/>
          <w:lang w:val="ru-RU"/>
        </w:rPr>
        <w:t>ЮНЕП</w:t>
      </w:r>
      <w:proofErr w:type="spellEnd"/>
      <w:r w:rsidRPr="00D82F04">
        <w:rPr>
          <w:rFonts w:eastAsia="Times New Roman"/>
          <w:szCs w:val="20"/>
          <w:lang w:val="ru-RU"/>
        </w:rPr>
        <w:t xml:space="preserve">) предложила Директору-исполнителю </w:t>
      </w:r>
      <w:proofErr w:type="spellStart"/>
      <w:r w:rsidRPr="00D82F04">
        <w:rPr>
          <w:rFonts w:eastAsia="Times New Roman"/>
          <w:szCs w:val="20"/>
          <w:lang w:val="ru-RU"/>
        </w:rPr>
        <w:t>ЮНЕП</w:t>
      </w:r>
      <w:proofErr w:type="spellEnd"/>
      <w:r w:rsidRPr="00D82F04">
        <w:rPr>
          <w:rFonts w:eastAsia="Times New Roman"/>
          <w:szCs w:val="20"/>
          <w:lang w:val="ru-RU"/>
        </w:rPr>
        <w:t xml:space="preserve"> в пределах имеющихся ресурсов сотрудничать с другими соответствующими организациями, в том числе по линии механизма «ООН-Водные ресурсы», с целью подготовки оценки качества мировых водных ресурсов для рассмотрения Ассамблеей по окружающей среде на ее пятой сессии. В настоящем докладе содержится обновленная информация о ходе осуществления резолюции, в частности в том, что касается направлений деятельности в рамках оценки качества воды и Всемирного альянса за качество воды.</w:t>
      </w:r>
    </w:p>
    <w:p w14:paraId="2687DB01" w14:textId="693DA3BA" w:rsidR="00D82F04" w:rsidRPr="00D82F04" w:rsidRDefault="004B71EE" w:rsidP="00E01727">
      <w:pPr>
        <w:spacing w:after="240"/>
        <w:ind w:left="1247"/>
        <w:rPr>
          <w:rFonts w:eastAsia="Times New Roman"/>
          <w:szCs w:val="20"/>
          <w:lang w:val="ru-RU"/>
        </w:rPr>
      </w:pPr>
      <w:r>
        <w:rPr>
          <w:rFonts w:eastAsia="Times New Roman"/>
          <w:szCs w:val="20"/>
        </w:rPr>
        <w:t>2.</w:t>
      </w:r>
      <w:r>
        <w:rPr>
          <w:rFonts w:eastAsia="Times New Roman"/>
          <w:szCs w:val="20"/>
        </w:rPr>
        <w:tab/>
      </w:r>
      <w:r w:rsidR="00D82F04" w:rsidRPr="00D82F04">
        <w:rPr>
          <w:rFonts w:eastAsia="Times New Roman"/>
          <w:szCs w:val="20"/>
          <w:lang w:val="ru-RU"/>
        </w:rPr>
        <w:t>Для решения широкой задачи всеобъемлющей оценки качества воды, как указано в аналитической записке «Подготовка к всемирной оценке качества пресной воды»</w:t>
      </w:r>
      <w:r w:rsidR="00D82F04" w:rsidRPr="00D82F04">
        <w:rPr>
          <w:rFonts w:eastAsia="Times New Roman"/>
          <w:szCs w:val="20"/>
          <w:vertAlign w:val="superscript"/>
          <w:lang w:val="ru-RU"/>
        </w:rPr>
        <w:footnoteReference w:id="2"/>
      </w:r>
      <w:r w:rsidR="00D82F04" w:rsidRPr="00D82F04">
        <w:rPr>
          <w:rFonts w:eastAsia="Times New Roman"/>
          <w:szCs w:val="20"/>
          <w:lang w:val="ru-RU"/>
        </w:rPr>
        <w:t>, подготовленной в рамках механизма «ООН</w:t>
      </w:r>
      <w:r>
        <w:rPr>
          <w:rFonts w:eastAsia="Times New Roman"/>
          <w:szCs w:val="20"/>
        </w:rPr>
        <w:t>-</w:t>
      </w:r>
      <w:r w:rsidRPr="00D82F04">
        <w:rPr>
          <w:rFonts w:eastAsia="Times New Roman"/>
          <w:szCs w:val="20"/>
          <w:lang w:val="ru-RU"/>
        </w:rPr>
        <w:t xml:space="preserve">Водные </w:t>
      </w:r>
      <w:r w:rsidR="00D82F04" w:rsidRPr="00D82F04">
        <w:rPr>
          <w:rFonts w:eastAsia="Times New Roman"/>
          <w:szCs w:val="20"/>
          <w:lang w:val="ru-RU"/>
        </w:rPr>
        <w:t>ресурсы», и на основе выводов его первоначальной оценки «Краткие сведения о качестве мировых водных ресурсов: подготовка к глобальной оценке» (2016 год)</w:t>
      </w:r>
      <w:r w:rsidR="00303F1C" w:rsidRPr="00D82F04">
        <w:rPr>
          <w:rFonts w:eastAsia="Times New Roman"/>
          <w:szCs w:val="20"/>
          <w:vertAlign w:val="superscript"/>
          <w:lang w:val="ru-RU"/>
        </w:rPr>
        <w:footnoteReference w:id="3"/>
      </w:r>
      <w:r w:rsidR="00D82F04" w:rsidRPr="00D82F04">
        <w:rPr>
          <w:rFonts w:eastAsia="Times New Roman"/>
          <w:szCs w:val="20"/>
          <w:lang w:val="ru-RU"/>
        </w:rPr>
        <w:t xml:space="preserve"> </w:t>
      </w:r>
      <w:proofErr w:type="spellStart"/>
      <w:r w:rsidR="00D82F04" w:rsidRPr="00D82F04">
        <w:rPr>
          <w:rFonts w:eastAsia="Times New Roman"/>
          <w:szCs w:val="20"/>
          <w:lang w:val="ru-RU"/>
        </w:rPr>
        <w:t>ЮНЕП</w:t>
      </w:r>
      <w:proofErr w:type="spellEnd"/>
      <w:r w:rsidR="00D82F04" w:rsidRPr="00D82F04">
        <w:rPr>
          <w:rFonts w:eastAsia="Times New Roman"/>
          <w:szCs w:val="20"/>
          <w:lang w:val="ru-RU"/>
        </w:rPr>
        <w:t xml:space="preserve"> привлекла широкое сообщество </w:t>
      </w:r>
      <w:r w:rsidR="00D82F04" w:rsidRPr="00D82F04">
        <w:rPr>
          <w:rFonts w:eastAsia="Times New Roman"/>
          <w:szCs w:val="20"/>
          <w:lang w:val="ru-RU"/>
        </w:rPr>
        <w:lastRenderedPageBreak/>
        <w:t>специалистов</w:t>
      </w:r>
      <w:r>
        <w:rPr>
          <w:rFonts w:eastAsia="Times New Roman"/>
          <w:szCs w:val="20"/>
          <w:lang w:val="ru-RU"/>
        </w:rPr>
        <w:noBreakHyphen/>
      </w:r>
      <w:r w:rsidR="00D82F04" w:rsidRPr="00D82F04">
        <w:rPr>
          <w:rFonts w:eastAsia="Times New Roman"/>
          <w:szCs w:val="20"/>
          <w:lang w:val="ru-RU"/>
        </w:rPr>
        <w:t>практиков, в состав которого входят члены механизма «ООН</w:t>
      </w:r>
      <w:r>
        <w:rPr>
          <w:rFonts w:eastAsia="Times New Roman"/>
          <w:szCs w:val="20"/>
        </w:rPr>
        <w:t>-</w:t>
      </w:r>
      <w:r w:rsidRPr="00D82F04">
        <w:rPr>
          <w:rFonts w:eastAsia="Times New Roman"/>
          <w:szCs w:val="20"/>
          <w:lang w:val="ru-RU"/>
        </w:rPr>
        <w:t xml:space="preserve">Водные </w:t>
      </w:r>
      <w:r w:rsidR="00D82F04" w:rsidRPr="00D82F04">
        <w:rPr>
          <w:rFonts w:eastAsia="Times New Roman"/>
          <w:szCs w:val="20"/>
          <w:lang w:val="ru-RU"/>
        </w:rPr>
        <w:t xml:space="preserve">ресурсы» и другие эксперты из научного сообщества, частного сектора и гражданского общества. Всемирный альянс за качество воды, возникший в результате этого процесса, объединил экспертные консорциумы для проведения оценки качества воды в мире и решения текущих и новых вопросов, связанных с глобальной проблемой качества воды, в рамках всех целей в области устойчивого развития с уделением особого внимания взаимосвязи между охраной здоровья и мобилизацией ресурсов для осуществления мандата, изложенного в резолюции 3/10. Разработка оценки и работа Альянса включены в подпрограмму 7 «Обзоры состояния окружающей среды» программы работы </w:t>
      </w:r>
      <w:proofErr w:type="spellStart"/>
      <w:r w:rsidR="00D82F04" w:rsidRPr="00D82F04">
        <w:rPr>
          <w:rFonts w:eastAsia="Times New Roman"/>
          <w:szCs w:val="20"/>
          <w:lang w:val="ru-RU"/>
        </w:rPr>
        <w:t>ЮНЕП</w:t>
      </w:r>
      <w:proofErr w:type="spellEnd"/>
      <w:r w:rsidR="00D82F04" w:rsidRPr="00D82F04">
        <w:rPr>
          <w:rFonts w:eastAsia="Times New Roman"/>
          <w:szCs w:val="20"/>
          <w:lang w:val="ru-RU"/>
        </w:rPr>
        <w:t>.</w:t>
      </w:r>
    </w:p>
    <w:p w14:paraId="4D2226D7" w14:textId="77777777" w:rsidR="00D82F04" w:rsidRPr="00D82F04" w:rsidRDefault="00D82F04" w:rsidP="003D6EB7">
      <w:pPr>
        <w:tabs>
          <w:tab w:val="right" w:pos="851"/>
        </w:tabs>
        <w:spacing w:after="120"/>
        <w:ind w:left="1247" w:right="284" w:hanging="1247"/>
        <w:rPr>
          <w:rFonts w:eastAsia="Times New Roman"/>
          <w:b/>
          <w:bCs/>
          <w:sz w:val="28"/>
          <w:szCs w:val="28"/>
          <w:lang w:val="ru-RU"/>
        </w:rPr>
      </w:pPr>
      <w:bookmarkStart w:id="1" w:name="_Hlk54784245"/>
      <w:r w:rsidRPr="00D82F04">
        <w:rPr>
          <w:rFonts w:eastAsia="Times New Roman"/>
          <w:b/>
          <w:bCs/>
          <w:sz w:val="28"/>
          <w:szCs w:val="28"/>
          <w:lang w:val="ru-RU"/>
        </w:rPr>
        <w:tab/>
        <w:t>I.</w:t>
      </w:r>
      <w:r w:rsidRPr="00D82F04">
        <w:rPr>
          <w:rFonts w:eastAsia="Times New Roman"/>
          <w:b/>
          <w:bCs/>
          <w:sz w:val="28"/>
          <w:szCs w:val="28"/>
          <w:lang w:val="ru-RU"/>
        </w:rPr>
        <w:tab/>
        <w:t>Ход осуществления резолюции 3/10</w:t>
      </w:r>
    </w:p>
    <w:p w14:paraId="3238EC62" w14:textId="77777777" w:rsidR="00D82F04" w:rsidRPr="00D82F04" w:rsidRDefault="00D82F04" w:rsidP="003D6EB7">
      <w:pPr>
        <w:tabs>
          <w:tab w:val="right" w:pos="851"/>
        </w:tabs>
        <w:spacing w:after="120"/>
        <w:ind w:left="1247" w:right="284" w:hanging="1247"/>
        <w:rPr>
          <w:rFonts w:eastAsia="Times New Roman"/>
          <w:b/>
          <w:bCs/>
          <w:sz w:val="24"/>
          <w:szCs w:val="24"/>
          <w:lang w:val="ru-RU"/>
        </w:rPr>
      </w:pPr>
      <w:r w:rsidRPr="00D82F04">
        <w:rPr>
          <w:rFonts w:eastAsia="Times New Roman"/>
          <w:b/>
          <w:bCs/>
          <w:sz w:val="24"/>
          <w:szCs w:val="24"/>
          <w:lang w:val="ru-RU"/>
        </w:rPr>
        <w:tab/>
        <w:t>A.</w:t>
      </w:r>
      <w:r w:rsidRPr="00D82F04">
        <w:rPr>
          <w:rFonts w:eastAsia="Times New Roman"/>
          <w:b/>
          <w:bCs/>
          <w:sz w:val="24"/>
          <w:szCs w:val="24"/>
          <w:lang w:val="ru-RU"/>
        </w:rPr>
        <w:tab/>
        <w:t>Оценка качества мировых водных ресурсов и создание Всемирного альянса за качество воды</w:t>
      </w:r>
    </w:p>
    <w:bookmarkEnd w:id="1"/>
    <w:p w14:paraId="4CD1431E" w14:textId="1EAC0D1E" w:rsidR="00D82F04" w:rsidRPr="00D82F04" w:rsidRDefault="00E30E3A" w:rsidP="00D82F04">
      <w:pPr>
        <w:spacing w:after="120"/>
        <w:ind w:left="1247"/>
        <w:rPr>
          <w:rFonts w:eastAsia="Times New Roman"/>
          <w:szCs w:val="20"/>
          <w:lang w:val="ru-RU"/>
        </w:rPr>
      </w:pPr>
      <w:r>
        <w:rPr>
          <w:rFonts w:eastAsia="Times New Roman"/>
          <w:szCs w:val="20"/>
        </w:rPr>
        <w:t>3.</w:t>
      </w:r>
      <w:r>
        <w:rPr>
          <w:rFonts w:eastAsia="Times New Roman"/>
          <w:szCs w:val="20"/>
        </w:rPr>
        <w:tab/>
      </w:r>
      <w:r w:rsidR="00D82F04" w:rsidRPr="00D82F04">
        <w:rPr>
          <w:rFonts w:eastAsia="Times New Roman"/>
          <w:szCs w:val="20"/>
          <w:lang w:val="ru-RU"/>
        </w:rPr>
        <w:t xml:space="preserve">Непосредственно в ответ на просьбу, содержащуюся в пункте 16 e) резолюции 3/10, </w:t>
      </w:r>
      <w:proofErr w:type="spellStart"/>
      <w:r w:rsidR="00D82F04" w:rsidRPr="00D82F04">
        <w:rPr>
          <w:rFonts w:eastAsia="Times New Roman"/>
          <w:szCs w:val="20"/>
          <w:lang w:val="ru-RU"/>
        </w:rPr>
        <w:t>ЮНЕП</w:t>
      </w:r>
      <w:proofErr w:type="spellEnd"/>
      <w:r w:rsidR="00D82F04" w:rsidRPr="00D82F04">
        <w:rPr>
          <w:rFonts w:eastAsia="Times New Roman"/>
          <w:szCs w:val="20"/>
          <w:lang w:val="ru-RU"/>
        </w:rPr>
        <w:t xml:space="preserve"> призвала членов механизма «ООН</w:t>
      </w:r>
      <w:r w:rsidR="003C3631">
        <w:rPr>
          <w:rFonts w:eastAsia="Times New Roman"/>
          <w:szCs w:val="20"/>
        </w:rPr>
        <w:t>-</w:t>
      </w:r>
      <w:r w:rsidR="003C3631" w:rsidRPr="00D82F04">
        <w:rPr>
          <w:rFonts w:eastAsia="Times New Roman"/>
          <w:szCs w:val="20"/>
          <w:lang w:val="ru-RU"/>
        </w:rPr>
        <w:t xml:space="preserve">Водные </w:t>
      </w:r>
      <w:r w:rsidR="00D82F04" w:rsidRPr="00D82F04">
        <w:rPr>
          <w:rFonts w:eastAsia="Times New Roman"/>
          <w:szCs w:val="20"/>
          <w:lang w:val="ru-RU"/>
        </w:rPr>
        <w:t xml:space="preserve">ресурсы», партнеров и соответствующие заинтересованные стороны, в том числе частный сектор, проявить интерес к участию в очередной оценке качества мировых водных ресурсов. Более 50 организаций выразили заинтересованность в сотрудничестве с </w:t>
      </w:r>
      <w:proofErr w:type="spellStart"/>
      <w:r w:rsidR="00D82F04" w:rsidRPr="00D82F04">
        <w:rPr>
          <w:rFonts w:eastAsia="Times New Roman"/>
          <w:szCs w:val="20"/>
          <w:lang w:val="ru-RU"/>
        </w:rPr>
        <w:t>ЮНЕП</w:t>
      </w:r>
      <w:proofErr w:type="spellEnd"/>
      <w:r w:rsidR="00D82F04" w:rsidRPr="00D82F04">
        <w:rPr>
          <w:rFonts w:eastAsia="Times New Roman"/>
          <w:szCs w:val="20"/>
          <w:lang w:val="ru-RU"/>
        </w:rPr>
        <w:t xml:space="preserve">, что привело к созданию Всемирного альянса за качество воды. В сентябре 2019 года </w:t>
      </w:r>
      <w:proofErr w:type="spellStart"/>
      <w:r w:rsidR="00D82F04" w:rsidRPr="00D82F04">
        <w:rPr>
          <w:rFonts w:eastAsia="Times New Roman"/>
          <w:szCs w:val="20"/>
          <w:lang w:val="ru-RU"/>
        </w:rPr>
        <w:t>ЮНЕП</w:t>
      </w:r>
      <w:proofErr w:type="spellEnd"/>
      <w:r w:rsidR="00D82F04" w:rsidRPr="00D82F04">
        <w:rPr>
          <w:rFonts w:eastAsia="Times New Roman"/>
          <w:szCs w:val="20"/>
          <w:lang w:val="ru-RU"/>
        </w:rPr>
        <w:t xml:space="preserve"> вместе с Объединенным исследовательским центром Европейской комиссии приступила к работе по созданию Альянса, объединив ряд специалистов из Организации Объединенных Наций, научно-исследовательских институтов, космических агентств и служб наблюдения Земли, частного сектора и гражданского общества.</w:t>
      </w:r>
    </w:p>
    <w:p w14:paraId="1308B5BC" w14:textId="226CB5A2" w:rsidR="00D82F04" w:rsidRPr="00D82F04" w:rsidRDefault="00E30E3A" w:rsidP="00D82F04">
      <w:pPr>
        <w:spacing w:after="120"/>
        <w:ind w:left="1247"/>
        <w:rPr>
          <w:rFonts w:eastAsia="Times New Roman"/>
          <w:szCs w:val="20"/>
          <w:lang w:val="ru-RU"/>
        </w:rPr>
      </w:pPr>
      <w:r>
        <w:rPr>
          <w:rFonts w:eastAsia="Times New Roman"/>
          <w:szCs w:val="20"/>
        </w:rPr>
        <w:t>4.</w:t>
      </w:r>
      <w:r>
        <w:rPr>
          <w:rFonts w:eastAsia="Times New Roman"/>
          <w:szCs w:val="20"/>
        </w:rPr>
        <w:tab/>
      </w:r>
      <w:r w:rsidR="00D82F04" w:rsidRPr="00D82F04">
        <w:rPr>
          <w:rFonts w:eastAsia="Times New Roman"/>
          <w:szCs w:val="20"/>
          <w:lang w:val="ru-RU"/>
        </w:rPr>
        <w:t>Оценка качества мировых водных ресурсов является одним из основных направлений и результатом работы Альянса. Цель этой междисциплинарной оценки заключается в анализе состояния качества пресной воды и потенциального воздействия загрязнения воды на здоровье, продовольственную безопасность и экосистемы с примерами причинно-следственных связей от движущих факторов до воздействий и мер, принимаемых в связи с нехваткой данных о качестве воды во многих районах</w:t>
      </w:r>
      <w:r w:rsidR="00D82F04" w:rsidRPr="00D82F04">
        <w:rPr>
          <w:rFonts w:eastAsia="Times New Roman"/>
          <w:szCs w:val="20"/>
          <w:vertAlign w:val="superscript"/>
          <w:lang w:val="ru-RU"/>
        </w:rPr>
        <w:footnoteReference w:id="4"/>
      </w:r>
      <w:r w:rsidR="00F0032A">
        <w:rPr>
          <w:rFonts w:eastAsia="Times New Roman"/>
          <w:szCs w:val="20"/>
        </w:rPr>
        <w:t>.</w:t>
      </w:r>
      <w:r w:rsidR="00021B0F">
        <w:rPr>
          <w:rFonts w:eastAsia="Times New Roman"/>
          <w:szCs w:val="20"/>
        </w:rPr>
        <w:t xml:space="preserve"> </w:t>
      </w:r>
      <w:r w:rsidR="00D82F04" w:rsidRPr="00D82F04">
        <w:rPr>
          <w:rFonts w:eastAsia="Times New Roman"/>
          <w:szCs w:val="20"/>
          <w:lang w:val="ru-RU"/>
        </w:rPr>
        <w:t>Для охвата этих взаимосвязанных аспектов в рамках междисциплинарной оценки рассматриваются взаимосвязи между несколькими целями в области устойчивого развития и применяется инновационный подход, основанный на слиянии данных, который предусматривает объединение данных наземного мониторинга, моделирования и дистанционного зондирования с уделением особого внимания спутниковым наблюдениям. Осуществлению резолюции способствовала также реализаци</w:t>
      </w:r>
      <w:r w:rsidR="00021B0F">
        <w:rPr>
          <w:rFonts w:eastAsia="Times New Roman"/>
          <w:szCs w:val="20"/>
          <w:lang w:val="ru-RU"/>
        </w:rPr>
        <w:t>я</w:t>
      </w:r>
      <w:r w:rsidR="00D82F04" w:rsidRPr="00D82F04">
        <w:rPr>
          <w:rFonts w:eastAsia="Times New Roman"/>
          <w:szCs w:val="20"/>
          <w:lang w:val="ru-RU"/>
        </w:rPr>
        <w:t xml:space="preserve"> проекта по оценке ключевых экологических проблем и обеспечению узконаправленного прогнозирования в целях укрепления научно обоснованной политики и процесса принятия решений, который также осуществлялся в рамках подпрограммы 7.</w:t>
      </w:r>
    </w:p>
    <w:p w14:paraId="5030ACFC" w14:textId="74032B85" w:rsidR="00D82F04" w:rsidRPr="00D82F04" w:rsidRDefault="00E30E3A" w:rsidP="00D82F04">
      <w:pPr>
        <w:spacing w:after="120"/>
        <w:ind w:left="1247"/>
        <w:rPr>
          <w:rFonts w:eastAsia="Times New Roman"/>
          <w:szCs w:val="20"/>
          <w:lang w:val="ru-RU"/>
        </w:rPr>
      </w:pPr>
      <w:r>
        <w:rPr>
          <w:rFonts w:eastAsia="Times New Roman"/>
          <w:szCs w:val="20"/>
        </w:rPr>
        <w:t>5.</w:t>
      </w:r>
      <w:r>
        <w:rPr>
          <w:rFonts w:eastAsia="Times New Roman"/>
          <w:szCs w:val="20"/>
        </w:rPr>
        <w:tab/>
      </w:r>
      <w:r w:rsidR="00D82F04" w:rsidRPr="00D82F04">
        <w:rPr>
          <w:rFonts w:eastAsia="Times New Roman"/>
          <w:szCs w:val="20"/>
          <w:lang w:val="ru-RU"/>
        </w:rPr>
        <w:t xml:space="preserve">Альянс также уделяет особое внимание текущим и возникающим проблемам качества воды. Будучи сообществом специалистов-практиков в области науки, техники и инноваций, связанных с качеством воды, Альянс предоставляет правительствам и другим заинтересованным сторонам основанные на фактах оценки, информацию, сценарии и решения.  </w:t>
      </w:r>
    </w:p>
    <w:p w14:paraId="76692885" w14:textId="59520802" w:rsidR="00D82F04" w:rsidRPr="00D82F04" w:rsidRDefault="00E30E3A" w:rsidP="00D82F04">
      <w:pPr>
        <w:spacing w:after="120"/>
        <w:ind w:left="1247"/>
        <w:rPr>
          <w:rFonts w:eastAsia="Times New Roman"/>
          <w:szCs w:val="20"/>
          <w:lang w:val="ru-RU"/>
        </w:rPr>
      </w:pPr>
      <w:r>
        <w:rPr>
          <w:rFonts w:eastAsia="Times New Roman"/>
          <w:szCs w:val="20"/>
        </w:rPr>
        <w:t>6.</w:t>
      </w:r>
      <w:r>
        <w:rPr>
          <w:rFonts w:eastAsia="Times New Roman"/>
          <w:szCs w:val="20"/>
        </w:rPr>
        <w:tab/>
      </w:r>
      <w:r w:rsidR="00D82F04" w:rsidRPr="00D82F04">
        <w:rPr>
          <w:rFonts w:eastAsia="Times New Roman"/>
          <w:szCs w:val="20"/>
          <w:lang w:val="ru-RU"/>
        </w:rPr>
        <w:t xml:space="preserve">Организованный </w:t>
      </w:r>
      <w:proofErr w:type="spellStart"/>
      <w:r w:rsidR="00D82F04" w:rsidRPr="00D82F04">
        <w:rPr>
          <w:rFonts w:eastAsia="Times New Roman"/>
          <w:szCs w:val="20"/>
          <w:lang w:val="ru-RU"/>
        </w:rPr>
        <w:t>ЮНЕП</w:t>
      </w:r>
      <w:proofErr w:type="spellEnd"/>
      <w:r w:rsidR="00D82F04" w:rsidRPr="00D82F04">
        <w:rPr>
          <w:rFonts w:eastAsia="Times New Roman"/>
          <w:szCs w:val="20"/>
          <w:lang w:val="ru-RU"/>
        </w:rPr>
        <w:t>, Альянс получает основное финансирование от Швейцарии. Швейцарское агентство по развитию и сотрудничеству выделило 1 818 000 долл. США на четырехлетний период (до октября 2023 года) для поддержки оперативной и инновационной деятельности Альянса. Помимо этого правительство Швейцарии выделило 401 207 долл. США на начало работы по проведению глобальной оценки, а также на осуществление трех проектов по сценариям использования для тестирования межведомственного подхода к восходящему, ориентированному на спрос совместному проектированию средств обеспечения качества воды в трех районах в Африке.</w:t>
      </w:r>
    </w:p>
    <w:p w14:paraId="3B446283" w14:textId="60720C71" w:rsidR="00D82F04" w:rsidRPr="00D82F04" w:rsidRDefault="00E30E3A" w:rsidP="00D82F04">
      <w:pPr>
        <w:spacing w:after="120"/>
        <w:ind w:left="1247"/>
        <w:rPr>
          <w:rFonts w:eastAsia="Times New Roman"/>
          <w:szCs w:val="20"/>
          <w:lang w:val="ru-RU"/>
        </w:rPr>
      </w:pPr>
      <w:r>
        <w:rPr>
          <w:rFonts w:eastAsia="Times New Roman"/>
          <w:szCs w:val="20"/>
        </w:rPr>
        <w:t>7.</w:t>
      </w:r>
      <w:r>
        <w:rPr>
          <w:rFonts w:eastAsia="Times New Roman"/>
          <w:szCs w:val="20"/>
        </w:rPr>
        <w:tab/>
      </w:r>
      <w:hyperlink r:id="rId14" w:history="1">
        <w:r w:rsidR="00D82F04" w:rsidRPr="00D82F04">
          <w:rPr>
            <w:rFonts w:eastAsia="Times New Roman"/>
            <w:szCs w:val="20"/>
            <w:lang w:val="ru-RU"/>
          </w:rPr>
          <w:t xml:space="preserve">В январе 2020 года Директор-исполнитель </w:t>
        </w:r>
        <w:proofErr w:type="spellStart"/>
        <w:r w:rsidR="00D82F04" w:rsidRPr="00D82F04">
          <w:rPr>
            <w:rFonts w:eastAsia="Times New Roman"/>
            <w:szCs w:val="20"/>
            <w:lang w:val="ru-RU"/>
          </w:rPr>
          <w:t>ЮНЕП</w:t>
        </w:r>
        <w:proofErr w:type="spellEnd"/>
        <w:r w:rsidR="00D82F04" w:rsidRPr="00D82F04">
          <w:rPr>
            <w:rFonts w:eastAsia="Times New Roman"/>
            <w:szCs w:val="20"/>
            <w:lang w:val="ru-RU"/>
          </w:rPr>
          <w:t xml:space="preserve"> подписал Декларацию о Всемирном альянсе за качество воды, которая открыта для подписания членами Альянса. Альянс избрал членов и председателей своих основных руководящих органов: стратегического консультативного комитета</w:t>
        </w:r>
        <w:r w:rsidR="00D82F04" w:rsidRPr="00D82F04">
          <w:rPr>
            <w:rFonts w:eastAsia="Times New Roman"/>
            <w:szCs w:val="20"/>
            <w:vertAlign w:val="superscript"/>
            <w:lang w:val="ru-RU"/>
          </w:rPr>
          <w:footnoteReference w:id="5"/>
        </w:r>
        <w:r w:rsidR="00D82F04" w:rsidRPr="00D82F04">
          <w:rPr>
            <w:rFonts w:eastAsia="Times New Roman"/>
            <w:szCs w:val="20"/>
            <w:lang w:val="ru-RU"/>
          </w:rPr>
          <w:t xml:space="preserve"> и технического консультативного комитета</w:t>
        </w:r>
        <w:r w:rsidR="00D82F04" w:rsidRPr="00D82F04">
          <w:rPr>
            <w:rFonts w:eastAsia="Times New Roman"/>
            <w:szCs w:val="20"/>
            <w:vertAlign w:val="superscript"/>
            <w:lang w:val="ru-RU"/>
          </w:rPr>
          <w:footnoteReference w:id="6"/>
        </w:r>
        <w:r w:rsidR="00D82F04" w:rsidRPr="00D82F04">
          <w:rPr>
            <w:rFonts w:eastAsia="Times New Roman"/>
            <w:szCs w:val="20"/>
            <w:lang w:val="ru-RU"/>
          </w:rPr>
          <w:t xml:space="preserve">. Несмотря на </w:t>
        </w:r>
        <w:r w:rsidR="00D82F04" w:rsidRPr="00D82F04">
          <w:rPr>
            <w:rFonts w:eastAsia="Times New Roman"/>
            <w:szCs w:val="20"/>
            <w:lang w:val="ru-RU"/>
          </w:rPr>
          <w:lastRenderedPageBreak/>
          <w:t xml:space="preserve">задержки, связанные с пандемией </w:t>
        </w:r>
        <w:proofErr w:type="spellStart"/>
        <w:r w:rsidR="00D82F04" w:rsidRPr="00D82F04">
          <w:rPr>
            <w:rFonts w:eastAsia="Times New Roman"/>
            <w:szCs w:val="20"/>
            <w:lang w:val="ru-RU"/>
          </w:rPr>
          <w:t>коронавирусной</w:t>
        </w:r>
        <w:proofErr w:type="spellEnd"/>
        <w:r w:rsidR="00D82F04" w:rsidRPr="00D82F04">
          <w:rPr>
            <w:rFonts w:eastAsia="Times New Roman"/>
            <w:szCs w:val="20"/>
            <w:lang w:val="ru-RU"/>
          </w:rPr>
          <w:t xml:space="preserve"> инфекци</w:t>
        </w:r>
        <w:r w:rsidR="008A6460">
          <w:rPr>
            <w:rFonts w:eastAsia="Times New Roman"/>
            <w:szCs w:val="20"/>
            <w:lang w:val="ru-RU"/>
          </w:rPr>
          <w:t>и</w:t>
        </w:r>
        <w:r w:rsidR="00D82F04" w:rsidRPr="00D82F04">
          <w:rPr>
            <w:rFonts w:eastAsia="Times New Roman"/>
            <w:szCs w:val="20"/>
            <w:lang w:val="ru-RU"/>
          </w:rPr>
          <w:t xml:space="preserve"> (</w:t>
        </w:r>
        <w:proofErr w:type="spellStart"/>
        <w:r w:rsidR="00D82F04" w:rsidRPr="00D82F04">
          <w:rPr>
            <w:rFonts w:eastAsia="Times New Roman"/>
            <w:szCs w:val="20"/>
            <w:lang w:val="ru-RU"/>
          </w:rPr>
          <w:t>COVID</w:t>
        </w:r>
        <w:proofErr w:type="spellEnd"/>
        <w:r w:rsidR="00D82F04" w:rsidRPr="00D82F04">
          <w:rPr>
            <w:rFonts w:eastAsia="Times New Roman"/>
            <w:szCs w:val="20"/>
            <w:lang w:val="ru-RU"/>
          </w:rPr>
          <w:t>-19), в настоящее время осуществляется начальный план работы</w:t>
        </w:r>
        <w:r w:rsidR="00D82F04" w:rsidRPr="00D82F04">
          <w:rPr>
            <w:rFonts w:eastAsia="Times New Roman"/>
            <w:szCs w:val="20"/>
            <w:vertAlign w:val="superscript"/>
            <w:lang w:val="ru-RU"/>
          </w:rPr>
          <w:footnoteReference w:id="7"/>
        </w:r>
        <w:r w:rsidR="00D82F04" w:rsidRPr="00D82F04">
          <w:rPr>
            <w:rFonts w:eastAsia="Times New Roman"/>
            <w:szCs w:val="20"/>
            <w:lang w:val="ru-RU"/>
          </w:rPr>
          <w:t xml:space="preserve">, включающий мероприятия по оценке качества мировых водных ресурсов и проекты по сценариям использования в Африке. В связи с ситуацией, возникшей в результате пандемии </w:t>
        </w:r>
        <w:proofErr w:type="spellStart"/>
        <w:r w:rsidR="00D82F04" w:rsidRPr="00D82F04">
          <w:rPr>
            <w:rFonts w:eastAsia="Times New Roman"/>
            <w:szCs w:val="20"/>
            <w:lang w:val="ru-RU"/>
          </w:rPr>
          <w:t>COVID</w:t>
        </w:r>
        <w:proofErr w:type="spellEnd"/>
        <w:r w:rsidR="00D82F04" w:rsidRPr="00D82F04">
          <w:rPr>
            <w:rFonts w:eastAsia="Times New Roman"/>
            <w:szCs w:val="20"/>
            <w:lang w:val="ru-RU"/>
          </w:rPr>
          <w:t xml:space="preserve">-19, Альянс провел обзор соответствующей деятельности партнеров и определил потенциальные области сотрудничества. </w:t>
        </w:r>
        <w:proofErr w:type="spellStart"/>
        <w:r w:rsidR="00D82F04" w:rsidRPr="00D82F04">
          <w:rPr>
            <w:rFonts w:eastAsia="Times New Roman"/>
            <w:szCs w:val="20"/>
            <w:lang w:val="ru-RU"/>
          </w:rPr>
          <w:t>ЮНЕП</w:t>
        </w:r>
        <w:proofErr w:type="spellEnd"/>
        <w:r w:rsidR="00D82F04" w:rsidRPr="00D82F04">
          <w:rPr>
            <w:rFonts w:eastAsia="Times New Roman"/>
            <w:szCs w:val="20"/>
            <w:lang w:val="ru-RU"/>
          </w:rPr>
          <w:t>, являясь организатором работы Альянса, тесно сотрудничает с Объединенным исследовательским центром Европейской комиссии в контексте мониторинга сточных вод на предмет выявления РНК коронавируса тяжелого острого респираторного синдрома – 2 (</w:t>
        </w:r>
        <w:proofErr w:type="spellStart"/>
        <w:r w:rsidR="00D82F04" w:rsidRPr="00D82F04">
          <w:rPr>
            <w:rFonts w:eastAsia="Times New Roman"/>
            <w:szCs w:val="20"/>
            <w:lang w:val="ru-RU"/>
          </w:rPr>
          <w:t>SARS</w:t>
        </w:r>
        <w:proofErr w:type="spellEnd"/>
        <w:r w:rsidR="00D82F04" w:rsidRPr="00D82F04">
          <w:rPr>
            <w:rFonts w:eastAsia="Times New Roman"/>
            <w:szCs w:val="20"/>
            <w:lang w:val="ru-RU"/>
          </w:rPr>
          <w:t>-</w:t>
        </w:r>
        <w:proofErr w:type="spellStart"/>
        <w:r w:rsidR="00D82F04" w:rsidRPr="00D82F04">
          <w:rPr>
            <w:rFonts w:eastAsia="Times New Roman"/>
            <w:szCs w:val="20"/>
            <w:lang w:val="ru-RU"/>
          </w:rPr>
          <w:t>CoV</w:t>
        </w:r>
        <w:proofErr w:type="spellEnd"/>
        <w:r w:rsidR="00D82F04" w:rsidRPr="00D82F04">
          <w:rPr>
            <w:rFonts w:eastAsia="Times New Roman"/>
            <w:szCs w:val="20"/>
            <w:lang w:val="ru-RU"/>
          </w:rPr>
          <w:t xml:space="preserve">-2).  </w:t>
        </w:r>
      </w:hyperlink>
    </w:p>
    <w:p w14:paraId="49842085" w14:textId="6CFFFBAF" w:rsidR="00D82F04" w:rsidRPr="00D82F04" w:rsidRDefault="00F0032A" w:rsidP="00D82F04">
      <w:pPr>
        <w:spacing w:after="120"/>
        <w:ind w:left="1247"/>
        <w:rPr>
          <w:rFonts w:eastAsia="Times New Roman"/>
          <w:szCs w:val="20"/>
          <w:lang w:val="ru-RU"/>
        </w:rPr>
      </w:pPr>
      <w:bookmarkStart w:id="2" w:name="_Hlk55505253"/>
      <w:r>
        <w:rPr>
          <w:rFonts w:eastAsia="Times New Roman"/>
          <w:szCs w:val="20"/>
        </w:rPr>
        <w:t>8.</w:t>
      </w:r>
      <w:r>
        <w:rPr>
          <w:rFonts w:eastAsia="Times New Roman"/>
          <w:szCs w:val="20"/>
        </w:rPr>
        <w:tab/>
      </w:r>
      <w:r w:rsidR="00D82F04" w:rsidRPr="00D82F04">
        <w:rPr>
          <w:rFonts w:eastAsia="Times New Roman"/>
          <w:szCs w:val="20"/>
          <w:lang w:val="ru-RU"/>
        </w:rPr>
        <w:t>Для проведения оценки качества воды в мире партнеры по Альянсу учредили три рабочие группы по следующим источникам данных: a) моделирование качества воды с целью получения данных, необходимых для их предполагаемого слияния (Делфт, Нидерланды, январь 2020 года); b) дистанционное зондирование с уделением особого внимания спутниковым наблюдениям и продуктам (Лейпциг, Германия, январь 2020 года);</w:t>
      </w:r>
      <w:r w:rsidR="009B35E4">
        <w:rPr>
          <w:rFonts w:eastAsia="Times New Roman"/>
          <w:szCs w:val="20"/>
          <w:lang w:val="ru-RU"/>
        </w:rPr>
        <w:t xml:space="preserve"> и</w:t>
      </w:r>
      <w:r w:rsidR="00D82F04" w:rsidRPr="00D82F04">
        <w:rPr>
          <w:rFonts w:eastAsia="Times New Roman"/>
          <w:szCs w:val="20"/>
          <w:lang w:val="ru-RU"/>
        </w:rPr>
        <w:t xml:space="preserve"> c) наземный мониторинг (виртуальное совещание, апрель 2020 года). В настоящее время провод</w:t>
      </w:r>
      <w:r w:rsidR="005609A6">
        <w:rPr>
          <w:rFonts w:eastAsia="Times New Roman"/>
          <w:szCs w:val="20"/>
          <w:lang w:val="ru-RU"/>
        </w:rPr>
        <w:t>я</w:t>
      </w:r>
      <w:r w:rsidR="00D82F04" w:rsidRPr="00D82F04">
        <w:rPr>
          <w:rFonts w:eastAsia="Times New Roman"/>
          <w:szCs w:val="20"/>
          <w:lang w:val="ru-RU"/>
        </w:rPr>
        <w:t>тся пересмотр этих трех источников данных и тестирование их слияния в интересах проведения глобальной и в масштабе водных объектов (озер и рек) оценки качества воды с уделением особого внимания причинно-следственным связям, т.е. описательной части, иллюстрирующей воздействие качества воды на здоровье, продовольственную безопасность и экосистемы. В основе этого подхода лежит концепция «Движущие факторы-нагрузки-состояние-воздействие-реакция». Партнеры Альянса поддерживают проект путем мобилизации взносов в денежной и натуральной форме для проведения необходимых исследований и разработок, тестов и расширения масштабов деятельности, в том числе для создания платформы технической поддержки глобальной оценки качества воды, которая будет продолжаться и после завершения проекта (при поддержке, оказываемой правительством Германии и в натуральной форме более чем 15 членами рабочей группы). На пятой сессии Ассамблеи Организации Объединенных Наций по окружающей среде в качестве приложения к информационному документу будут представлены первоначальные глобальные и тематические информационные материалы и демонстрационный план оценки качества мировых водных ресурсов. Параллельно с этим в рамках оценки было проведено тестовое слияние легкодоступных данных на примере определенных районов Африки, в которых имеются проблемы с качеством воды.</w:t>
      </w:r>
    </w:p>
    <w:bookmarkEnd w:id="2"/>
    <w:p w14:paraId="6CE05B7D" w14:textId="606B0EF4" w:rsidR="00D82F04" w:rsidRPr="00D82F04" w:rsidRDefault="00F0032A" w:rsidP="00D82F04">
      <w:pPr>
        <w:spacing w:after="120"/>
        <w:ind w:left="1247"/>
        <w:rPr>
          <w:rFonts w:eastAsia="Times New Roman"/>
          <w:szCs w:val="20"/>
          <w:lang w:val="ru-RU"/>
        </w:rPr>
      </w:pPr>
      <w:r>
        <w:rPr>
          <w:rFonts w:eastAsia="Times New Roman"/>
          <w:szCs w:val="20"/>
        </w:rPr>
        <w:t>9.</w:t>
      </w:r>
      <w:r>
        <w:rPr>
          <w:rFonts w:eastAsia="Times New Roman"/>
          <w:szCs w:val="20"/>
        </w:rPr>
        <w:tab/>
      </w:r>
      <w:r w:rsidR="00D82F04" w:rsidRPr="00D82F04">
        <w:rPr>
          <w:rFonts w:eastAsia="Times New Roman"/>
          <w:szCs w:val="20"/>
          <w:lang w:val="ru-RU"/>
        </w:rPr>
        <w:t>В основе оценки лежит Глобальная платформа качества и анализа водных ресурсов (</w:t>
      </w:r>
      <w:proofErr w:type="spellStart"/>
      <w:r w:rsidR="00D82F04" w:rsidRPr="00D82F04">
        <w:rPr>
          <w:rFonts w:eastAsia="Times New Roman"/>
          <w:szCs w:val="20"/>
          <w:lang w:val="ru-RU"/>
        </w:rPr>
        <w:t>GlobeWQ</w:t>
      </w:r>
      <w:proofErr w:type="spellEnd"/>
      <w:r w:rsidR="00D82F04" w:rsidRPr="00D82F04">
        <w:rPr>
          <w:rFonts w:eastAsia="Times New Roman"/>
          <w:szCs w:val="20"/>
          <w:lang w:val="ru-RU"/>
        </w:rPr>
        <w:t>)</w:t>
      </w:r>
      <w:r w:rsidR="00D82F04" w:rsidRPr="00D82F04">
        <w:rPr>
          <w:rFonts w:eastAsia="Times New Roman"/>
          <w:szCs w:val="20"/>
          <w:vertAlign w:val="superscript"/>
          <w:lang w:val="ru-RU"/>
        </w:rPr>
        <w:footnoteReference w:id="8"/>
      </w:r>
      <w:r w:rsidR="00D82F04" w:rsidRPr="00D82F04">
        <w:rPr>
          <w:rFonts w:eastAsia="Times New Roman"/>
          <w:szCs w:val="20"/>
          <w:lang w:val="ru-RU"/>
        </w:rPr>
        <w:t xml:space="preserve">, которая в настоящее время разрабатывается в качестве веб-инфраструктуры для размещения, визуализации и анализа данных о качестве водных ресурсов и связанных с ними движущих факторах, а также для интеграции наблюдений на местах методом дистанционного зондирования и моделирования. Одна из первых целей заключается в составлении перечня моделей, иллюстрирующих текущее состояние качества воды на глобальном уровне или на отдельных континентах, с использованием ряда параметров, таких как биогенные (питательные) вещества, соленость, патогены и токсичные вещества. Содержание и функциональные возможности платформы будут адаптированы к потребностям пользователей, выявленным в ходе проведения семинаров с участием местных заинтересованных сторон. </w:t>
      </w:r>
    </w:p>
    <w:p w14:paraId="7622CE0E" w14:textId="2CAB0047" w:rsidR="00D82F04" w:rsidRPr="00D82F04" w:rsidRDefault="00F0032A" w:rsidP="00D82F04">
      <w:pPr>
        <w:spacing w:after="120"/>
        <w:ind w:left="1247"/>
        <w:rPr>
          <w:rFonts w:eastAsia="Times New Roman"/>
          <w:szCs w:val="20"/>
          <w:lang w:val="ru-RU"/>
        </w:rPr>
      </w:pPr>
      <w:r>
        <w:rPr>
          <w:rFonts w:eastAsia="Times New Roman"/>
          <w:szCs w:val="20"/>
        </w:rPr>
        <w:t>10.</w:t>
      </w:r>
      <w:r>
        <w:rPr>
          <w:rFonts w:eastAsia="Times New Roman"/>
          <w:szCs w:val="20"/>
        </w:rPr>
        <w:tab/>
      </w:r>
      <w:r w:rsidR="00D82F04" w:rsidRPr="00D82F04">
        <w:rPr>
          <w:rFonts w:eastAsia="Times New Roman"/>
          <w:szCs w:val="20"/>
          <w:lang w:val="ru-RU"/>
        </w:rPr>
        <w:t>В условиях дефицита данных, в которых проводится оценка качества мировых водных ресурсов, приходится выполнять сложную работу по объединению и синтезу различных данных и источников информации. Создание партнерств, необходимых для этого процесса, требует времени, и ожидается, что такая работа будет продолжаться до 2023 года. Результаты и демонстрационные продукты будут представлены на платформе «Состояние окружающей среды в мире» (</w:t>
      </w:r>
      <w:proofErr w:type="spellStart"/>
      <w:r w:rsidR="00D82F04" w:rsidRPr="00D82F04">
        <w:rPr>
          <w:rFonts w:eastAsia="Times New Roman"/>
          <w:szCs w:val="20"/>
          <w:lang w:val="ru-RU"/>
        </w:rPr>
        <w:t>World</w:t>
      </w:r>
      <w:proofErr w:type="spellEnd"/>
      <w:r w:rsidR="00D82F04" w:rsidRPr="00D82F04">
        <w:rPr>
          <w:rFonts w:eastAsia="Times New Roman"/>
          <w:szCs w:val="20"/>
          <w:lang w:val="ru-RU"/>
        </w:rPr>
        <w:t xml:space="preserve"> </w:t>
      </w:r>
      <w:proofErr w:type="spellStart"/>
      <w:r w:rsidR="00D82F04" w:rsidRPr="00D82F04">
        <w:rPr>
          <w:rFonts w:eastAsia="Times New Roman"/>
          <w:szCs w:val="20"/>
          <w:lang w:val="ru-RU"/>
        </w:rPr>
        <w:t>Environment</w:t>
      </w:r>
      <w:proofErr w:type="spellEnd"/>
      <w:r w:rsidR="00D82F04" w:rsidRPr="00D82F04">
        <w:rPr>
          <w:rFonts w:eastAsia="Times New Roman"/>
          <w:szCs w:val="20"/>
          <w:lang w:val="ru-RU"/>
        </w:rPr>
        <w:t xml:space="preserve"> </w:t>
      </w:r>
      <w:proofErr w:type="spellStart"/>
      <w:r w:rsidR="00D82F04" w:rsidRPr="00D82F04">
        <w:rPr>
          <w:rFonts w:eastAsia="Times New Roman"/>
          <w:szCs w:val="20"/>
          <w:lang w:val="ru-RU"/>
        </w:rPr>
        <w:t>Situation</w:t>
      </w:r>
      <w:proofErr w:type="spellEnd"/>
      <w:r w:rsidR="00D82F04" w:rsidRPr="00D82F04">
        <w:rPr>
          <w:rFonts w:eastAsia="Times New Roman"/>
          <w:szCs w:val="20"/>
          <w:lang w:val="ru-RU"/>
        </w:rPr>
        <w:t xml:space="preserve"> </w:t>
      </w:r>
      <w:proofErr w:type="spellStart"/>
      <w:r w:rsidR="00D82F04" w:rsidRPr="00D82F04">
        <w:rPr>
          <w:rFonts w:eastAsia="Times New Roman"/>
          <w:szCs w:val="20"/>
          <w:lang w:val="ru-RU"/>
        </w:rPr>
        <w:t>Room</w:t>
      </w:r>
      <w:proofErr w:type="spellEnd"/>
      <w:r w:rsidR="00D82F04" w:rsidRPr="00D82F04">
        <w:rPr>
          <w:rFonts w:eastAsia="Times New Roman"/>
          <w:szCs w:val="20"/>
          <w:lang w:val="ru-RU"/>
        </w:rPr>
        <w:t>), а также в полном объеме в информационном документе, который готовится к пятой сессии Ассамблеи по окружающей среде. Будет продолжена разработка трех основных направлений оценки: a) базовой оценки состояния качества воды во всем мире в поверхностных и подземных водоемах; b) анализа сценариев будущих путей повышения качества воды в пресноводных системах и ее компонентах;</w:t>
      </w:r>
      <w:r w:rsidR="00B503A2">
        <w:rPr>
          <w:rFonts w:eastAsia="Times New Roman"/>
          <w:szCs w:val="20"/>
          <w:lang w:val="ru-RU"/>
        </w:rPr>
        <w:t xml:space="preserve"> и</w:t>
      </w:r>
      <w:r w:rsidR="00D82F04" w:rsidRPr="00D82F04">
        <w:rPr>
          <w:rFonts w:eastAsia="Times New Roman"/>
          <w:szCs w:val="20"/>
          <w:lang w:val="ru-RU"/>
        </w:rPr>
        <w:t xml:space="preserve"> c) первоначального анализа вариантов сохранения и восстановления качества воды. Члены Всемирного альянса за качество воды представят обновленную информацию на пятой сессии Ассамблеи по окружающей среде. После этого будет проведена полная оценка, которая должна быть завершена ко времени проведения шестой сессии Ассамблеи. Результаты оценки и по другим направлениям работы Альянса послужат вкладом в среднесрочный обзор Международного десятилетия действий (2018</w:t>
      </w:r>
      <w:r w:rsidR="003C4C5C">
        <w:rPr>
          <w:rFonts w:eastAsia="Times New Roman"/>
          <w:szCs w:val="20"/>
        </w:rPr>
        <w:t>-</w:t>
      </w:r>
      <w:r w:rsidR="00D82F04" w:rsidRPr="00D82F04">
        <w:rPr>
          <w:rFonts w:eastAsia="Times New Roman"/>
          <w:szCs w:val="20"/>
          <w:lang w:val="ru-RU"/>
        </w:rPr>
        <w:t xml:space="preserve">2028 годы) «Вода для устойчивого развития» и в </w:t>
      </w:r>
      <w:r w:rsidR="00D82F04" w:rsidRPr="00D82F04">
        <w:rPr>
          <w:rFonts w:eastAsia="Times New Roman"/>
          <w:szCs w:val="20"/>
          <w:lang w:val="ru-RU"/>
        </w:rPr>
        <w:lastRenderedPageBreak/>
        <w:t>работу соответствующей конференции, которая состоится в 2023 году, и, в частности, будут использованы при определении прогресса в достижении цели 6 в области устойчивого развития и подготовке обзора хода реализации Повестки дня в области устойчивого развития на период до 2030 года для политического форума высокого уровня по устойчивому развитию, также запланированного на 2023 год. Они представляют собой важный вклад в глобальную рамочную программу ускорения реализации цели 6 в области устойчивого развития, осуществление которой было начато членами механизма «ООН</w:t>
      </w:r>
      <w:r w:rsidR="003C3631">
        <w:rPr>
          <w:rFonts w:eastAsia="Times New Roman"/>
          <w:szCs w:val="20"/>
        </w:rPr>
        <w:t>-</w:t>
      </w:r>
      <w:r w:rsidR="003C3631" w:rsidRPr="00D82F04">
        <w:rPr>
          <w:rFonts w:eastAsia="Times New Roman"/>
          <w:szCs w:val="20"/>
          <w:lang w:val="ru-RU"/>
        </w:rPr>
        <w:t xml:space="preserve">Водные </w:t>
      </w:r>
      <w:r w:rsidR="00D82F04" w:rsidRPr="00D82F04">
        <w:rPr>
          <w:rFonts w:eastAsia="Times New Roman"/>
          <w:szCs w:val="20"/>
          <w:lang w:val="ru-RU"/>
        </w:rPr>
        <w:t>ресурсы» в 2020 году в целях содействия выполнению поставленных задач в области водных ресурсов</w:t>
      </w:r>
      <w:r w:rsidR="00D82F04" w:rsidRPr="00D82F04">
        <w:rPr>
          <w:rFonts w:eastAsia="Times New Roman"/>
          <w:szCs w:val="20"/>
          <w:vertAlign w:val="superscript"/>
          <w:lang w:val="ru-RU"/>
        </w:rPr>
        <w:footnoteReference w:id="9"/>
      </w:r>
      <w:r w:rsidR="00D82F04" w:rsidRPr="00D82F04">
        <w:rPr>
          <w:rFonts w:eastAsia="Times New Roman"/>
          <w:szCs w:val="20"/>
          <w:lang w:val="ru-RU"/>
        </w:rPr>
        <w:t>.</w:t>
      </w:r>
    </w:p>
    <w:p w14:paraId="3047F4D6" w14:textId="77777777" w:rsidR="00D82F04" w:rsidRPr="00D82F04" w:rsidDel="0003707D" w:rsidRDefault="00D82F04" w:rsidP="003D6EB7">
      <w:pPr>
        <w:tabs>
          <w:tab w:val="right" w:pos="851"/>
        </w:tabs>
        <w:spacing w:after="120"/>
        <w:ind w:left="1247" w:right="284" w:hanging="1247"/>
        <w:rPr>
          <w:rFonts w:eastAsia="Times New Roman"/>
          <w:b/>
          <w:bCs/>
          <w:sz w:val="24"/>
          <w:szCs w:val="24"/>
          <w:lang w:val="ru-RU"/>
        </w:rPr>
      </w:pPr>
      <w:r w:rsidRPr="00D82F04">
        <w:rPr>
          <w:rFonts w:eastAsia="Times New Roman"/>
          <w:b/>
          <w:bCs/>
          <w:sz w:val="24"/>
          <w:szCs w:val="24"/>
          <w:lang w:val="ru-RU"/>
        </w:rPr>
        <w:tab/>
        <w:t>B.</w:t>
      </w:r>
      <w:r w:rsidRPr="00D82F04">
        <w:rPr>
          <w:rFonts w:eastAsia="Times New Roman"/>
          <w:b/>
          <w:bCs/>
          <w:sz w:val="24"/>
          <w:szCs w:val="24"/>
          <w:lang w:val="ru-RU"/>
        </w:rPr>
        <w:tab/>
        <w:t>Сценарии использования, оценка и разработка продукта</w:t>
      </w:r>
    </w:p>
    <w:p w14:paraId="5388720F" w14:textId="48B81D36" w:rsidR="00D82F04" w:rsidRPr="00D82F04" w:rsidRDefault="0024613B" w:rsidP="00D82F04">
      <w:pPr>
        <w:spacing w:after="120"/>
        <w:ind w:left="1247"/>
        <w:rPr>
          <w:rFonts w:eastAsia="Times New Roman"/>
          <w:szCs w:val="20"/>
          <w:lang w:val="ru-RU"/>
        </w:rPr>
      </w:pPr>
      <w:r>
        <w:rPr>
          <w:rFonts w:eastAsia="Times New Roman"/>
          <w:szCs w:val="20"/>
        </w:rPr>
        <w:t>11.</w:t>
      </w:r>
      <w:r>
        <w:rPr>
          <w:rFonts w:eastAsia="Times New Roman"/>
          <w:szCs w:val="20"/>
        </w:rPr>
        <w:tab/>
      </w:r>
      <w:r w:rsidR="00D82F04" w:rsidRPr="00D82F04">
        <w:rPr>
          <w:rFonts w:eastAsia="Times New Roman"/>
          <w:szCs w:val="20"/>
          <w:lang w:val="ru-RU"/>
        </w:rPr>
        <w:t xml:space="preserve">Проекты по сценариям использования в Африке сочетают ассимиляцию данных с </w:t>
      </w:r>
      <w:proofErr w:type="spellStart"/>
      <w:r w:rsidR="00D82F04" w:rsidRPr="00D82F04">
        <w:rPr>
          <w:rFonts w:eastAsia="Times New Roman"/>
          <w:szCs w:val="20"/>
          <w:lang w:val="ru-RU"/>
        </w:rPr>
        <w:t>трансдисциплинарным</w:t>
      </w:r>
      <w:proofErr w:type="spellEnd"/>
      <w:r w:rsidR="00D82F04" w:rsidRPr="00D82F04">
        <w:rPr>
          <w:rFonts w:eastAsia="Times New Roman"/>
          <w:szCs w:val="20"/>
          <w:lang w:val="ru-RU"/>
        </w:rPr>
        <w:t xml:space="preserve"> взаимодействием и совместным проектированием средств обеспечения качества воды, предназначенных для оперативного использования. Неотъемлемой частью этих проектов является процесс выявления и удовлетворения местных потребностей (поиск решений глобальных проблем на местном уровне), осуществляемый при посредничестве заинтересованных сторон на страновом уровне. По официальному приглашению Комиссии по водным ресурсам и министерства санитарии и водных ресурсов Ганы в феврале 2020 года Альянс провел в Аккре семинар по системе Вольта, в котором приняли участие ученые и представители правительств Ганы и Буркина-Фасо, а также представители неправительственных и межправительственных организаций, Организации Объединенных Наций и партнеров по проектам. Участники обсудили «горячие точки» качества воды в бассейне реки Вольта, а также средства и услуги в области обеспечения качества воды. После направления Альянсом писем с предложением о сотрудничестве в адрес комиссии и министерства был начат процесс социального взаимодействия в разработке средств обеспечения качества воды для тестирования. Ситуация в связи с инфекцией </w:t>
      </w:r>
      <w:proofErr w:type="spellStart"/>
      <w:r w:rsidR="00D82F04" w:rsidRPr="00D82F04">
        <w:rPr>
          <w:rFonts w:eastAsia="Times New Roman"/>
          <w:szCs w:val="20"/>
          <w:lang w:val="ru-RU"/>
        </w:rPr>
        <w:t>COVID</w:t>
      </w:r>
      <w:proofErr w:type="spellEnd"/>
      <w:r w:rsidR="00D82F04" w:rsidRPr="00D82F04">
        <w:rPr>
          <w:rFonts w:eastAsia="Times New Roman"/>
          <w:szCs w:val="20"/>
          <w:lang w:val="ru-RU"/>
        </w:rPr>
        <w:t xml:space="preserve">-19 не позволила провести последующие мероприятия в стране, однако в настоящее время рассматривается применение двух средств обеспечения качества воды: Национальная организация по борьбе со стихийными бедствиями Ганы изучает возможность применения инструмента, предназначенного для определения процентной доли уязвимого населения, страдающего от низкого качества воды, с использованием подхода, основанного на слиянии данных об индексе качества воды и данных об уязвимости; Университет </w:t>
      </w:r>
      <w:proofErr w:type="spellStart"/>
      <w:r w:rsidR="00D82F04" w:rsidRPr="00D82F04">
        <w:rPr>
          <w:rFonts w:eastAsia="Times New Roman"/>
          <w:szCs w:val="20"/>
          <w:lang w:val="ru-RU"/>
        </w:rPr>
        <w:t>Фада</w:t>
      </w:r>
      <w:proofErr w:type="spellEnd"/>
      <w:r w:rsidR="00D82F04" w:rsidRPr="00D82F04">
        <w:rPr>
          <w:rFonts w:eastAsia="Times New Roman"/>
          <w:szCs w:val="20"/>
          <w:lang w:val="ru-RU"/>
        </w:rPr>
        <w:t xml:space="preserve"> </w:t>
      </w:r>
      <w:proofErr w:type="spellStart"/>
      <w:r w:rsidR="00D82F04" w:rsidRPr="00D82F04">
        <w:rPr>
          <w:rFonts w:eastAsia="Times New Roman"/>
          <w:szCs w:val="20"/>
          <w:lang w:val="ru-RU"/>
        </w:rPr>
        <w:t>Н'Гурма</w:t>
      </w:r>
      <w:proofErr w:type="spellEnd"/>
      <w:r w:rsidR="00D82F04" w:rsidRPr="00D82F04">
        <w:rPr>
          <w:rFonts w:eastAsia="Times New Roman"/>
          <w:szCs w:val="20"/>
          <w:lang w:val="ru-RU"/>
        </w:rPr>
        <w:t xml:space="preserve"> в Буркина-Фасо исследует возможность проведения оценки качества подземных вод на основе данных дистанционного зондирования.</w:t>
      </w:r>
      <w:bookmarkStart w:id="3" w:name="_Hlk57637789"/>
      <w:bookmarkEnd w:id="3"/>
    </w:p>
    <w:p w14:paraId="348C8BC2" w14:textId="58E223E6" w:rsidR="00D82F04" w:rsidRPr="00D82F04" w:rsidRDefault="0024613B" w:rsidP="00D82F04">
      <w:pPr>
        <w:spacing w:after="120"/>
        <w:ind w:left="1247"/>
        <w:rPr>
          <w:rFonts w:eastAsia="Times New Roman"/>
          <w:szCs w:val="20"/>
          <w:lang w:val="ru-RU"/>
        </w:rPr>
      </w:pPr>
      <w:r>
        <w:rPr>
          <w:rFonts w:eastAsia="Times New Roman"/>
          <w:szCs w:val="20"/>
        </w:rPr>
        <w:t>12.</w:t>
      </w:r>
      <w:r>
        <w:rPr>
          <w:rFonts w:eastAsia="Times New Roman"/>
          <w:szCs w:val="20"/>
        </w:rPr>
        <w:tab/>
      </w:r>
      <w:r w:rsidR="00D82F04" w:rsidRPr="00D82F04">
        <w:rPr>
          <w:rFonts w:eastAsia="Times New Roman"/>
          <w:szCs w:val="20"/>
          <w:lang w:val="ru-RU"/>
        </w:rPr>
        <w:t xml:space="preserve">На семинаре Африканской сети заинтересованных сторон района Великих озер, состоявшемся в ноябре 2019 года, была представлена концепция сценариев использования для озера Виктория. Партнеры по альянсу и местные рыбохозяйственные организации обменялись соответствующими данными моделирования и наблюдения. В число возможных средств и услуг в области обеспечения качества воды, которые могут быть совместно разработаны, входят: а) оценка прибрежной </w:t>
      </w:r>
      <w:proofErr w:type="spellStart"/>
      <w:r w:rsidR="00D82F04" w:rsidRPr="00D82F04">
        <w:rPr>
          <w:rFonts w:eastAsia="Times New Roman"/>
          <w:szCs w:val="20"/>
          <w:lang w:val="ru-RU"/>
        </w:rPr>
        <w:t>эвтрофикации</w:t>
      </w:r>
      <w:proofErr w:type="spellEnd"/>
      <w:r w:rsidR="00D82F04" w:rsidRPr="00D82F04">
        <w:rPr>
          <w:rFonts w:eastAsia="Times New Roman"/>
          <w:szCs w:val="20"/>
          <w:lang w:val="ru-RU"/>
        </w:rPr>
        <w:t xml:space="preserve">, включая общие источники и нагрузки фосфора, и ранжирование </w:t>
      </w:r>
      <w:proofErr w:type="spellStart"/>
      <w:r w:rsidR="00D82F04" w:rsidRPr="00D82F04">
        <w:rPr>
          <w:rFonts w:eastAsia="Times New Roman"/>
          <w:szCs w:val="20"/>
          <w:lang w:val="ru-RU"/>
        </w:rPr>
        <w:t>суббассейновых</w:t>
      </w:r>
      <w:proofErr w:type="spellEnd"/>
      <w:r w:rsidR="00D82F04" w:rsidRPr="00D82F04">
        <w:rPr>
          <w:rFonts w:eastAsia="Times New Roman"/>
          <w:szCs w:val="20"/>
          <w:lang w:val="ru-RU"/>
        </w:rPr>
        <w:t xml:space="preserve"> нагрузок на основе трех источников данных, указанных выше; </w:t>
      </w:r>
      <w:r w:rsidR="00471F4C">
        <w:rPr>
          <w:rFonts w:eastAsia="Times New Roman"/>
          <w:szCs w:val="20"/>
          <w:lang w:val="ru-RU"/>
        </w:rPr>
        <w:t>и </w:t>
      </w:r>
      <w:r w:rsidR="00D82F04" w:rsidRPr="00D82F04">
        <w:rPr>
          <w:rFonts w:eastAsia="Times New Roman"/>
          <w:szCs w:val="20"/>
          <w:lang w:val="ru-RU"/>
        </w:rPr>
        <w:t>b) валидация моделирования температуры и динамики стратификации воды. Кроме того, партнеры по Альянсу выразили готовность сотрудничать с Кенийским научно</w:t>
      </w:r>
      <w:r w:rsidR="00D020A4">
        <w:rPr>
          <w:rFonts w:eastAsia="Times New Roman"/>
          <w:szCs w:val="20"/>
          <w:lang w:val="ru-RU"/>
        </w:rPr>
        <w:noBreakHyphen/>
      </w:r>
      <w:r w:rsidR="00D82F04" w:rsidRPr="00D82F04">
        <w:rPr>
          <w:rFonts w:eastAsia="Times New Roman"/>
          <w:szCs w:val="20"/>
          <w:lang w:val="ru-RU"/>
        </w:rPr>
        <w:t xml:space="preserve">исследовательским институтом морской среды и рыбного хозяйства в проведении совместной оценки поступления биогенных веществ из отложений в связи с цветением водорослей в Кении и Уганде. </w:t>
      </w:r>
    </w:p>
    <w:p w14:paraId="0EDA50F2" w14:textId="63646E2F" w:rsidR="00D82F04" w:rsidRPr="00D82F04" w:rsidRDefault="00D020A4" w:rsidP="00D82F04">
      <w:pPr>
        <w:spacing w:after="120"/>
        <w:ind w:left="1247"/>
        <w:rPr>
          <w:rFonts w:eastAsia="Times New Roman"/>
          <w:szCs w:val="20"/>
          <w:lang w:val="ru-RU"/>
        </w:rPr>
      </w:pPr>
      <w:r>
        <w:rPr>
          <w:rFonts w:eastAsia="Times New Roman"/>
          <w:szCs w:val="20"/>
        </w:rPr>
        <w:t>13.</w:t>
      </w:r>
      <w:r>
        <w:rPr>
          <w:rFonts w:eastAsia="Times New Roman"/>
          <w:szCs w:val="20"/>
        </w:rPr>
        <w:tab/>
      </w:r>
      <w:r w:rsidR="00D82F04" w:rsidRPr="00D82F04">
        <w:rPr>
          <w:rFonts w:eastAsia="Times New Roman"/>
          <w:szCs w:val="20"/>
          <w:lang w:val="ru-RU"/>
        </w:rPr>
        <w:t>Сценарий использования для водоносного горизонта Кейптауна охватывает различные водоносные горизонты на территории Кейптауна и в его окрестностях, которые предназначены для водоснабжения города. Водоносный горизонт Кейп-</w:t>
      </w:r>
      <w:proofErr w:type="spellStart"/>
      <w:r w:rsidR="00D82F04" w:rsidRPr="00D82F04">
        <w:rPr>
          <w:rFonts w:eastAsia="Times New Roman"/>
          <w:szCs w:val="20"/>
          <w:lang w:val="ru-RU"/>
        </w:rPr>
        <w:t>Флэтс</w:t>
      </w:r>
      <w:proofErr w:type="spellEnd"/>
      <w:r w:rsidR="00D82F04" w:rsidRPr="00D82F04">
        <w:rPr>
          <w:rFonts w:eastAsia="Times New Roman"/>
          <w:szCs w:val="20"/>
          <w:lang w:val="ru-RU"/>
        </w:rPr>
        <w:t xml:space="preserve">, залегающий под большей частью города, весьма уязвим к воздействию загрязнения в результате деятельности по землепользованию, включая мелкомасштабное сельское хозяйство и добычу песка, а также от свалок, кладбищ, промышленных зон и неформальных поселений без соблюдения надлежащих санитарных норм. Это привело к засолению и загрязнению биогенными веществами, микробиологическими и промышленными загрязнителями, углеводородами и, возможно, новыми загрязнителями, вызывающими обеспокоенность. В ходе оценки использовались обширные данные мониторинга на местах и данные дистанционного зондирования (наблюдения Земли), содержащие подробную информацию о землепользовании и источниках загрязнения, а также данные моделирования уязвимости и потоков с использованием географических информационных систем. В рамках привлечения заинтересованных сторон в качестве возможного инструмента оценки было предложено использовать данные об охранных </w:t>
      </w:r>
      <w:r w:rsidR="00D82F04" w:rsidRPr="00D82F04">
        <w:rPr>
          <w:rFonts w:eastAsia="Times New Roman"/>
          <w:szCs w:val="20"/>
          <w:lang w:val="ru-RU"/>
        </w:rPr>
        <w:lastRenderedPageBreak/>
        <w:t>зонах подземных вод. Высокая изменчивость качества природных подземных вод и отсутствие исторических данных о качестве воды не позволили провести оценку ухудшения их состояния на сегодняшний день. Вместе с тем имеющиеся результаты могут быть экстраполированы на другие городские центры с аналогичными геологическими условиями.</w:t>
      </w:r>
    </w:p>
    <w:p w14:paraId="6860019E" w14:textId="77777777" w:rsidR="00D82F04" w:rsidRPr="00D82F04" w:rsidDel="0003707D" w:rsidRDefault="00D82F04" w:rsidP="00D020A4">
      <w:pPr>
        <w:keepNext/>
        <w:tabs>
          <w:tab w:val="right" w:pos="851"/>
        </w:tabs>
        <w:spacing w:after="120"/>
        <w:ind w:left="1247" w:right="284" w:hanging="1247"/>
        <w:rPr>
          <w:rFonts w:eastAsia="Times New Roman"/>
          <w:b/>
          <w:bCs/>
          <w:sz w:val="24"/>
          <w:szCs w:val="24"/>
          <w:lang w:val="ru-RU"/>
        </w:rPr>
      </w:pPr>
      <w:r w:rsidRPr="00D82F04">
        <w:rPr>
          <w:rFonts w:eastAsia="Times New Roman"/>
          <w:b/>
          <w:bCs/>
          <w:sz w:val="24"/>
          <w:szCs w:val="24"/>
          <w:lang w:val="ru-RU"/>
        </w:rPr>
        <w:tab/>
        <w:t>C.</w:t>
      </w:r>
      <w:r w:rsidRPr="00D82F04">
        <w:rPr>
          <w:rFonts w:eastAsia="Times New Roman"/>
          <w:b/>
          <w:bCs/>
          <w:sz w:val="24"/>
          <w:szCs w:val="24"/>
          <w:lang w:val="ru-RU"/>
        </w:rPr>
        <w:tab/>
        <w:t>Поддержка консорциума по развитию потенциала</w:t>
      </w:r>
    </w:p>
    <w:p w14:paraId="462B02F5" w14:textId="16431014" w:rsidR="00D82F04" w:rsidRPr="00D82F04" w:rsidRDefault="00D020A4" w:rsidP="00D82F04">
      <w:pPr>
        <w:spacing w:after="120"/>
        <w:ind w:left="1247"/>
        <w:rPr>
          <w:rFonts w:eastAsia="Times New Roman"/>
          <w:szCs w:val="20"/>
          <w:lang w:val="ru-RU"/>
        </w:rPr>
      </w:pPr>
      <w:r>
        <w:rPr>
          <w:rFonts w:eastAsia="Times New Roman"/>
          <w:szCs w:val="20"/>
        </w:rPr>
        <w:t>14.</w:t>
      </w:r>
      <w:r>
        <w:rPr>
          <w:rFonts w:eastAsia="Times New Roman"/>
          <w:szCs w:val="20"/>
        </w:rPr>
        <w:tab/>
      </w:r>
      <w:r w:rsidR="00D82F04" w:rsidRPr="00D82F04">
        <w:rPr>
          <w:rFonts w:eastAsia="Times New Roman"/>
          <w:szCs w:val="20"/>
          <w:lang w:val="ru-RU"/>
        </w:rPr>
        <w:t>Одной из важнейших задач страны является укрепление потенциала в области обеспечения качества воды. С учетом заинтересованности более чем 30 членов Альянса в марте 2020 года Центр по развитию потенциала Глобальной системы мониторинга окружающей среды/Программы по водным ресурсам (</w:t>
      </w:r>
      <w:proofErr w:type="spellStart"/>
      <w:r w:rsidR="00D82F04" w:rsidRPr="00D82F04">
        <w:rPr>
          <w:rFonts w:eastAsia="Times New Roman"/>
          <w:szCs w:val="20"/>
          <w:lang w:val="ru-RU"/>
        </w:rPr>
        <w:t>ГСМОС</w:t>
      </w:r>
      <w:proofErr w:type="spellEnd"/>
      <w:r w:rsidR="00D82F04" w:rsidRPr="00D82F04">
        <w:rPr>
          <w:rFonts w:eastAsia="Times New Roman"/>
          <w:szCs w:val="20"/>
          <w:lang w:val="ru-RU"/>
        </w:rPr>
        <w:t>/Водные ресурсы) предложил концепцию консорциума по развитию потенциала. В течение 2015</w:t>
      </w:r>
      <w:r w:rsidR="006C1278">
        <w:rPr>
          <w:rFonts w:eastAsia="Times New Roman"/>
          <w:szCs w:val="20"/>
        </w:rPr>
        <w:t>-</w:t>
      </w:r>
      <w:r w:rsidR="00D82F04" w:rsidRPr="00D82F04">
        <w:rPr>
          <w:rFonts w:eastAsia="Times New Roman"/>
          <w:szCs w:val="20"/>
          <w:lang w:val="ru-RU"/>
        </w:rPr>
        <w:t xml:space="preserve">2020 годов этот центр определил потребности в развитии потенциала на глобальном уровне, в том числе в плане содействия достижению цели 6 в области устойчивого развития. Страны указали, что их приоритетами являются: подготовка кадров по вопросам разработки схем мониторинга, управление данными, мониторинг подземных вод, обучение на местах и инновационный мониторинг, например, биологический мониторинг и дистанционное зондирование. Области экспертных знаний, а также существующие и потенциальные инструменты развития потенциала, которые могли бы совместно использоваться или разрабатываться консорциумом, оценивались посредством вопросника, на который были получены ответы от 27 организаций Альянса. На основе этих ответов были подготовлены проекты критериев членства в консорциуме и его круга ведения. Они подлежали обсуждению и согласованию в ходе совещания группы Альянса по вопросам развития потенциала в ноябре 2020 года. Предполагается назначить примерно 10 основных членов консорциума. Долгосрочная цель заключается в том, чтобы обеспечить оказание поддержки </w:t>
      </w:r>
      <w:proofErr w:type="spellStart"/>
      <w:r w:rsidR="00D82F04" w:rsidRPr="00D82F04">
        <w:rPr>
          <w:rFonts w:eastAsia="Times New Roman"/>
          <w:szCs w:val="20"/>
          <w:lang w:val="ru-RU"/>
        </w:rPr>
        <w:t>ГСМОС</w:t>
      </w:r>
      <w:proofErr w:type="spellEnd"/>
      <w:r w:rsidR="00D82F04" w:rsidRPr="00D82F04">
        <w:rPr>
          <w:rFonts w:eastAsia="Times New Roman"/>
          <w:szCs w:val="20"/>
          <w:lang w:val="ru-RU"/>
        </w:rPr>
        <w:t>/Водные ресурсы и консорциуму со стороны Альянса в целях развития потенциала с учетом конкретных потребностей в период после 2023 года.</w:t>
      </w:r>
    </w:p>
    <w:p w14:paraId="7B1D54CE" w14:textId="77777777" w:rsidR="00D82F04" w:rsidRPr="00D82F04" w:rsidRDefault="00D82F04" w:rsidP="003D6EB7">
      <w:pPr>
        <w:tabs>
          <w:tab w:val="right" w:pos="851"/>
        </w:tabs>
        <w:spacing w:after="120"/>
        <w:ind w:left="1247" w:right="284" w:hanging="1247"/>
        <w:rPr>
          <w:rFonts w:eastAsia="Times New Roman"/>
          <w:b/>
          <w:bCs/>
          <w:sz w:val="24"/>
          <w:szCs w:val="24"/>
          <w:lang w:val="ru-RU"/>
        </w:rPr>
      </w:pPr>
      <w:r w:rsidRPr="00D82F04">
        <w:rPr>
          <w:rFonts w:eastAsia="Times New Roman"/>
          <w:b/>
          <w:bCs/>
          <w:sz w:val="24"/>
          <w:szCs w:val="24"/>
          <w:lang w:val="ru-RU"/>
        </w:rPr>
        <w:tab/>
        <w:t>D.</w:t>
      </w:r>
      <w:r w:rsidRPr="00D82F04">
        <w:rPr>
          <w:rFonts w:eastAsia="Times New Roman"/>
          <w:b/>
          <w:bCs/>
          <w:sz w:val="24"/>
          <w:szCs w:val="24"/>
          <w:lang w:val="ru-RU"/>
        </w:rPr>
        <w:tab/>
        <w:t>Другие направления деятельности Альянса</w:t>
      </w:r>
    </w:p>
    <w:p w14:paraId="2F4B60F1" w14:textId="77777777" w:rsidR="00D82F04" w:rsidRPr="00D82F04" w:rsidRDefault="00D82F04" w:rsidP="003D6EB7">
      <w:pPr>
        <w:tabs>
          <w:tab w:val="right" w:pos="851"/>
        </w:tabs>
        <w:spacing w:after="120"/>
        <w:ind w:left="1247" w:right="284" w:hanging="1247"/>
        <w:rPr>
          <w:rFonts w:eastAsia="Times New Roman"/>
          <w:b/>
          <w:bCs/>
          <w:szCs w:val="20"/>
          <w:lang w:val="ru-RU"/>
        </w:rPr>
      </w:pPr>
      <w:r w:rsidRPr="00D82F04">
        <w:rPr>
          <w:rFonts w:eastAsia="Times New Roman"/>
          <w:b/>
          <w:bCs/>
          <w:szCs w:val="20"/>
          <w:lang w:val="ru-RU"/>
        </w:rPr>
        <w:tab/>
        <w:t>1.</w:t>
      </w:r>
      <w:r w:rsidRPr="00D82F04">
        <w:rPr>
          <w:rFonts w:eastAsia="Times New Roman"/>
          <w:b/>
          <w:bCs/>
          <w:szCs w:val="20"/>
          <w:lang w:val="ru-RU"/>
        </w:rPr>
        <w:tab/>
        <w:t xml:space="preserve">Социальное взаимодействие и ресурсы подземных вод </w:t>
      </w:r>
    </w:p>
    <w:p w14:paraId="79D2CBFF" w14:textId="2A3B2A8F" w:rsidR="00D82F04" w:rsidRPr="00D82F04" w:rsidRDefault="006C1278" w:rsidP="00D82F04">
      <w:pPr>
        <w:spacing w:after="120"/>
        <w:ind w:left="1247"/>
        <w:rPr>
          <w:rFonts w:eastAsia="Times New Roman"/>
          <w:szCs w:val="20"/>
          <w:lang w:val="ru-RU"/>
        </w:rPr>
      </w:pPr>
      <w:r>
        <w:rPr>
          <w:rFonts w:eastAsia="Times New Roman"/>
          <w:szCs w:val="20"/>
        </w:rPr>
        <w:t>15.</w:t>
      </w:r>
      <w:r>
        <w:rPr>
          <w:rFonts w:eastAsia="Times New Roman"/>
          <w:szCs w:val="20"/>
        </w:rPr>
        <w:tab/>
      </w:r>
      <w:r w:rsidR="00D82F04" w:rsidRPr="00D82F04">
        <w:rPr>
          <w:rFonts w:eastAsia="Times New Roman"/>
          <w:szCs w:val="20"/>
          <w:lang w:val="ru-RU"/>
        </w:rPr>
        <w:t>С момента своего создания Всемирный альянс за качество воды содействовал более активному осуществлению Повестки дня на период до 2030 года, обеспечивая увязку местных решений с глобальными факторами нагрузки посредством развития участия на уровне муниципалитетов. В ходе Всемирной недели водных ресурсов, организованной Стокгольмским международным институтом водных ресурсов, была представлена платформа социального взаимодействия по вопросам качества воды и связанным с этим проблемам и решениям. Был утвержден план работы на 2021</w:t>
      </w:r>
      <w:r>
        <w:rPr>
          <w:rFonts w:eastAsia="Times New Roman"/>
          <w:szCs w:val="20"/>
        </w:rPr>
        <w:t>-</w:t>
      </w:r>
      <w:r w:rsidR="00D82F04" w:rsidRPr="00D82F04">
        <w:rPr>
          <w:rFonts w:eastAsia="Times New Roman"/>
          <w:szCs w:val="20"/>
          <w:lang w:val="ru-RU"/>
        </w:rPr>
        <w:t>2023 годы, в котором основное внимание уделяется взаимодействию с заинтересованными сторонами и сделан акцент на подходе «знание к действию» и на «возрождении» методов дипломатии в сфере науки, культуры, устойчивости</w:t>
      </w:r>
      <w:r w:rsidR="00D82F04" w:rsidRPr="00D82F04">
        <w:rPr>
          <w:rFonts w:eastAsia="Times New Roman"/>
          <w:szCs w:val="20"/>
          <w:vertAlign w:val="superscript"/>
          <w:lang w:val="ru-RU"/>
        </w:rPr>
        <w:footnoteReference w:id="10"/>
      </w:r>
      <w:r w:rsidR="00D82F04" w:rsidRPr="00D82F04">
        <w:rPr>
          <w:rFonts w:eastAsia="Times New Roman"/>
          <w:szCs w:val="20"/>
          <w:lang w:val="ru-RU"/>
        </w:rPr>
        <w:t>, изложении сложных понятий простым языком и создании хранилища информации о передовом опыте. В настоящее время принимаются меры, предусматривающие: а) перевод на местные языки брошюр по набору персонала в муниципалитеты, предназначенных для местных и региональных политиков, представителей межмуниципальных и межрегиональных организаций, таких как муниципальные ассоциации; b) набор сотрудников для первых пяти ведущих муниципалитетов на пяти континентах; c) первоначальные подходы к соответствующим наднациональным организациям, таким как Европейская комиссия (2</w:t>
      </w:r>
      <w:r>
        <w:rPr>
          <w:rFonts w:eastAsia="Times New Roman"/>
          <w:szCs w:val="20"/>
        </w:rPr>
        <w:t> </w:t>
      </w:r>
      <w:r w:rsidR="00D82F04" w:rsidRPr="00D82F04">
        <w:rPr>
          <w:rFonts w:eastAsia="Times New Roman"/>
          <w:szCs w:val="20"/>
          <w:lang w:val="ru-RU"/>
        </w:rPr>
        <w:t>октября 2020 года состоял</w:t>
      </w:r>
      <w:r w:rsidR="00CD2FBA">
        <w:rPr>
          <w:rFonts w:eastAsia="Times New Roman"/>
          <w:szCs w:val="20"/>
          <w:lang w:val="ru-RU"/>
        </w:rPr>
        <w:t>а</w:t>
      </w:r>
      <w:r w:rsidR="00D82F04" w:rsidRPr="00D82F04">
        <w:rPr>
          <w:rFonts w:eastAsia="Times New Roman"/>
          <w:szCs w:val="20"/>
          <w:lang w:val="ru-RU"/>
        </w:rPr>
        <w:t>сь предварительная встреча с Европейским комиссаром по вопросам охраны окружающей среды); d) расширение связи Альянса с платформой социального взаимодействия;</w:t>
      </w:r>
      <w:r w:rsidR="00CD2FBA">
        <w:rPr>
          <w:rFonts w:eastAsia="Times New Roman"/>
          <w:szCs w:val="20"/>
          <w:lang w:val="ru-RU"/>
        </w:rPr>
        <w:t xml:space="preserve"> и</w:t>
      </w:r>
      <w:r w:rsidR="00D82F04" w:rsidRPr="00D82F04">
        <w:rPr>
          <w:rFonts w:eastAsia="Times New Roman"/>
          <w:szCs w:val="20"/>
          <w:lang w:val="ru-RU"/>
        </w:rPr>
        <w:t xml:space="preserve"> e) изучение возможностей финансирования, главным образом в рамках Европейского «зеленого курса» и будущих кластеров «Горизонт Европа».</w:t>
      </w:r>
    </w:p>
    <w:p w14:paraId="26E8FCA9" w14:textId="0365482D" w:rsidR="00D82F04" w:rsidRPr="00D82F04" w:rsidRDefault="006C1278" w:rsidP="00D82F04">
      <w:pPr>
        <w:spacing w:after="120"/>
        <w:ind w:left="1247"/>
        <w:rPr>
          <w:rFonts w:eastAsia="Times New Roman"/>
          <w:szCs w:val="20"/>
          <w:lang w:val="ru-RU"/>
        </w:rPr>
      </w:pPr>
      <w:r>
        <w:rPr>
          <w:rFonts w:eastAsia="Times New Roman"/>
          <w:szCs w:val="20"/>
        </w:rPr>
        <w:t>16.</w:t>
      </w:r>
      <w:r>
        <w:rPr>
          <w:rFonts w:eastAsia="Times New Roman"/>
          <w:szCs w:val="20"/>
        </w:rPr>
        <w:tab/>
      </w:r>
      <w:r w:rsidR="00D82F04" w:rsidRPr="00D82F04">
        <w:rPr>
          <w:rFonts w:eastAsia="Times New Roman"/>
          <w:szCs w:val="20"/>
          <w:lang w:val="ru-RU"/>
        </w:rPr>
        <w:t xml:space="preserve">Группа «Друзья ресурсов подземных вод», сформированная в контексте Альянса и состоящая из представителей 20 организаций, в особенности занимающихся проблемами подземных вод, в настоящее время разрабатывает глобальный концептуальный документ по оценке качества подземных вод. Основное внимание в этом документе будет уделено важному значению подземных вод, угрозам для качества подземных вод, создаваемым природными загрязнителями и деятельностью человека, а также особым проблемам в области мониторинга и оценки качества подземных вод, обусловленным трехмерным характером ресурсов, длительными сроками переноса загрязнителей и общей нехваткой данных. В этом документе группа рассмотрит имеющиеся источники данных, включая полевые наблюдения, наблюдения Земли и модели. Группа готовит предложение по глобальной оценке качества подземных вод и </w:t>
      </w:r>
      <w:r w:rsidR="00D82F04" w:rsidRPr="00D82F04">
        <w:rPr>
          <w:rFonts w:eastAsia="Times New Roman"/>
          <w:szCs w:val="20"/>
          <w:lang w:val="ru-RU"/>
        </w:rPr>
        <w:lastRenderedPageBreak/>
        <w:t>с этой целью составляет кадастр загрязняющих веществ и создает центральный информационный портал.</w:t>
      </w:r>
    </w:p>
    <w:p w14:paraId="53319F28" w14:textId="77777777" w:rsidR="00D82F04" w:rsidRPr="00D82F04" w:rsidRDefault="00D82F04" w:rsidP="00DA250E">
      <w:pPr>
        <w:keepNext/>
        <w:tabs>
          <w:tab w:val="right" w:pos="851"/>
        </w:tabs>
        <w:spacing w:after="120"/>
        <w:ind w:left="1247" w:right="284" w:hanging="1247"/>
        <w:rPr>
          <w:rFonts w:eastAsia="Times New Roman"/>
          <w:b/>
          <w:bCs/>
          <w:szCs w:val="20"/>
          <w:lang w:val="ru-RU"/>
        </w:rPr>
      </w:pPr>
      <w:r w:rsidRPr="00D82F04">
        <w:rPr>
          <w:rFonts w:eastAsia="Times New Roman"/>
          <w:b/>
          <w:bCs/>
          <w:szCs w:val="20"/>
          <w:lang w:val="ru-RU"/>
        </w:rPr>
        <w:tab/>
        <w:t>2.</w:t>
      </w:r>
      <w:r w:rsidRPr="00D82F04">
        <w:rPr>
          <w:rFonts w:eastAsia="Times New Roman"/>
          <w:b/>
          <w:bCs/>
          <w:szCs w:val="20"/>
          <w:lang w:val="ru-RU"/>
        </w:rPr>
        <w:tab/>
        <w:t>Качество воды и здоровье</w:t>
      </w:r>
    </w:p>
    <w:p w14:paraId="31B3B17A" w14:textId="69BF4B9C" w:rsidR="00D82F04" w:rsidRPr="00D82F04" w:rsidRDefault="00DA250E" w:rsidP="00D82F04">
      <w:pPr>
        <w:spacing w:after="120"/>
        <w:ind w:left="1247"/>
        <w:rPr>
          <w:rFonts w:eastAsia="Arial Unicode MS"/>
          <w:szCs w:val="20"/>
          <w:lang w:val="ru-RU"/>
        </w:rPr>
      </w:pPr>
      <w:r>
        <w:rPr>
          <w:rFonts w:eastAsia="Times New Roman"/>
          <w:szCs w:val="20"/>
        </w:rPr>
        <w:t>17.</w:t>
      </w:r>
      <w:r>
        <w:rPr>
          <w:rFonts w:eastAsia="Times New Roman"/>
          <w:szCs w:val="20"/>
        </w:rPr>
        <w:tab/>
      </w:r>
      <w:r w:rsidR="00D82F04" w:rsidRPr="00D82F04">
        <w:rPr>
          <w:rFonts w:eastAsia="Times New Roman"/>
          <w:szCs w:val="20"/>
          <w:lang w:val="ru-RU"/>
        </w:rPr>
        <w:t xml:space="preserve">Сточные воды стали надежным индикатором наличия вируса </w:t>
      </w:r>
      <w:proofErr w:type="spellStart"/>
      <w:r w:rsidR="00D82F04" w:rsidRPr="00D82F04">
        <w:rPr>
          <w:rFonts w:eastAsia="Times New Roman"/>
          <w:szCs w:val="20"/>
          <w:lang w:val="ru-RU"/>
        </w:rPr>
        <w:t>SARS</w:t>
      </w:r>
      <w:proofErr w:type="spellEnd"/>
      <w:r w:rsidR="00D82F04" w:rsidRPr="00D82F04">
        <w:rPr>
          <w:rFonts w:eastAsia="Times New Roman"/>
          <w:szCs w:val="20"/>
          <w:lang w:val="ru-RU"/>
        </w:rPr>
        <w:t>-</w:t>
      </w:r>
      <w:proofErr w:type="spellStart"/>
      <w:r w:rsidR="00D82F04" w:rsidRPr="00D82F04">
        <w:rPr>
          <w:rFonts w:eastAsia="Times New Roman"/>
          <w:szCs w:val="20"/>
          <w:lang w:val="ru-RU"/>
        </w:rPr>
        <w:t>CoV</w:t>
      </w:r>
      <w:proofErr w:type="spellEnd"/>
      <w:r w:rsidR="00D82F04" w:rsidRPr="00D82F04">
        <w:rPr>
          <w:rFonts w:eastAsia="Times New Roman"/>
          <w:szCs w:val="20"/>
          <w:lang w:val="ru-RU"/>
        </w:rPr>
        <w:t xml:space="preserve">-2 у населения, но сами по себе они не являются источником инфекции. Исследовательские группы почти во всех государствах </w:t>
      </w:r>
      <w:r w:rsidR="00FF5031">
        <w:rPr>
          <w:rFonts w:eastAsia="Times New Roman"/>
          <w:szCs w:val="20"/>
        </w:rPr>
        <w:t>–</w:t>
      </w:r>
      <w:r w:rsidR="00D82F04" w:rsidRPr="00D82F04">
        <w:rPr>
          <w:rFonts w:eastAsia="Times New Roman"/>
          <w:szCs w:val="20"/>
          <w:lang w:val="ru-RU"/>
        </w:rPr>
        <w:t xml:space="preserve"> членах Европейского союза и за его пределами все чаще и независимо сообщают о возможности обнаружения фрагментов РНК вируса </w:t>
      </w:r>
      <w:proofErr w:type="spellStart"/>
      <w:r w:rsidR="00D82F04" w:rsidRPr="00D82F04">
        <w:rPr>
          <w:rFonts w:eastAsia="Times New Roman"/>
          <w:szCs w:val="20"/>
          <w:lang w:val="ru-RU"/>
        </w:rPr>
        <w:t>SARS-</w:t>
      </w:r>
      <w:r w:rsidR="00427628">
        <w:rPr>
          <w:rFonts w:eastAsia="Times New Roman"/>
          <w:szCs w:val="20"/>
          <w:lang w:val="ru-RU"/>
        </w:rPr>
        <w:t>С</w:t>
      </w:r>
      <w:r w:rsidR="00427628" w:rsidRPr="00D82F04">
        <w:rPr>
          <w:rFonts w:eastAsia="Times New Roman"/>
          <w:szCs w:val="20"/>
          <w:lang w:val="ru-RU"/>
        </w:rPr>
        <w:t>o</w:t>
      </w:r>
      <w:proofErr w:type="spellEnd"/>
      <w:r w:rsidR="00427628">
        <w:rPr>
          <w:rFonts w:eastAsia="Times New Roman"/>
          <w:szCs w:val="20"/>
        </w:rPr>
        <w:t>V</w:t>
      </w:r>
      <w:r w:rsidR="00D82F04" w:rsidRPr="00D82F04">
        <w:rPr>
          <w:rFonts w:eastAsia="Times New Roman"/>
          <w:szCs w:val="20"/>
          <w:lang w:val="ru-RU"/>
        </w:rPr>
        <w:t xml:space="preserve">-2 в сточных водах. Когда стало понятно, что к созданию «системы дозорного мониторинга» проявляется широкий интерес, под эгидой Всемирного альянса за качество воды было проведено мероприятие в виртуальной городской администрации для определения критериев репрезентативных сценариев использования. Связанные с этим факторы нагрузки включают увеличение водозабора, рост объема пластикового мусора в связи с реагированием на инфекцию </w:t>
      </w:r>
      <w:proofErr w:type="spellStart"/>
      <w:r w:rsidR="00D82F04" w:rsidRPr="00D82F04">
        <w:rPr>
          <w:rFonts w:eastAsia="Times New Roman"/>
          <w:szCs w:val="20"/>
          <w:lang w:val="ru-RU"/>
        </w:rPr>
        <w:t>COVID</w:t>
      </w:r>
      <w:proofErr w:type="spellEnd"/>
      <w:r w:rsidR="00D82F04" w:rsidRPr="00D82F04">
        <w:rPr>
          <w:rFonts w:eastAsia="Times New Roman"/>
          <w:szCs w:val="20"/>
          <w:lang w:val="ru-RU"/>
        </w:rPr>
        <w:t>-19 (маски и перчатки), снижение надежности цепочки поставок важнейших химических веществ для очистки воды и роль систем очистки сточных вод в качестве источников соединений, вызывающих растущую озабоченность (например, в связи с антимикробной резистентностью).</w:t>
      </w:r>
    </w:p>
    <w:p w14:paraId="55AC5708" w14:textId="20637EDA" w:rsidR="00D82F04" w:rsidRPr="00D82F04" w:rsidRDefault="00FF5031" w:rsidP="00D82F04">
      <w:pPr>
        <w:spacing w:after="120"/>
        <w:ind w:left="1247"/>
        <w:rPr>
          <w:rFonts w:eastAsia="Arial Unicode MS"/>
          <w:szCs w:val="20"/>
          <w:lang w:val="ru-RU"/>
        </w:rPr>
      </w:pPr>
      <w:r>
        <w:rPr>
          <w:rFonts w:eastAsia="Times New Roman"/>
          <w:szCs w:val="20"/>
        </w:rPr>
        <w:t>18.</w:t>
      </w:r>
      <w:r>
        <w:rPr>
          <w:rFonts w:eastAsia="Times New Roman"/>
          <w:szCs w:val="20"/>
        </w:rPr>
        <w:tab/>
      </w:r>
      <w:r w:rsidR="00D82F04" w:rsidRPr="00D82F04">
        <w:rPr>
          <w:rFonts w:eastAsia="Times New Roman"/>
          <w:szCs w:val="20"/>
          <w:lang w:val="ru-RU"/>
        </w:rPr>
        <w:t xml:space="preserve">Разрыв в знаниях продолжает увеличиваться, особенно в том, что касается воздействия новых загрязнителей воды, таких как азот и </w:t>
      </w:r>
      <w:proofErr w:type="spellStart"/>
      <w:r w:rsidR="00D82F04" w:rsidRPr="00D82F04">
        <w:rPr>
          <w:rFonts w:eastAsia="Times New Roman"/>
          <w:szCs w:val="20"/>
          <w:lang w:val="ru-RU"/>
        </w:rPr>
        <w:t>микропластик</w:t>
      </w:r>
      <w:proofErr w:type="spellEnd"/>
      <w:r w:rsidR="00D82F04" w:rsidRPr="00D82F04">
        <w:rPr>
          <w:rFonts w:eastAsia="Times New Roman"/>
          <w:szCs w:val="20"/>
          <w:lang w:val="ru-RU"/>
        </w:rPr>
        <w:t xml:space="preserve">, и антимикробной резистентности. Антимикробная резистентность </w:t>
      </w:r>
      <w:r>
        <w:rPr>
          <w:rFonts w:eastAsia="Times New Roman"/>
          <w:szCs w:val="20"/>
        </w:rPr>
        <w:t>–</w:t>
      </w:r>
      <w:r w:rsidR="00D82F04" w:rsidRPr="00D82F04">
        <w:rPr>
          <w:rFonts w:eastAsia="Times New Roman"/>
          <w:szCs w:val="20"/>
          <w:lang w:val="ru-RU"/>
        </w:rPr>
        <w:t xml:space="preserve"> это быстро растущая угроза, обусловленная чрезмерным использованием антибиотиков и их косвенным поступлением в организм, например с водой. В 2015 году было потреблено 34,8 млрд условных суточных доз антибиотиков, причем от 30 до 90 процентов через экскрецию поступили в окружающую среду в качестве активных веществ. Ежегодно около 700 000 человек умирают от лекарственно устойчивых инфекций, что в семь раз превышает смертность от холеры. Если не будут приняты меры, то к 2050 году это число может достичь 10 миллионов и привести к экономическим потерям в размере до 100 триллионов долл. США. Исходя из этого, Всемирный экономический форум в сотрудничестве со Швейцарским агентством по сотрудничеству и развитию подготовил доклад о воздействии антимикробной устойчивости, распространяющейся по водным путям. В докладе</w:t>
      </w:r>
      <w:r w:rsidR="007B25FD">
        <w:rPr>
          <w:rFonts w:eastAsia="Times New Roman"/>
          <w:szCs w:val="20"/>
          <w:lang w:val="ru-RU"/>
        </w:rPr>
        <w:t>:</w:t>
      </w:r>
      <w:r w:rsidR="00D82F04" w:rsidRPr="00D82F04">
        <w:rPr>
          <w:rFonts w:eastAsia="Times New Roman"/>
          <w:szCs w:val="20"/>
          <w:lang w:val="ru-RU"/>
        </w:rPr>
        <w:t xml:space="preserve"> рассматриваются социальные, экологические и финансовые риски, которые антимикробная резистентность создает для хозяйствующих субъектов и общества в целом, включая последствия эпидемического сценария, учитывающего фактор устойчивости к противомикробным препаратам; в общих чертах описываются потенциальные возможности для принятия мер по смягчению таких рисков; подчеркивается важность расширения обменов и сотрудничества между государственными и частными структурами, включая научно</w:t>
      </w:r>
      <w:r w:rsidR="007B25FD">
        <w:rPr>
          <w:rFonts w:eastAsia="Times New Roman"/>
          <w:szCs w:val="20"/>
          <w:lang w:val="ru-RU"/>
        </w:rPr>
        <w:noBreakHyphen/>
      </w:r>
      <w:r w:rsidR="00D82F04" w:rsidRPr="00D82F04">
        <w:rPr>
          <w:rFonts w:eastAsia="Times New Roman"/>
          <w:szCs w:val="20"/>
          <w:lang w:val="ru-RU"/>
        </w:rPr>
        <w:t xml:space="preserve">исследовательские учреждения. Доклад основывается на последних научных данных и опыте, накопленном в рамках существующих инициатив. Его цель </w:t>
      </w:r>
      <w:r w:rsidR="007B25FD">
        <w:rPr>
          <w:rFonts w:eastAsia="Times New Roman"/>
          <w:szCs w:val="20"/>
          <w:lang w:val="ru-RU"/>
        </w:rPr>
        <w:t>–</w:t>
      </w:r>
      <w:r w:rsidR="00D82F04" w:rsidRPr="00D82F04">
        <w:rPr>
          <w:rFonts w:eastAsia="Times New Roman"/>
          <w:szCs w:val="20"/>
          <w:lang w:val="ru-RU"/>
        </w:rPr>
        <w:t xml:space="preserve"> внести вклад в текущую работу Альянса по повышению информированности и выявлению основных пробелов и возможностей для дальнейших исследований.</w:t>
      </w:r>
    </w:p>
    <w:p w14:paraId="4F93B335" w14:textId="13092A44" w:rsidR="00D82F04" w:rsidRPr="00D82F04" w:rsidRDefault="00FF5031" w:rsidP="00D82F04">
      <w:pPr>
        <w:spacing w:after="120"/>
        <w:ind w:left="1247"/>
        <w:rPr>
          <w:rFonts w:eastAsia="Times New Roman"/>
          <w:szCs w:val="20"/>
          <w:lang w:val="ru-RU"/>
        </w:rPr>
      </w:pPr>
      <w:r>
        <w:rPr>
          <w:rFonts w:eastAsia="Times New Roman"/>
          <w:szCs w:val="20"/>
        </w:rPr>
        <w:t>19.</w:t>
      </w:r>
      <w:r>
        <w:rPr>
          <w:rFonts w:eastAsia="Times New Roman"/>
          <w:szCs w:val="20"/>
        </w:rPr>
        <w:tab/>
      </w:r>
      <w:r w:rsidR="00D82F04" w:rsidRPr="00D82F04">
        <w:rPr>
          <w:rFonts w:eastAsia="Times New Roman"/>
          <w:szCs w:val="20"/>
          <w:lang w:val="ru-RU"/>
        </w:rPr>
        <w:t>В рамках проекта «Знания в практику», связывающего проблему обеспечения качества воды со здоровьем, финансируемого Фондом Билла и Мелинды Гейтс, международная исследовательская группа разработала модельно-ориентированный инструмент для изучения потоков патогенных микроорганизмов и их картирования</w:t>
      </w:r>
      <w:r w:rsidR="00D82F04" w:rsidRPr="00D82F04">
        <w:rPr>
          <w:rFonts w:eastAsia="Times New Roman"/>
          <w:szCs w:val="20"/>
          <w:vertAlign w:val="superscript"/>
          <w:lang w:val="ru-RU"/>
        </w:rPr>
        <w:footnoteReference w:id="11"/>
      </w:r>
      <w:r w:rsidR="00D82F04" w:rsidRPr="00D82F04">
        <w:rPr>
          <w:rFonts w:eastAsia="Times New Roman"/>
          <w:szCs w:val="20"/>
          <w:lang w:val="ru-RU"/>
        </w:rPr>
        <w:t>. Этот инструмент вскоре будет доступен на платформе «Состояние окружающей среды в мире» (</w:t>
      </w:r>
      <w:proofErr w:type="spellStart"/>
      <w:r w:rsidR="00D82F04" w:rsidRPr="00D82F04">
        <w:rPr>
          <w:rFonts w:eastAsia="Times New Roman"/>
          <w:szCs w:val="20"/>
          <w:lang w:val="ru-RU"/>
        </w:rPr>
        <w:t>World</w:t>
      </w:r>
      <w:proofErr w:type="spellEnd"/>
      <w:r w:rsidR="00D82F04" w:rsidRPr="00D82F04">
        <w:rPr>
          <w:rFonts w:eastAsia="Times New Roman"/>
          <w:szCs w:val="20"/>
          <w:lang w:val="ru-RU"/>
        </w:rPr>
        <w:t xml:space="preserve"> </w:t>
      </w:r>
      <w:proofErr w:type="spellStart"/>
      <w:r w:rsidR="00D82F04" w:rsidRPr="00D82F04">
        <w:rPr>
          <w:rFonts w:eastAsia="Times New Roman"/>
          <w:szCs w:val="20"/>
          <w:lang w:val="ru-RU"/>
        </w:rPr>
        <w:t>Environment</w:t>
      </w:r>
      <w:proofErr w:type="spellEnd"/>
      <w:r w:rsidR="00D82F04" w:rsidRPr="00D82F04">
        <w:rPr>
          <w:rFonts w:eastAsia="Times New Roman"/>
          <w:szCs w:val="20"/>
          <w:lang w:val="ru-RU"/>
        </w:rPr>
        <w:t xml:space="preserve"> </w:t>
      </w:r>
      <w:proofErr w:type="spellStart"/>
      <w:r w:rsidR="00D82F04" w:rsidRPr="00D82F04">
        <w:rPr>
          <w:rFonts w:eastAsia="Times New Roman"/>
          <w:szCs w:val="20"/>
          <w:lang w:val="ru-RU"/>
        </w:rPr>
        <w:t>Situation</w:t>
      </w:r>
      <w:proofErr w:type="spellEnd"/>
      <w:r w:rsidR="00D82F04" w:rsidRPr="00D82F04">
        <w:rPr>
          <w:rFonts w:eastAsia="Times New Roman"/>
          <w:szCs w:val="20"/>
          <w:lang w:val="ru-RU"/>
        </w:rPr>
        <w:t xml:space="preserve"> </w:t>
      </w:r>
      <w:proofErr w:type="spellStart"/>
      <w:r w:rsidR="00D82F04" w:rsidRPr="00D82F04">
        <w:rPr>
          <w:rFonts w:eastAsia="Times New Roman"/>
          <w:szCs w:val="20"/>
          <w:lang w:val="ru-RU"/>
        </w:rPr>
        <w:t>Room</w:t>
      </w:r>
      <w:proofErr w:type="spellEnd"/>
      <w:r w:rsidR="00D82F04" w:rsidRPr="00D82F04">
        <w:rPr>
          <w:rFonts w:eastAsia="Times New Roman"/>
          <w:szCs w:val="20"/>
          <w:lang w:val="ru-RU"/>
        </w:rPr>
        <w:t>), позволяющей картировать выбросы патогенов из канализационных систем в поверхностные воды. Кроме того, рассматривается потенциальное воздействие изменений в приросте населения, доступе к улучшенным санитарно-техническим средствам, а также увеличении объемов транспортировки и очистки сточных вод и фекального ила. Модель распределения и картирования патогенных потоков основана на огромном массиве имеющихся данных, в частности, о народонаселении и санитарии (полученных в рамках Совместной программы по мониторингу водоснабжения, санитарии и гигиены Всемирной организации здравоохранения и Детского фонда Организации Объединенных Наций (ЮНИСЕФ)), а также о распространенности болезней. Пользователи могут применять стандартные глобальные данные для моделирования выбросов патогенных веществ в своем районе или разрабатывать собственные базовые и будущие сценарии. Карты позволяют получить представление о районах с очагами выбросов, а также проводить сравнение сценариев.</w:t>
      </w:r>
    </w:p>
    <w:p w14:paraId="704EE845" w14:textId="23E63F6C" w:rsidR="00D82F04" w:rsidRPr="00D82F04" w:rsidRDefault="00D82F04" w:rsidP="003D6EB7">
      <w:pPr>
        <w:tabs>
          <w:tab w:val="right" w:pos="851"/>
        </w:tabs>
        <w:spacing w:after="120"/>
        <w:ind w:left="1247" w:right="284" w:hanging="1247"/>
        <w:rPr>
          <w:rFonts w:eastAsia="Times New Roman"/>
          <w:b/>
          <w:bCs/>
          <w:szCs w:val="20"/>
          <w:lang w:val="ru-RU"/>
        </w:rPr>
      </w:pPr>
      <w:r w:rsidRPr="00D82F04">
        <w:rPr>
          <w:rFonts w:eastAsia="Times New Roman"/>
          <w:b/>
          <w:bCs/>
          <w:szCs w:val="20"/>
          <w:lang w:val="ru-RU"/>
        </w:rPr>
        <w:tab/>
        <w:t>3</w:t>
      </w:r>
      <w:r w:rsidR="00536A18">
        <w:rPr>
          <w:rFonts w:eastAsia="Times New Roman"/>
          <w:b/>
          <w:bCs/>
          <w:szCs w:val="20"/>
        </w:rPr>
        <w:t>.</w:t>
      </w:r>
      <w:r w:rsidRPr="00D82F04">
        <w:rPr>
          <w:rFonts w:eastAsia="Times New Roman"/>
          <w:b/>
          <w:bCs/>
          <w:szCs w:val="20"/>
          <w:lang w:val="ru-RU"/>
        </w:rPr>
        <w:tab/>
        <w:t xml:space="preserve">Экосистемы и пластмассы </w:t>
      </w:r>
    </w:p>
    <w:p w14:paraId="1E318E1D" w14:textId="02E83F96" w:rsidR="00D82F04" w:rsidRPr="00D82F04" w:rsidRDefault="005D50F6" w:rsidP="00D82F04">
      <w:pPr>
        <w:spacing w:after="120"/>
        <w:ind w:left="1247"/>
        <w:rPr>
          <w:rFonts w:eastAsia="Times New Roman"/>
          <w:szCs w:val="20"/>
          <w:lang w:val="ru-RU"/>
        </w:rPr>
      </w:pPr>
      <w:r>
        <w:rPr>
          <w:rFonts w:eastAsia="Times New Roman"/>
          <w:szCs w:val="20"/>
        </w:rPr>
        <w:t>20.</w:t>
      </w:r>
      <w:r>
        <w:rPr>
          <w:rFonts w:eastAsia="Times New Roman"/>
          <w:szCs w:val="20"/>
        </w:rPr>
        <w:tab/>
      </w:r>
      <w:r w:rsidR="00D82F04" w:rsidRPr="00D82F04">
        <w:rPr>
          <w:rFonts w:eastAsia="Times New Roman"/>
          <w:szCs w:val="20"/>
          <w:lang w:val="ru-RU"/>
        </w:rPr>
        <w:t xml:space="preserve">Экспертная группа, состоящая из членов Альянса, сформировала целевую группу по экосистемам и подготовила концептуальную записку, а также способствовала повышению </w:t>
      </w:r>
      <w:r w:rsidR="00D82F04" w:rsidRPr="00D82F04">
        <w:rPr>
          <w:rFonts w:eastAsia="Times New Roman"/>
          <w:szCs w:val="20"/>
          <w:lang w:val="ru-RU"/>
        </w:rPr>
        <w:lastRenderedPageBreak/>
        <w:t xml:space="preserve">информированности о качестве воды в контексте восстановления экосистем. В целях укрепления сотрудничества были проведены мероприятия по созданию сетей; в число участвующих организаций вошли Африканский центр исследований и образования в области водных ресурсов, Международный институт устойчивого развития, Африканский центр передового опыта в области аквакультуры и рыболовства, </w:t>
      </w:r>
      <w:proofErr w:type="spellStart"/>
      <w:r w:rsidR="00D82F04" w:rsidRPr="00D82F04">
        <w:rPr>
          <w:rFonts w:eastAsia="Times New Roman"/>
          <w:szCs w:val="20"/>
          <w:lang w:val="ru-RU"/>
        </w:rPr>
        <w:t>Лилонгвийский</w:t>
      </w:r>
      <w:proofErr w:type="spellEnd"/>
      <w:r w:rsidR="00D82F04" w:rsidRPr="00D82F04">
        <w:rPr>
          <w:rFonts w:eastAsia="Times New Roman"/>
          <w:szCs w:val="20"/>
          <w:lang w:val="ru-RU"/>
        </w:rPr>
        <w:t xml:space="preserve"> университет сельского хозяйства и природных ресурсов, Научно-исследовательский центр лимнологии в Индонезии, министерство охраны окружающей среды Чили и Кенийский научно</w:t>
      </w:r>
      <w:r>
        <w:rPr>
          <w:rFonts w:eastAsia="Times New Roman"/>
          <w:szCs w:val="20"/>
          <w:lang w:val="ru-RU"/>
        </w:rPr>
        <w:noBreakHyphen/>
      </w:r>
      <w:r w:rsidR="00D82F04" w:rsidRPr="00D82F04">
        <w:rPr>
          <w:rFonts w:eastAsia="Times New Roman"/>
          <w:szCs w:val="20"/>
          <w:lang w:val="ru-RU"/>
        </w:rPr>
        <w:t>исследовательский институт морской среды и рыбного хозяйства. Также были проведены онлайновые курсы по восстановлению экосистем. Работа группы тесно связана с применяемыми Альянсом сценариями использования, и в 2021 году группа подготовит «белую книгу», призывающую к скоординированным действиям по восстановлению экосистем, что особенно актуально в контексте предстоящего Десятилетия Организации Объединенных Наций по восстановлению экосистем.</w:t>
      </w:r>
    </w:p>
    <w:p w14:paraId="6E25A980" w14:textId="4C7E6D38" w:rsidR="00D82F04" w:rsidRPr="00D82F04" w:rsidRDefault="005D50F6" w:rsidP="005D50F6">
      <w:pPr>
        <w:spacing w:after="240"/>
        <w:ind w:left="1247"/>
        <w:rPr>
          <w:rFonts w:eastAsia="Times New Roman"/>
          <w:szCs w:val="20"/>
          <w:lang w:val="ru-RU"/>
        </w:rPr>
      </w:pPr>
      <w:r>
        <w:rPr>
          <w:rFonts w:eastAsia="Times New Roman"/>
          <w:szCs w:val="20"/>
        </w:rPr>
        <w:t>21.</w:t>
      </w:r>
      <w:r>
        <w:rPr>
          <w:rFonts w:eastAsia="Times New Roman"/>
          <w:szCs w:val="20"/>
        </w:rPr>
        <w:tab/>
      </w:r>
      <w:r w:rsidR="00D82F04" w:rsidRPr="00D82F04">
        <w:rPr>
          <w:rFonts w:eastAsia="Times New Roman"/>
          <w:szCs w:val="20"/>
          <w:lang w:val="ru-RU"/>
        </w:rPr>
        <w:t xml:space="preserve">В рамках Альянса </w:t>
      </w:r>
      <w:proofErr w:type="spellStart"/>
      <w:r w:rsidR="00D82F04" w:rsidRPr="00D82F04">
        <w:rPr>
          <w:rFonts w:eastAsia="Times New Roman"/>
          <w:szCs w:val="20"/>
          <w:lang w:val="ru-RU"/>
        </w:rPr>
        <w:t>ЮНЕП</w:t>
      </w:r>
      <w:proofErr w:type="spellEnd"/>
      <w:r w:rsidR="00D82F04" w:rsidRPr="00D82F04">
        <w:rPr>
          <w:rFonts w:eastAsia="Times New Roman"/>
          <w:szCs w:val="20"/>
          <w:lang w:val="ru-RU"/>
        </w:rPr>
        <w:t xml:space="preserve"> завершает работу над публикацией, содержащей руководящие принципы согласования методологий мониторинга пластмасс в реках и озерах, с целью выработки рекомендаций по согласованному мониторингу и отчетности, а также оказания поддержки в разработке и осуществлении программ мониторинга пластмассового мусора в пресноводных системах.</w:t>
      </w:r>
      <w:bookmarkStart w:id="4" w:name="_Hlk45730531"/>
    </w:p>
    <w:bookmarkEnd w:id="4"/>
    <w:p w14:paraId="35E491D4" w14:textId="77777777" w:rsidR="00D82F04" w:rsidRPr="00D82F04" w:rsidRDefault="00D82F04" w:rsidP="003D6EB7">
      <w:pPr>
        <w:tabs>
          <w:tab w:val="right" w:pos="851"/>
        </w:tabs>
        <w:spacing w:after="120"/>
        <w:ind w:left="1247" w:right="284" w:hanging="1247"/>
        <w:rPr>
          <w:rFonts w:eastAsia="Times New Roman"/>
          <w:b/>
          <w:bCs/>
          <w:sz w:val="28"/>
          <w:szCs w:val="28"/>
          <w:lang w:val="ru-RU"/>
        </w:rPr>
      </w:pPr>
      <w:r w:rsidRPr="00D82F04">
        <w:rPr>
          <w:rFonts w:eastAsia="Times New Roman"/>
          <w:b/>
          <w:bCs/>
          <w:sz w:val="28"/>
          <w:szCs w:val="28"/>
          <w:lang w:val="ru-RU"/>
        </w:rPr>
        <w:tab/>
        <w:t>II.</w:t>
      </w:r>
      <w:r w:rsidRPr="00D82F04">
        <w:rPr>
          <w:rFonts w:eastAsia="Times New Roman"/>
          <w:b/>
          <w:bCs/>
          <w:sz w:val="28"/>
          <w:szCs w:val="28"/>
          <w:lang w:val="ru-RU"/>
        </w:rPr>
        <w:tab/>
        <w:t>Накопленный опыт</w:t>
      </w:r>
    </w:p>
    <w:p w14:paraId="1CBB5573" w14:textId="3B926762" w:rsidR="00D82F04" w:rsidRPr="00D82F04" w:rsidRDefault="005D50F6" w:rsidP="00D82F04">
      <w:pPr>
        <w:spacing w:after="120"/>
        <w:ind w:left="1247"/>
        <w:rPr>
          <w:rFonts w:eastAsia="Times New Roman"/>
          <w:szCs w:val="20"/>
          <w:lang w:val="ru-RU"/>
        </w:rPr>
      </w:pPr>
      <w:r>
        <w:rPr>
          <w:rFonts w:eastAsia="Times New Roman"/>
          <w:szCs w:val="20"/>
        </w:rPr>
        <w:t>22.</w:t>
      </w:r>
      <w:r>
        <w:rPr>
          <w:rFonts w:eastAsia="Times New Roman"/>
          <w:szCs w:val="20"/>
        </w:rPr>
        <w:tab/>
      </w:r>
      <w:r w:rsidR="00D82F04" w:rsidRPr="00D82F04">
        <w:rPr>
          <w:rFonts w:eastAsia="Times New Roman"/>
          <w:szCs w:val="20"/>
          <w:lang w:val="ru-RU"/>
        </w:rPr>
        <w:t xml:space="preserve">Для преодоления глобального кризиса в области качества воды и уделения особого внимания взаимосвязи между водными ресурсами, окружающей средой и охраной здоровья в соответствии с резолюцией 3/10 и комплексным и широким мандатом, предоставленным в ней </w:t>
      </w:r>
      <w:proofErr w:type="spellStart"/>
      <w:r w:rsidR="00D82F04" w:rsidRPr="00D82F04">
        <w:rPr>
          <w:rFonts w:eastAsia="Times New Roman"/>
          <w:szCs w:val="20"/>
          <w:lang w:val="ru-RU"/>
        </w:rPr>
        <w:t>ЮНЕП</w:t>
      </w:r>
      <w:proofErr w:type="spellEnd"/>
      <w:r w:rsidR="00D82F04" w:rsidRPr="00D82F04">
        <w:rPr>
          <w:rFonts w:eastAsia="Times New Roman"/>
          <w:szCs w:val="20"/>
          <w:lang w:val="ru-RU"/>
        </w:rPr>
        <w:t>, требуется междисциплинарное партнерство. Всемирный альянс за качество воды создал условия для такого партнерства путем выявления и отбора высококвалифицированных экспертов в системе Организации Объединенных Наций (например, среди членов механизма «ООН</w:t>
      </w:r>
      <w:r w:rsidR="003C3631">
        <w:rPr>
          <w:rFonts w:eastAsia="Times New Roman"/>
          <w:szCs w:val="20"/>
        </w:rPr>
        <w:t>-</w:t>
      </w:r>
      <w:r w:rsidRPr="00D82F04">
        <w:rPr>
          <w:rFonts w:eastAsia="Times New Roman"/>
          <w:szCs w:val="20"/>
          <w:lang w:val="ru-RU"/>
        </w:rPr>
        <w:t xml:space="preserve">Водные </w:t>
      </w:r>
      <w:r w:rsidR="00D82F04" w:rsidRPr="00D82F04">
        <w:rPr>
          <w:rFonts w:eastAsia="Times New Roman"/>
          <w:szCs w:val="20"/>
          <w:lang w:val="ru-RU"/>
        </w:rPr>
        <w:t xml:space="preserve">ресурсы») и в других организациях (например, среди членов научного сообщества и других основных групп заинтересованных сторон). Ключевым стимулом для партнеров к взаимодействию и коллективным действиям для достижения общих целей является мобилизующий потенциал </w:t>
      </w:r>
      <w:proofErr w:type="spellStart"/>
      <w:r w:rsidR="00D82F04" w:rsidRPr="00D82F04">
        <w:rPr>
          <w:rFonts w:eastAsia="Times New Roman"/>
          <w:szCs w:val="20"/>
          <w:lang w:val="ru-RU"/>
        </w:rPr>
        <w:t>ЮНЕП</w:t>
      </w:r>
      <w:proofErr w:type="spellEnd"/>
      <w:r w:rsidR="00D82F04" w:rsidRPr="00D82F04">
        <w:rPr>
          <w:rFonts w:eastAsia="Times New Roman"/>
          <w:szCs w:val="20"/>
          <w:lang w:val="ru-RU"/>
        </w:rPr>
        <w:t xml:space="preserve"> и ее роль как успешного связующего звена глобальных научных и заинтересованных сообществ. Поэтому в рамках механизма «ООН</w:t>
      </w:r>
      <w:r w:rsidR="003C3631">
        <w:rPr>
          <w:rFonts w:eastAsia="Times New Roman"/>
          <w:szCs w:val="20"/>
        </w:rPr>
        <w:t>-</w:t>
      </w:r>
      <w:r w:rsidRPr="00D82F04">
        <w:rPr>
          <w:rFonts w:eastAsia="Times New Roman"/>
          <w:szCs w:val="20"/>
          <w:lang w:val="ru-RU"/>
        </w:rPr>
        <w:t xml:space="preserve">Водные </w:t>
      </w:r>
      <w:r w:rsidR="00D82F04" w:rsidRPr="00D82F04">
        <w:rPr>
          <w:rFonts w:eastAsia="Times New Roman"/>
          <w:szCs w:val="20"/>
          <w:lang w:val="ru-RU"/>
        </w:rPr>
        <w:t>ресурсы» получила признание роль Альянса в связи с началом осуществления глобальной рамочной программы ускорения реализации цели 6 в области устойчивого развития.</w:t>
      </w:r>
    </w:p>
    <w:p w14:paraId="59C9D1AD" w14:textId="43D2110E" w:rsidR="00D82F04" w:rsidRPr="00D82F04" w:rsidRDefault="005D50F6" w:rsidP="00D82F04">
      <w:pPr>
        <w:spacing w:after="120"/>
        <w:ind w:left="1247"/>
        <w:rPr>
          <w:rFonts w:eastAsia="Times New Roman"/>
          <w:szCs w:val="20"/>
          <w:lang w:val="ru-RU"/>
        </w:rPr>
      </w:pPr>
      <w:r>
        <w:rPr>
          <w:rFonts w:eastAsia="Times New Roman"/>
          <w:szCs w:val="20"/>
        </w:rPr>
        <w:t>23.</w:t>
      </w:r>
      <w:r>
        <w:rPr>
          <w:rFonts w:eastAsia="Times New Roman"/>
          <w:szCs w:val="20"/>
        </w:rPr>
        <w:tab/>
      </w:r>
      <w:r w:rsidR="00D82F04" w:rsidRPr="00D82F04">
        <w:rPr>
          <w:rFonts w:eastAsia="Times New Roman"/>
          <w:szCs w:val="20"/>
          <w:lang w:val="ru-RU"/>
        </w:rPr>
        <w:t>Портфель работ, подготовленный Альянсом за период немногим более одного года, и инновационные и демонстрационные результаты оценки качества мировых водных ресурсов имеют важное значение и являются полезными для реализации механизма научно</w:t>
      </w:r>
      <w:r>
        <w:rPr>
          <w:rFonts w:eastAsia="Times New Roman"/>
          <w:szCs w:val="20"/>
          <w:lang w:val="ru-RU"/>
        </w:rPr>
        <w:noBreakHyphen/>
      </w:r>
      <w:r w:rsidR="00D82F04" w:rsidRPr="00D82F04">
        <w:rPr>
          <w:rFonts w:eastAsia="Times New Roman"/>
          <w:szCs w:val="20"/>
          <w:lang w:val="ru-RU"/>
        </w:rPr>
        <w:t xml:space="preserve">политического взаимодействия в рамках процесса прогнозирования </w:t>
      </w:r>
      <w:proofErr w:type="spellStart"/>
      <w:r w:rsidR="00D82F04" w:rsidRPr="00D82F04">
        <w:rPr>
          <w:rFonts w:eastAsia="Times New Roman"/>
          <w:szCs w:val="20"/>
          <w:lang w:val="ru-RU"/>
        </w:rPr>
        <w:t>ЮНЕП</w:t>
      </w:r>
      <w:proofErr w:type="spellEnd"/>
      <w:r w:rsidR="00D82F04" w:rsidRPr="00D82F04">
        <w:rPr>
          <w:rFonts w:eastAsia="Times New Roman"/>
          <w:szCs w:val="20"/>
          <w:lang w:val="ru-RU"/>
        </w:rPr>
        <w:t xml:space="preserve"> (</w:t>
      </w:r>
      <w:proofErr w:type="spellStart"/>
      <w:r w:rsidR="00D82F04" w:rsidRPr="00D82F04">
        <w:rPr>
          <w:rFonts w:eastAsia="Times New Roman"/>
          <w:szCs w:val="20"/>
          <w:lang w:val="ru-RU"/>
        </w:rPr>
        <w:t>Foresight</w:t>
      </w:r>
      <w:proofErr w:type="spellEnd"/>
      <w:r w:rsidR="00D82F04" w:rsidRPr="00D82F04">
        <w:rPr>
          <w:rFonts w:eastAsia="Times New Roman"/>
          <w:szCs w:val="20"/>
          <w:lang w:val="ru-RU"/>
        </w:rPr>
        <w:t>)</w:t>
      </w:r>
      <w:r w:rsidR="00D82F04" w:rsidRPr="00D82F04">
        <w:rPr>
          <w:rFonts w:eastAsia="Arial Unicode MS"/>
          <w:szCs w:val="20"/>
          <w:vertAlign w:val="superscript"/>
          <w:lang w:val="ru-RU"/>
        </w:rPr>
        <w:footnoteReference w:id="12"/>
      </w:r>
      <w:r w:rsidR="00D82F04" w:rsidRPr="00D82F04">
        <w:rPr>
          <w:rFonts w:eastAsia="Times New Roman"/>
          <w:szCs w:val="20"/>
          <w:lang w:val="ru-RU"/>
        </w:rPr>
        <w:t xml:space="preserve"> и платформы «Состояние окружающей среды в мире» (</w:t>
      </w:r>
      <w:proofErr w:type="spellStart"/>
      <w:r w:rsidR="00D82F04" w:rsidRPr="00D82F04">
        <w:rPr>
          <w:rFonts w:eastAsia="Times New Roman"/>
          <w:szCs w:val="20"/>
          <w:lang w:val="ru-RU"/>
        </w:rPr>
        <w:t>World</w:t>
      </w:r>
      <w:proofErr w:type="spellEnd"/>
      <w:r w:rsidR="00D82F04" w:rsidRPr="00D82F04">
        <w:rPr>
          <w:rFonts w:eastAsia="Times New Roman"/>
          <w:szCs w:val="20"/>
          <w:lang w:val="ru-RU"/>
        </w:rPr>
        <w:t xml:space="preserve"> </w:t>
      </w:r>
      <w:proofErr w:type="spellStart"/>
      <w:r w:rsidR="00D82F04" w:rsidRPr="00D82F04">
        <w:rPr>
          <w:rFonts w:eastAsia="Times New Roman"/>
          <w:szCs w:val="20"/>
          <w:lang w:val="ru-RU"/>
        </w:rPr>
        <w:t>Environment</w:t>
      </w:r>
      <w:proofErr w:type="spellEnd"/>
      <w:r w:rsidR="00D82F04" w:rsidRPr="00D82F04">
        <w:rPr>
          <w:rFonts w:eastAsia="Times New Roman"/>
          <w:szCs w:val="20"/>
          <w:lang w:val="ru-RU"/>
        </w:rPr>
        <w:t xml:space="preserve"> </w:t>
      </w:r>
      <w:proofErr w:type="spellStart"/>
      <w:r w:rsidR="00D82F04" w:rsidRPr="00D82F04">
        <w:rPr>
          <w:rFonts w:eastAsia="Times New Roman"/>
          <w:szCs w:val="20"/>
          <w:lang w:val="ru-RU"/>
        </w:rPr>
        <w:t>Situation</w:t>
      </w:r>
      <w:proofErr w:type="spellEnd"/>
      <w:r w:rsidR="00D82F04" w:rsidRPr="00D82F04">
        <w:rPr>
          <w:rFonts w:eastAsia="Times New Roman"/>
          <w:szCs w:val="20"/>
          <w:lang w:val="ru-RU"/>
        </w:rPr>
        <w:t xml:space="preserve"> </w:t>
      </w:r>
      <w:proofErr w:type="spellStart"/>
      <w:r w:rsidR="00D82F04" w:rsidRPr="00D82F04">
        <w:rPr>
          <w:rFonts w:eastAsia="Times New Roman"/>
          <w:szCs w:val="20"/>
          <w:lang w:val="ru-RU"/>
        </w:rPr>
        <w:t>Room</w:t>
      </w:r>
      <w:proofErr w:type="spellEnd"/>
      <w:r w:rsidR="00D82F04" w:rsidRPr="00D82F04">
        <w:rPr>
          <w:rFonts w:eastAsia="Times New Roman"/>
          <w:szCs w:val="20"/>
          <w:lang w:val="ru-RU"/>
        </w:rPr>
        <w:t>).</w:t>
      </w:r>
    </w:p>
    <w:p w14:paraId="2E7DBCD4" w14:textId="117E0E09" w:rsidR="00D82F04" w:rsidRPr="00D82F04" w:rsidDel="008E06A8" w:rsidRDefault="005D50F6" w:rsidP="00D82F04">
      <w:pPr>
        <w:spacing w:after="120"/>
        <w:ind w:left="1247"/>
        <w:rPr>
          <w:rFonts w:eastAsia="Times New Roman"/>
          <w:szCs w:val="20"/>
          <w:lang w:val="ru-RU"/>
        </w:rPr>
      </w:pPr>
      <w:r>
        <w:rPr>
          <w:rFonts w:eastAsia="Times New Roman"/>
          <w:szCs w:val="20"/>
        </w:rPr>
        <w:t>24.</w:t>
      </w:r>
      <w:r>
        <w:rPr>
          <w:rFonts w:eastAsia="Times New Roman"/>
          <w:szCs w:val="20"/>
        </w:rPr>
        <w:tab/>
      </w:r>
      <w:r w:rsidR="00D82F04" w:rsidRPr="00D82F04">
        <w:rPr>
          <w:rFonts w:eastAsia="Times New Roman"/>
          <w:szCs w:val="20"/>
          <w:lang w:val="ru-RU"/>
        </w:rPr>
        <w:t xml:space="preserve">Для обеспечения надлежащего выполнения работы, предусмотренной мандатом, который был закреплен Ассамблеей по окружающей среде, требуются дополнительные ресурсы. Всемирный альянс за качество воды, применяя подход, основанный в принципе на добровольных обязательствах, наряду с этим пользуется авторитетом, позволяющим ему получать поддержку в денежной и натуральной форме от многочисленных партнеров. Это включает обязательство членов рабочей группы вносить свой вклад в глобальную оценку. Многолетняя поддержка со стороны правительства Швейцарии сыграла основополагающую роль в обеспечении функционирования Альянса и внедрении инноваций, связанных с обеспечением качества воды, в целях решения ключевых социально-экологических проблем. </w:t>
      </w:r>
    </w:p>
    <w:p w14:paraId="28C1E8D5" w14:textId="62ABED3A" w:rsidR="00D82F04" w:rsidRPr="00D82F04" w:rsidRDefault="005D50F6" w:rsidP="00D82F04">
      <w:pPr>
        <w:spacing w:after="120"/>
        <w:ind w:left="1247"/>
        <w:rPr>
          <w:rFonts w:eastAsia="Times New Roman"/>
          <w:szCs w:val="20"/>
          <w:lang w:val="ru-RU"/>
        </w:rPr>
      </w:pPr>
      <w:r>
        <w:rPr>
          <w:rFonts w:eastAsia="Times New Roman"/>
          <w:szCs w:val="20"/>
        </w:rPr>
        <w:t>25.</w:t>
      </w:r>
      <w:r>
        <w:rPr>
          <w:rFonts w:eastAsia="Times New Roman"/>
          <w:szCs w:val="20"/>
        </w:rPr>
        <w:tab/>
      </w:r>
      <w:r w:rsidR="00D82F04" w:rsidRPr="00D82F04">
        <w:rPr>
          <w:rFonts w:eastAsia="Times New Roman"/>
          <w:szCs w:val="20"/>
          <w:lang w:val="ru-RU"/>
        </w:rPr>
        <w:t>Цель заключается в том, чтобы оценка качества воды в мире проводилась в двух масштабах: a) в глобальном масштабе для обеспечения согласованного контекста применительно к характеристикам качества воды и для выявления водных объектов, подверженных риску;</w:t>
      </w:r>
      <w:r w:rsidR="00CE7C17">
        <w:rPr>
          <w:rFonts w:eastAsia="Times New Roman"/>
          <w:szCs w:val="20"/>
          <w:lang w:val="ru-RU"/>
        </w:rPr>
        <w:t xml:space="preserve"> и</w:t>
      </w:r>
      <w:r w:rsidR="00D82F04" w:rsidRPr="00D82F04">
        <w:rPr>
          <w:rFonts w:eastAsia="Times New Roman"/>
          <w:szCs w:val="20"/>
          <w:lang w:val="ru-RU"/>
        </w:rPr>
        <w:t xml:space="preserve"> b) в масштабе «водоем-речной бассейн» с привлечением заинтересованных сторон для выявления и удовлетворения их информационных и оперативных потребностей и содействия, таким образом, осуществлению Повестки дня на период до 2030</w:t>
      </w:r>
      <w:r>
        <w:rPr>
          <w:rFonts w:eastAsia="Times New Roman"/>
          <w:szCs w:val="20"/>
        </w:rPr>
        <w:t> </w:t>
      </w:r>
      <w:r w:rsidR="00D82F04" w:rsidRPr="00D82F04">
        <w:rPr>
          <w:rFonts w:eastAsia="Times New Roman"/>
          <w:szCs w:val="20"/>
          <w:lang w:val="ru-RU"/>
        </w:rPr>
        <w:t xml:space="preserve">года на местах (подход, основанный на сценариях использования). Весьма ценной была первоначальная поддержка этого экспериментального подхода, оказанная правительством Швейцарии, в частности, в том, что касается пробного соединения фактологической оценки «горячих точек» в обеспечении качества воды (с использованием имеющейся информации) с </w:t>
      </w:r>
      <w:r w:rsidR="00D82F04" w:rsidRPr="00D82F04">
        <w:rPr>
          <w:rFonts w:eastAsia="Times New Roman"/>
          <w:szCs w:val="20"/>
          <w:lang w:val="ru-RU"/>
        </w:rPr>
        <w:lastRenderedPageBreak/>
        <w:t xml:space="preserve">процессом социального взаимодействия в целях содействия совместной разработке функционирующих средств обеспечения качества воды для практического применения. Эксперимент оказался более успешным в одних и менее успешным в других случаях, но главное при этом заключается в привлечении к участию субъектов правильного сектора, и первоначальный опыт привлечения координаторов-резидентов оказался многообещающим. Пандемия </w:t>
      </w:r>
      <w:proofErr w:type="spellStart"/>
      <w:r w:rsidR="00D82F04" w:rsidRPr="00D82F04">
        <w:rPr>
          <w:rFonts w:eastAsia="Times New Roman"/>
          <w:szCs w:val="20"/>
          <w:lang w:val="ru-RU"/>
        </w:rPr>
        <w:t>COVID</w:t>
      </w:r>
      <w:proofErr w:type="spellEnd"/>
      <w:r w:rsidR="00D82F04" w:rsidRPr="00D82F04">
        <w:rPr>
          <w:rFonts w:eastAsia="Times New Roman"/>
          <w:szCs w:val="20"/>
          <w:lang w:val="ru-RU"/>
        </w:rPr>
        <w:t xml:space="preserve">-19 частично затормозила некоторые тематические направления работы, такие как взаимодействие внутри стран.  </w:t>
      </w:r>
    </w:p>
    <w:p w14:paraId="320E08B9" w14:textId="1AD6CC28" w:rsidR="00D82F04" w:rsidRPr="00D82F04" w:rsidRDefault="00B72B5A" w:rsidP="00D82F04">
      <w:pPr>
        <w:spacing w:after="120"/>
        <w:ind w:left="1247"/>
        <w:rPr>
          <w:rFonts w:eastAsia="Times New Roman"/>
          <w:szCs w:val="20"/>
          <w:lang w:val="ru-RU"/>
        </w:rPr>
      </w:pPr>
      <w:r>
        <w:rPr>
          <w:rFonts w:eastAsia="Times New Roman"/>
          <w:szCs w:val="20"/>
        </w:rPr>
        <w:t>26.</w:t>
      </w:r>
      <w:r>
        <w:rPr>
          <w:rFonts w:eastAsia="Times New Roman"/>
          <w:szCs w:val="20"/>
        </w:rPr>
        <w:tab/>
      </w:r>
      <w:r w:rsidR="00D82F04" w:rsidRPr="00D82F04">
        <w:rPr>
          <w:rFonts w:eastAsia="Times New Roman"/>
          <w:szCs w:val="20"/>
          <w:lang w:val="ru-RU"/>
        </w:rPr>
        <w:t xml:space="preserve">Что касается развития потенциала, то в </w:t>
      </w:r>
      <w:proofErr w:type="spellStart"/>
      <w:r w:rsidR="00D82F04" w:rsidRPr="00D82F04">
        <w:rPr>
          <w:rFonts w:eastAsia="Times New Roman"/>
          <w:szCs w:val="20"/>
          <w:lang w:val="ru-RU"/>
        </w:rPr>
        <w:t>ГСМОС</w:t>
      </w:r>
      <w:proofErr w:type="spellEnd"/>
      <w:r w:rsidR="00D82F04" w:rsidRPr="00D82F04">
        <w:rPr>
          <w:rFonts w:eastAsia="Times New Roman"/>
          <w:szCs w:val="20"/>
          <w:lang w:val="ru-RU"/>
        </w:rPr>
        <w:t xml:space="preserve">/Водные ресурсы, которая также является оперативным механизмом </w:t>
      </w:r>
      <w:proofErr w:type="spellStart"/>
      <w:r w:rsidR="00D82F04" w:rsidRPr="00D82F04">
        <w:rPr>
          <w:rFonts w:eastAsia="Times New Roman"/>
          <w:szCs w:val="20"/>
          <w:lang w:val="ru-RU"/>
        </w:rPr>
        <w:t>ЮНЕП</w:t>
      </w:r>
      <w:proofErr w:type="spellEnd"/>
      <w:r w:rsidR="00D82F04" w:rsidRPr="00D82F04">
        <w:rPr>
          <w:rFonts w:eastAsia="Times New Roman"/>
          <w:szCs w:val="20"/>
          <w:lang w:val="ru-RU"/>
        </w:rPr>
        <w:t xml:space="preserve"> по мониторингу и отчетности в области качества воды в окружающей среде (показатель устойчивого развития 6.3.2), поступили многочисленные просьбы от стран об оказании поддержки. </w:t>
      </w:r>
      <w:proofErr w:type="spellStart"/>
      <w:r w:rsidR="00D82F04" w:rsidRPr="00D82F04">
        <w:rPr>
          <w:rFonts w:eastAsia="Times New Roman"/>
          <w:szCs w:val="20"/>
          <w:lang w:val="ru-RU"/>
        </w:rPr>
        <w:t>ГСМОС</w:t>
      </w:r>
      <w:proofErr w:type="spellEnd"/>
      <w:r w:rsidR="00D82F04" w:rsidRPr="00D82F04">
        <w:rPr>
          <w:rFonts w:eastAsia="Times New Roman"/>
          <w:szCs w:val="20"/>
          <w:lang w:val="ru-RU"/>
        </w:rPr>
        <w:t xml:space="preserve">/Водные ресурсы в их сегодняшнем формате и при существующем финансировании не сможет в полной мере удовлетворить эти просьбы. После 2023 года истекает срок финансовой поддержки со стороны правительства Ирландии. Вместе с тем, опираясь на работу, проводимую Всемирным альянсом за качество воды, </w:t>
      </w:r>
      <w:proofErr w:type="spellStart"/>
      <w:r w:rsidR="00D82F04" w:rsidRPr="00D82F04">
        <w:rPr>
          <w:rFonts w:eastAsia="Times New Roman"/>
          <w:szCs w:val="20"/>
          <w:lang w:val="ru-RU"/>
        </w:rPr>
        <w:t>ГСМОС</w:t>
      </w:r>
      <w:proofErr w:type="spellEnd"/>
      <w:r w:rsidR="00D82F04" w:rsidRPr="00D82F04">
        <w:rPr>
          <w:rFonts w:eastAsia="Times New Roman"/>
          <w:szCs w:val="20"/>
          <w:lang w:val="ru-RU"/>
        </w:rPr>
        <w:t>/Водные ресурсы продвигается вперед в создании консорциума партнеров по развитию потенциала для совместной разработки и осуществления согласованных инициатив по развитию потенциала на высоком уровне и с учетом конкретных потребностей, а также в расширении ресурсной базы.</w:t>
      </w:r>
    </w:p>
    <w:p w14:paraId="5F7176C6" w14:textId="3DE20F30" w:rsidR="00D82F04" w:rsidRPr="00D82F04" w:rsidRDefault="00631864" w:rsidP="00D82F04">
      <w:pPr>
        <w:spacing w:after="120"/>
        <w:ind w:left="1247"/>
        <w:rPr>
          <w:rFonts w:eastAsia="Times New Roman"/>
          <w:szCs w:val="20"/>
          <w:lang w:val="ru-RU"/>
        </w:rPr>
      </w:pPr>
      <w:r>
        <w:rPr>
          <w:rFonts w:eastAsia="Times New Roman"/>
          <w:szCs w:val="20"/>
        </w:rPr>
        <w:t>27.</w:t>
      </w:r>
      <w:r>
        <w:rPr>
          <w:rFonts w:eastAsia="Times New Roman"/>
          <w:szCs w:val="20"/>
        </w:rPr>
        <w:tab/>
      </w:r>
      <w:r w:rsidR="00D82F04" w:rsidRPr="00D82F04">
        <w:rPr>
          <w:rFonts w:eastAsia="Times New Roman"/>
          <w:szCs w:val="20"/>
          <w:lang w:val="ru-RU"/>
        </w:rPr>
        <w:t xml:space="preserve">Комплексный (зонтичный) проект Европейского союза, направленный на решение проблемы вируса </w:t>
      </w:r>
      <w:proofErr w:type="spellStart"/>
      <w:r w:rsidR="00D82F04" w:rsidRPr="00D82F04">
        <w:rPr>
          <w:rFonts w:eastAsia="Times New Roman"/>
          <w:szCs w:val="20"/>
          <w:lang w:val="ru-RU"/>
        </w:rPr>
        <w:t>SARS</w:t>
      </w:r>
      <w:proofErr w:type="spellEnd"/>
      <w:r w:rsidR="00D82F04" w:rsidRPr="00D82F04">
        <w:rPr>
          <w:rFonts w:eastAsia="Times New Roman"/>
          <w:szCs w:val="20"/>
          <w:lang w:val="ru-RU"/>
        </w:rPr>
        <w:t>-</w:t>
      </w:r>
      <w:proofErr w:type="spellStart"/>
      <w:r w:rsidR="00D82F04" w:rsidRPr="00D82F04">
        <w:rPr>
          <w:rFonts w:eastAsia="Times New Roman"/>
          <w:szCs w:val="20"/>
          <w:lang w:val="ru-RU"/>
        </w:rPr>
        <w:t>CoV</w:t>
      </w:r>
      <w:proofErr w:type="spellEnd"/>
      <w:r w:rsidR="00D82F04" w:rsidRPr="00D82F04">
        <w:rPr>
          <w:rFonts w:eastAsia="Times New Roman"/>
          <w:szCs w:val="20"/>
          <w:lang w:val="ru-RU"/>
        </w:rPr>
        <w:t xml:space="preserve">-2 и координируемый Объединенным исследовательским центром, свидетельствует о возрождении интереса к взаимосвязи между здоровьем и окружающей средой и дает представление о кризисе, вызванном пандемией </w:t>
      </w:r>
      <w:proofErr w:type="spellStart"/>
      <w:r w:rsidR="00D82F04" w:rsidRPr="00D82F04">
        <w:rPr>
          <w:rFonts w:eastAsia="Times New Roman"/>
          <w:szCs w:val="20"/>
          <w:lang w:val="ru-RU"/>
        </w:rPr>
        <w:t>COVID</w:t>
      </w:r>
      <w:proofErr w:type="spellEnd"/>
      <w:r w:rsidR="00D82F04" w:rsidRPr="00D82F04">
        <w:rPr>
          <w:rFonts w:eastAsia="Times New Roman"/>
          <w:szCs w:val="20"/>
          <w:lang w:val="ru-RU"/>
        </w:rPr>
        <w:t xml:space="preserve">-19, и его связи с качеством и доступностью воды. Динамично развиваются подходы к аналитической методологии и инновациям, включая осуществление контроля на канализационных объектах, который успешно используется для мониторинга вируса </w:t>
      </w:r>
      <w:proofErr w:type="spellStart"/>
      <w:r w:rsidR="00D82F04" w:rsidRPr="00D82F04">
        <w:rPr>
          <w:rFonts w:eastAsia="Times New Roman"/>
          <w:szCs w:val="20"/>
          <w:lang w:val="ru-RU"/>
        </w:rPr>
        <w:t>SARS</w:t>
      </w:r>
      <w:proofErr w:type="spellEnd"/>
      <w:r w:rsidR="00D82F04" w:rsidRPr="00D82F04">
        <w:rPr>
          <w:rFonts w:eastAsia="Times New Roman"/>
          <w:szCs w:val="20"/>
          <w:lang w:val="ru-RU"/>
        </w:rPr>
        <w:t>-</w:t>
      </w:r>
      <w:proofErr w:type="spellStart"/>
      <w:r w:rsidR="00D82F04" w:rsidRPr="00D82F04">
        <w:rPr>
          <w:rFonts w:eastAsia="Times New Roman"/>
          <w:szCs w:val="20"/>
          <w:lang w:val="ru-RU"/>
        </w:rPr>
        <w:t>CoV</w:t>
      </w:r>
      <w:proofErr w:type="spellEnd"/>
      <w:r w:rsidR="00D82F04" w:rsidRPr="00D82F04">
        <w:rPr>
          <w:rFonts w:eastAsia="Times New Roman"/>
          <w:szCs w:val="20"/>
          <w:lang w:val="ru-RU"/>
        </w:rPr>
        <w:t xml:space="preserve">-2 в системах сточных вод и канализации, а также проведение оценок. Это позволяет частично ослабить мониторинговую нагрузку на системы здравоохранения. Кризис, вызванный пандемией </w:t>
      </w:r>
      <w:proofErr w:type="spellStart"/>
      <w:r w:rsidR="00D82F04" w:rsidRPr="00D82F04">
        <w:rPr>
          <w:rFonts w:eastAsia="Times New Roman"/>
          <w:szCs w:val="20"/>
          <w:lang w:val="ru-RU"/>
        </w:rPr>
        <w:t>COVID</w:t>
      </w:r>
      <w:proofErr w:type="spellEnd"/>
      <w:r w:rsidR="00D82F04" w:rsidRPr="00D82F04">
        <w:rPr>
          <w:rFonts w:eastAsia="Times New Roman"/>
          <w:szCs w:val="20"/>
          <w:lang w:val="ru-RU"/>
        </w:rPr>
        <w:t>-19, усугубил и без того тяжелую ситуацию с водоснабжением, санитарией и гигиеной для всех, в особенности в условиях крайней нищеты и в районах конфликтов.</w:t>
      </w:r>
    </w:p>
    <w:p w14:paraId="1EE67468" w14:textId="2DA98DD4" w:rsidR="00D82F04" w:rsidRPr="00D82F04" w:rsidRDefault="00631864" w:rsidP="00631864">
      <w:pPr>
        <w:spacing w:after="240"/>
        <w:ind w:left="1247"/>
        <w:rPr>
          <w:rFonts w:eastAsia="Times New Roman"/>
          <w:szCs w:val="20"/>
          <w:lang w:val="ru-RU"/>
        </w:rPr>
      </w:pPr>
      <w:r>
        <w:rPr>
          <w:rFonts w:eastAsia="Times New Roman"/>
          <w:szCs w:val="20"/>
        </w:rPr>
        <w:t>28.</w:t>
      </w:r>
      <w:r>
        <w:rPr>
          <w:rFonts w:eastAsia="Times New Roman"/>
          <w:szCs w:val="20"/>
        </w:rPr>
        <w:tab/>
      </w:r>
      <w:r w:rsidR="00D82F04" w:rsidRPr="00D82F04">
        <w:rPr>
          <w:rFonts w:eastAsia="Times New Roman"/>
          <w:szCs w:val="20"/>
          <w:lang w:val="ru-RU"/>
        </w:rPr>
        <w:t>За период чуть более одного года Альянс сумел привлечь различные группы экспертов к разработке направлений работы, связанных с обеспечением качества воды, в том числе в связи с здравоохранением.</w:t>
      </w:r>
    </w:p>
    <w:p w14:paraId="0A0C7188" w14:textId="77777777" w:rsidR="00D82F04" w:rsidRPr="00D82F04" w:rsidRDefault="00D82F04" w:rsidP="003D6EB7">
      <w:pPr>
        <w:tabs>
          <w:tab w:val="right" w:pos="851"/>
        </w:tabs>
        <w:spacing w:after="120"/>
        <w:ind w:left="1247" w:right="284" w:hanging="1247"/>
        <w:rPr>
          <w:rFonts w:eastAsia="Times New Roman"/>
          <w:b/>
          <w:bCs/>
          <w:sz w:val="28"/>
          <w:szCs w:val="28"/>
          <w:lang w:val="ru-RU"/>
        </w:rPr>
      </w:pPr>
      <w:r w:rsidRPr="00D82F04">
        <w:rPr>
          <w:rFonts w:eastAsia="Times New Roman"/>
          <w:b/>
          <w:bCs/>
          <w:sz w:val="28"/>
          <w:szCs w:val="28"/>
          <w:lang w:val="ru-RU"/>
        </w:rPr>
        <w:tab/>
        <w:t>III.</w:t>
      </w:r>
      <w:r w:rsidRPr="00D82F04">
        <w:rPr>
          <w:rFonts w:eastAsia="Times New Roman"/>
          <w:b/>
          <w:bCs/>
          <w:sz w:val="28"/>
          <w:szCs w:val="28"/>
          <w:lang w:val="ru-RU"/>
        </w:rPr>
        <w:tab/>
        <w:t>Рекомендации и предлагаемые меры</w:t>
      </w:r>
    </w:p>
    <w:p w14:paraId="1A6C2748" w14:textId="2D0DFF09" w:rsidR="00D82F04" w:rsidRPr="00D82F04" w:rsidRDefault="00631864" w:rsidP="00D82F04">
      <w:pPr>
        <w:spacing w:after="120"/>
        <w:ind w:left="1247"/>
        <w:rPr>
          <w:rFonts w:eastAsia="Times New Roman"/>
          <w:szCs w:val="20"/>
          <w:lang w:val="ru-RU"/>
        </w:rPr>
      </w:pPr>
      <w:r>
        <w:rPr>
          <w:rFonts w:eastAsia="Times New Roman"/>
          <w:szCs w:val="20"/>
        </w:rPr>
        <w:t>29.</w:t>
      </w:r>
      <w:r>
        <w:rPr>
          <w:rFonts w:eastAsia="Times New Roman"/>
          <w:szCs w:val="20"/>
        </w:rPr>
        <w:tab/>
      </w:r>
      <w:r w:rsidR="00D82F04" w:rsidRPr="00D82F04">
        <w:rPr>
          <w:rFonts w:eastAsia="Times New Roman"/>
          <w:szCs w:val="20"/>
          <w:lang w:val="ru-RU"/>
        </w:rPr>
        <w:t>Ассамблея Организации Объединенных Наций по окружающей среде, возможно, пожелает:</w:t>
      </w:r>
    </w:p>
    <w:p w14:paraId="422BA376" w14:textId="2765C929" w:rsidR="00D82F04" w:rsidRPr="00D82F04" w:rsidRDefault="00631864" w:rsidP="00631864">
      <w:pPr>
        <w:spacing w:after="120"/>
        <w:ind w:left="1247" w:firstLine="624"/>
        <w:rPr>
          <w:rFonts w:eastAsia="Times New Roman"/>
          <w:szCs w:val="20"/>
          <w:lang w:val="ru-RU"/>
        </w:rPr>
      </w:pPr>
      <w:r>
        <w:rPr>
          <w:rFonts w:eastAsia="Times New Roman"/>
          <w:szCs w:val="20"/>
        </w:rPr>
        <w:t>a)</w:t>
      </w:r>
      <w:r>
        <w:rPr>
          <w:rFonts w:eastAsia="Times New Roman"/>
          <w:szCs w:val="20"/>
        </w:rPr>
        <w:tab/>
      </w:r>
      <w:r w:rsidRPr="00D82F04">
        <w:rPr>
          <w:rFonts w:eastAsia="Times New Roman"/>
          <w:szCs w:val="20"/>
          <w:lang w:val="ru-RU"/>
        </w:rPr>
        <w:t xml:space="preserve">предложить </w:t>
      </w:r>
      <w:r w:rsidR="00D82F04" w:rsidRPr="00D82F04">
        <w:rPr>
          <w:rFonts w:eastAsia="Times New Roman"/>
          <w:szCs w:val="20"/>
          <w:lang w:val="ru-RU"/>
        </w:rPr>
        <w:t xml:space="preserve">государствам-членам принимать участие и поддерживать Всемирный альянс за качество воды; его деятельность по мониторингу и оценке; его усилия по развитию сотрудничества между государствами-членами и </w:t>
      </w:r>
      <w:proofErr w:type="spellStart"/>
      <w:r w:rsidR="00D82F04" w:rsidRPr="00D82F04">
        <w:rPr>
          <w:rFonts w:eastAsia="Times New Roman"/>
          <w:szCs w:val="20"/>
          <w:lang w:val="ru-RU"/>
        </w:rPr>
        <w:t>ЮНЕП</w:t>
      </w:r>
      <w:proofErr w:type="spellEnd"/>
      <w:r w:rsidR="00D82F04" w:rsidRPr="00D82F04">
        <w:rPr>
          <w:rFonts w:eastAsia="Times New Roman"/>
          <w:szCs w:val="20"/>
          <w:lang w:val="ru-RU"/>
        </w:rPr>
        <w:t xml:space="preserve"> в области данных, информации и обмена ими, включая разработку открытых стандартов, основанных на консенсусе, в целях содействия развитию гражданской науки; его рабочие процессы, ориентированные на вовлечение заинтересованных сторон и на поиск решений; его научные и политические процессы, включая взаимосвязь со здравоохранением, например, путем выявления партнеров и ресурсов для достижения цели 6 в области устойчивого развития и выполнения связанных с ней задач;</w:t>
      </w:r>
    </w:p>
    <w:p w14:paraId="1F2AC973" w14:textId="329F144F" w:rsidR="00D82F04" w:rsidRPr="00D82F04" w:rsidRDefault="00631864" w:rsidP="00631864">
      <w:pPr>
        <w:spacing w:after="120"/>
        <w:ind w:left="1247" w:firstLine="624"/>
        <w:rPr>
          <w:rFonts w:eastAsia="Times New Roman"/>
          <w:szCs w:val="20"/>
          <w:lang w:val="ru-RU"/>
        </w:rPr>
      </w:pPr>
      <w:r>
        <w:rPr>
          <w:rFonts w:eastAsia="Times New Roman"/>
          <w:szCs w:val="20"/>
        </w:rPr>
        <w:t>b)</w:t>
      </w:r>
      <w:r>
        <w:rPr>
          <w:rFonts w:eastAsia="Times New Roman"/>
          <w:szCs w:val="20"/>
        </w:rPr>
        <w:tab/>
      </w:r>
      <w:r w:rsidRPr="00D82F04">
        <w:rPr>
          <w:rFonts w:eastAsia="Times New Roman"/>
          <w:szCs w:val="20"/>
          <w:lang w:val="ru-RU"/>
        </w:rPr>
        <w:t xml:space="preserve">предложить </w:t>
      </w:r>
      <w:r w:rsidR="00D82F04" w:rsidRPr="00D82F04">
        <w:rPr>
          <w:rFonts w:eastAsia="Times New Roman"/>
          <w:szCs w:val="20"/>
          <w:lang w:val="ru-RU"/>
        </w:rPr>
        <w:t xml:space="preserve">государствам-членам поддерживать также </w:t>
      </w:r>
      <w:proofErr w:type="spellStart"/>
      <w:r w:rsidR="00D82F04" w:rsidRPr="00D82F04">
        <w:rPr>
          <w:rFonts w:eastAsia="Times New Roman"/>
          <w:szCs w:val="20"/>
          <w:lang w:val="ru-RU"/>
        </w:rPr>
        <w:t>ГСМОС</w:t>
      </w:r>
      <w:proofErr w:type="spellEnd"/>
      <w:r w:rsidR="00D82F04" w:rsidRPr="00D82F04">
        <w:rPr>
          <w:rFonts w:eastAsia="Times New Roman"/>
          <w:szCs w:val="20"/>
          <w:lang w:val="ru-RU"/>
        </w:rPr>
        <w:t xml:space="preserve">/Водные ресурсы через общий целевой фонд для оказания поддержки </w:t>
      </w:r>
      <w:proofErr w:type="spellStart"/>
      <w:r w:rsidR="00D82F04" w:rsidRPr="00D82F04">
        <w:rPr>
          <w:rFonts w:eastAsia="Times New Roman"/>
          <w:szCs w:val="20"/>
          <w:lang w:val="ru-RU"/>
        </w:rPr>
        <w:t>ГСМОС</w:t>
      </w:r>
      <w:proofErr w:type="spellEnd"/>
      <w:r w:rsidR="00D82F04" w:rsidRPr="00D82F04">
        <w:rPr>
          <w:rFonts w:eastAsia="Times New Roman"/>
          <w:szCs w:val="20"/>
          <w:lang w:val="ru-RU"/>
        </w:rPr>
        <w:t xml:space="preserve">/Водные ресурсы и содействовать работе этой системы в целях более эффективного и устойчивого удовлетворения потребностей стран в мониторинге качества воды, управлении данными и их анализе, а также развитии потенциала в период после 2023 года, включая инновационную онлайновую подготовку, в ситуации, когда пандемия </w:t>
      </w:r>
      <w:proofErr w:type="spellStart"/>
      <w:r w:rsidR="00D82F04" w:rsidRPr="00D82F04">
        <w:rPr>
          <w:rFonts w:eastAsia="Times New Roman"/>
          <w:szCs w:val="20"/>
          <w:lang w:val="ru-RU"/>
        </w:rPr>
        <w:t>COVID</w:t>
      </w:r>
      <w:proofErr w:type="spellEnd"/>
      <w:r w:rsidR="00D82F04" w:rsidRPr="00D82F04">
        <w:rPr>
          <w:rFonts w:eastAsia="Times New Roman"/>
          <w:szCs w:val="20"/>
          <w:lang w:val="ru-RU"/>
        </w:rPr>
        <w:t>-19 продолжает сокращать возможности для развития внутреннего потенциала страны.</w:t>
      </w:r>
    </w:p>
    <w:p w14:paraId="7E437DBD" w14:textId="2A7A60DF" w:rsidR="005D73F1" w:rsidRPr="00C840C4" w:rsidRDefault="00E46145" w:rsidP="00C840C4">
      <w:pPr>
        <w:spacing w:before="240" w:after="120"/>
        <w:jc w:val="center"/>
      </w:pPr>
      <w:r>
        <w:t>______________</w:t>
      </w:r>
      <w:r w:rsidR="00C840C4">
        <w:t>______</w:t>
      </w:r>
    </w:p>
    <w:sectPr w:rsidR="005D73F1" w:rsidRPr="00C840C4" w:rsidSect="00095434">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E3E060" w14:textId="77777777" w:rsidR="00497DDB" w:rsidRDefault="00497DDB">
      <w:r>
        <w:separator/>
      </w:r>
    </w:p>
  </w:endnote>
  <w:endnote w:type="continuationSeparator" w:id="0">
    <w:p w14:paraId="2AD2AF11" w14:textId="77777777" w:rsidR="00497DDB" w:rsidRDefault="00497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8BB5CF" w14:textId="77777777" w:rsidR="00431BBF" w:rsidRDefault="00431BBF" w:rsidP="00455F0E">
    <w:pPr>
      <w:pStyle w:val="Footer"/>
      <w:tabs>
        <w:tab w:val="clear" w:pos="4320"/>
        <w:tab w:val="clear" w:pos="8640"/>
      </w:tabs>
    </w:pPr>
    <w:r>
      <w:rPr>
        <w:rStyle w:val="PageNumber"/>
      </w:rPr>
      <w:fldChar w:fldCharType="begin"/>
    </w:r>
    <w:r>
      <w:rPr>
        <w:rStyle w:val="PageNumber"/>
      </w:rPr>
      <w:instrText xml:space="preserve"> PAGE </w:instrText>
    </w:r>
    <w:r>
      <w:rPr>
        <w:rStyle w:val="PageNumber"/>
      </w:rPr>
      <w:fldChar w:fldCharType="separate"/>
    </w:r>
    <w:r w:rsidR="00F7155A">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26A4FB" w14:textId="77777777" w:rsidR="00431BBF" w:rsidRDefault="00431BBF" w:rsidP="00256D2A">
    <w:pPr>
      <w:pStyle w:val="Footer"/>
      <w:tabs>
        <w:tab w:val="clear" w:pos="4320"/>
        <w:tab w:val="clear" w:pos="8640"/>
      </w:tabs>
      <w:jc w:val="right"/>
    </w:pPr>
    <w:r>
      <w:rPr>
        <w:rStyle w:val="PageNumber"/>
      </w:rPr>
      <w:fldChar w:fldCharType="begin"/>
    </w:r>
    <w:r>
      <w:rPr>
        <w:rStyle w:val="PageNumber"/>
      </w:rPr>
      <w:instrText xml:space="preserve"> PAGE </w:instrText>
    </w:r>
    <w:r>
      <w:rPr>
        <w:rStyle w:val="PageNumber"/>
      </w:rPr>
      <w:fldChar w:fldCharType="separate"/>
    </w:r>
    <w:r w:rsidR="00F7155A">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D25DCC" w14:textId="02AA6D56" w:rsidR="00256D2A" w:rsidRPr="001409C7" w:rsidRDefault="00431BBF" w:rsidP="00256D2A">
    <w:pPr>
      <w:spacing w:before="60" w:after="120"/>
    </w:pPr>
    <w:r>
      <w:rPr>
        <w:lang w:val="ru-RU"/>
      </w:rPr>
      <w:t>K</w:t>
    </w:r>
    <w:r w:rsidR="00482795">
      <w:t>20</w:t>
    </w:r>
    <w:r>
      <w:rPr>
        <w:lang w:val="ru-RU"/>
      </w:rPr>
      <w:t>0</w:t>
    </w:r>
    <w:r w:rsidR="00482795">
      <w:t>2</w:t>
    </w:r>
    <w:r w:rsidR="00DE5B83">
      <w:t>619</w:t>
    </w:r>
    <w:r>
      <w:rPr>
        <w:lang w:val="en-US"/>
      </w:rPr>
      <w:t xml:space="preserve">      </w:t>
    </w:r>
    <w:r w:rsidR="00887987">
      <w:rPr>
        <w:lang w:val="en-US"/>
      </w:rPr>
      <w:t>30</w:t>
    </w:r>
    <w:r w:rsidR="00482795">
      <w:rPr>
        <w:lang w:val="en-US"/>
      </w:rPr>
      <w:t>1220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9CF801" w14:textId="77777777" w:rsidR="00497DDB" w:rsidRDefault="00497DDB">
      <w:pPr>
        <w:tabs>
          <w:tab w:val="left" w:pos="624"/>
        </w:tabs>
        <w:spacing w:before="60"/>
        <w:ind w:left="624"/>
        <w:rPr>
          <w:sz w:val="18"/>
          <w:szCs w:val="18"/>
        </w:rPr>
      </w:pPr>
      <w:r>
        <w:rPr>
          <w:sz w:val="18"/>
          <w:szCs w:val="18"/>
        </w:rPr>
        <w:separator/>
      </w:r>
    </w:p>
  </w:footnote>
  <w:footnote w:type="continuationSeparator" w:id="0">
    <w:p w14:paraId="28B81E8A" w14:textId="77777777" w:rsidR="00497DDB" w:rsidRDefault="00497DDB">
      <w:r>
        <w:continuationSeparator/>
      </w:r>
    </w:p>
  </w:footnote>
  <w:footnote w:id="1">
    <w:p w14:paraId="05FA2D7F" w14:textId="7E24B5DA" w:rsidR="00FC0906" w:rsidRPr="00FC0906" w:rsidRDefault="00FC0906" w:rsidP="00FC0906">
      <w:pPr>
        <w:spacing w:before="20" w:after="40"/>
        <w:ind w:left="1247"/>
        <w:rPr>
          <w:sz w:val="18"/>
          <w:szCs w:val="18"/>
          <w:lang w:val="ru-RU"/>
        </w:rPr>
      </w:pPr>
      <w:r w:rsidRPr="00FC0906">
        <w:rPr>
          <w:sz w:val="18"/>
          <w:szCs w:val="18"/>
          <w:lang w:val="ru-RU"/>
        </w:rPr>
        <w:t>*</w:t>
      </w:r>
      <w:r w:rsidRPr="00FC0906">
        <w:rPr>
          <w:sz w:val="18"/>
          <w:szCs w:val="18"/>
          <w:lang w:val="ru-RU"/>
        </w:rPr>
        <w:tab/>
      </w:r>
      <w:r w:rsidRPr="00FC0906">
        <w:rPr>
          <w:rFonts w:eastAsia="Times New Roman"/>
          <w:sz w:val="18"/>
          <w:szCs w:val="18"/>
          <w:lang w:val="ru-RU" w:eastAsia="en-GB"/>
        </w:rPr>
        <w:t>В соответствии с решениями, принятыми на совещании Бюро Ассамблеи Организации Объединенных Наций по окружающей среде, состоявшемся 8 октября 2020 года, и на совместном совещании Бюро Ассамблеи Организации Объединенных Наций по окружающей среде и Бюро Комитета постоянных представителей, состоявшемся 1 декабря 2020 года, пятая сессия Ассамблеи, как ожидается, приостановит свою работу 23 февраля 2021 года и возобновит ее в режиме очного совещания в феврале 2022 года.</w:t>
      </w:r>
    </w:p>
    <w:p w14:paraId="4CB37171" w14:textId="12866CCB" w:rsidR="007F405D" w:rsidRPr="004B71EE" w:rsidRDefault="00FC0906" w:rsidP="004B71EE">
      <w:pPr>
        <w:spacing w:before="20" w:after="40"/>
        <w:ind w:left="1247"/>
        <w:rPr>
          <w:sz w:val="18"/>
          <w:szCs w:val="18"/>
        </w:rPr>
      </w:pPr>
      <w:r>
        <w:rPr>
          <w:sz w:val="18"/>
          <w:szCs w:val="18"/>
        </w:rPr>
        <w:t>*</w:t>
      </w:r>
      <w:r w:rsidR="007F405D" w:rsidRPr="004B71EE">
        <w:rPr>
          <w:sz w:val="18"/>
          <w:szCs w:val="18"/>
          <w:lang w:val="ru-RU"/>
        </w:rPr>
        <w:t xml:space="preserve">* </w:t>
      </w:r>
      <w:r w:rsidR="007F405D" w:rsidRPr="004B71EE">
        <w:rPr>
          <w:sz w:val="18"/>
          <w:szCs w:val="18"/>
          <w:lang w:val="ru-RU"/>
        </w:rPr>
        <w:tab/>
      </w:r>
      <w:proofErr w:type="spellStart"/>
      <w:r w:rsidR="007F405D" w:rsidRPr="004B71EE">
        <w:rPr>
          <w:sz w:val="18"/>
          <w:szCs w:val="18"/>
          <w:lang w:val="ru-RU"/>
        </w:rPr>
        <w:t>UNEP</w:t>
      </w:r>
      <w:proofErr w:type="spellEnd"/>
      <w:r w:rsidR="007F405D" w:rsidRPr="004B71EE">
        <w:rPr>
          <w:sz w:val="18"/>
          <w:szCs w:val="18"/>
          <w:lang w:val="ru-RU"/>
        </w:rPr>
        <w:t>/</w:t>
      </w:r>
      <w:proofErr w:type="spellStart"/>
      <w:r w:rsidR="007F405D" w:rsidRPr="004B71EE">
        <w:rPr>
          <w:sz w:val="18"/>
          <w:szCs w:val="18"/>
          <w:lang w:val="ru-RU"/>
        </w:rPr>
        <w:t>EA.5</w:t>
      </w:r>
      <w:proofErr w:type="spellEnd"/>
      <w:r w:rsidR="007F405D" w:rsidRPr="004B71EE">
        <w:rPr>
          <w:sz w:val="18"/>
          <w:szCs w:val="18"/>
          <w:lang w:val="ru-RU"/>
        </w:rPr>
        <w:t>/1</w:t>
      </w:r>
      <w:r>
        <w:rPr>
          <w:sz w:val="18"/>
          <w:szCs w:val="18"/>
        </w:rPr>
        <w:t>/</w:t>
      </w:r>
      <w:proofErr w:type="spellStart"/>
      <w:r>
        <w:rPr>
          <w:sz w:val="18"/>
          <w:szCs w:val="18"/>
        </w:rPr>
        <w:t>Rev1</w:t>
      </w:r>
      <w:proofErr w:type="spellEnd"/>
      <w:r w:rsidR="007F405D" w:rsidRPr="004B71EE">
        <w:rPr>
          <w:sz w:val="18"/>
          <w:szCs w:val="18"/>
          <w:lang w:val="ru-RU"/>
        </w:rPr>
        <w:t>.</w:t>
      </w:r>
    </w:p>
  </w:footnote>
  <w:footnote w:id="2">
    <w:p w14:paraId="477F039D" w14:textId="58DA6FA8" w:rsidR="00D82F04" w:rsidRPr="004B71EE" w:rsidRDefault="00D82F04" w:rsidP="004B71EE">
      <w:pPr>
        <w:pStyle w:val="FootnoteText"/>
        <w:rPr>
          <w:szCs w:val="18"/>
          <w:lang w:val="ru-RU"/>
        </w:rPr>
      </w:pPr>
      <w:r w:rsidRPr="004B71EE">
        <w:rPr>
          <w:rStyle w:val="FootnoteReference"/>
          <w:sz w:val="18"/>
          <w:lang w:val="ru-RU"/>
        </w:rPr>
        <w:footnoteRef/>
      </w:r>
      <w:r w:rsidRPr="004B71EE">
        <w:rPr>
          <w:szCs w:val="18"/>
          <w:lang w:val="ru-RU"/>
        </w:rPr>
        <w:t xml:space="preserve"> </w:t>
      </w:r>
      <w:r w:rsidR="004B71EE" w:rsidRPr="004B71EE">
        <w:rPr>
          <w:szCs w:val="18"/>
          <w:lang w:val="ru-RU"/>
        </w:rPr>
        <w:tab/>
      </w:r>
      <w:r w:rsidRPr="004B71EE">
        <w:rPr>
          <w:szCs w:val="18"/>
          <w:lang w:val="ru-RU"/>
        </w:rPr>
        <w:t>Имеется по адресу: www.unwater.org/publications/towards-worldwide-assessment-freshwater-quality/.</w:t>
      </w:r>
    </w:p>
  </w:footnote>
  <w:footnote w:id="3">
    <w:p w14:paraId="1A35E3ED" w14:textId="77777777" w:rsidR="00303F1C" w:rsidRPr="004B71EE" w:rsidRDefault="00303F1C" w:rsidP="00303F1C">
      <w:pPr>
        <w:pStyle w:val="FootnoteText"/>
        <w:rPr>
          <w:szCs w:val="18"/>
          <w:lang w:val="ru-RU"/>
        </w:rPr>
      </w:pPr>
      <w:r w:rsidRPr="004B71EE">
        <w:rPr>
          <w:rStyle w:val="FootnoteReference"/>
          <w:sz w:val="18"/>
          <w:lang w:val="ru-RU"/>
        </w:rPr>
        <w:footnoteRef/>
      </w:r>
      <w:r w:rsidRPr="004B71EE">
        <w:rPr>
          <w:szCs w:val="18"/>
          <w:lang w:val="ru-RU"/>
        </w:rPr>
        <w:t xml:space="preserve"> </w:t>
      </w:r>
      <w:r w:rsidRPr="004B71EE">
        <w:rPr>
          <w:szCs w:val="18"/>
          <w:lang w:val="ru-RU"/>
        </w:rPr>
        <w:tab/>
        <w:t>Имеется по адресу: https://uneplive.unep.org/media/docs/assessments/unep_wwqa_report_web.pdf.</w:t>
      </w:r>
    </w:p>
  </w:footnote>
  <w:footnote w:id="4">
    <w:p w14:paraId="02B81C80" w14:textId="022EE956" w:rsidR="00D82F04" w:rsidRPr="00F0032A" w:rsidRDefault="00D82F04" w:rsidP="00F0032A">
      <w:pPr>
        <w:pStyle w:val="FootnoteText"/>
        <w:rPr>
          <w:szCs w:val="18"/>
          <w:lang w:val="ru-RU"/>
        </w:rPr>
      </w:pPr>
      <w:r w:rsidRPr="00F0032A">
        <w:rPr>
          <w:rStyle w:val="FootnoteReference"/>
          <w:sz w:val="18"/>
          <w:lang w:val="ru-RU"/>
        </w:rPr>
        <w:footnoteRef/>
      </w:r>
      <w:r w:rsidRPr="00F0032A">
        <w:rPr>
          <w:szCs w:val="18"/>
          <w:lang w:val="ru-RU"/>
        </w:rPr>
        <w:t xml:space="preserve"> </w:t>
      </w:r>
      <w:r w:rsidR="00F0032A" w:rsidRPr="00F0032A">
        <w:rPr>
          <w:szCs w:val="18"/>
          <w:lang w:val="ru-RU"/>
        </w:rPr>
        <w:tab/>
      </w:r>
      <w:r w:rsidRPr="00F0032A">
        <w:rPr>
          <w:szCs w:val="18"/>
          <w:lang w:val="ru-RU"/>
        </w:rPr>
        <w:t>Там же.</w:t>
      </w:r>
    </w:p>
  </w:footnote>
  <w:footnote w:id="5">
    <w:p w14:paraId="6C2A0296" w14:textId="6F330EC7" w:rsidR="00D82F04" w:rsidRPr="00F0032A" w:rsidRDefault="00D82F04" w:rsidP="00F0032A">
      <w:pPr>
        <w:pStyle w:val="FootnoteText"/>
        <w:rPr>
          <w:szCs w:val="18"/>
          <w:lang w:val="ru-RU"/>
        </w:rPr>
      </w:pPr>
      <w:r w:rsidRPr="00F0032A">
        <w:rPr>
          <w:rStyle w:val="FootnoteReference"/>
          <w:sz w:val="18"/>
          <w:lang w:val="ru-RU"/>
        </w:rPr>
        <w:footnoteRef/>
      </w:r>
      <w:r w:rsidRPr="00F0032A">
        <w:rPr>
          <w:szCs w:val="18"/>
          <w:lang w:val="ru-RU"/>
        </w:rPr>
        <w:t xml:space="preserve"> </w:t>
      </w:r>
      <w:r w:rsidR="00F0032A" w:rsidRPr="00F0032A">
        <w:rPr>
          <w:szCs w:val="18"/>
          <w:lang w:val="ru-RU"/>
        </w:rPr>
        <w:tab/>
      </w:r>
      <w:r w:rsidRPr="00F0032A">
        <w:rPr>
          <w:szCs w:val="18"/>
          <w:lang w:val="ru-RU"/>
        </w:rPr>
        <w:t>См. https://communities.unep.org/display/WWQA/Governance?preview=/32407633/42270885/</w:t>
      </w:r>
      <w:r w:rsidR="00F0032A" w:rsidRPr="00F0032A">
        <w:rPr>
          <w:szCs w:val="18"/>
          <w:lang w:val="ru-RU"/>
        </w:rPr>
        <w:br/>
      </w:r>
      <w:proofErr w:type="spellStart"/>
      <w:r w:rsidRPr="00F0032A">
        <w:rPr>
          <w:szCs w:val="18"/>
          <w:lang w:val="ru-RU"/>
        </w:rPr>
        <w:t>WWQA%20Strategic%20Advisory%20Committee.pdf</w:t>
      </w:r>
      <w:proofErr w:type="spellEnd"/>
      <w:r w:rsidRPr="00F0032A">
        <w:rPr>
          <w:szCs w:val="18"/>
          <w:lang w:val="ru-RU"/>
        </w:rPr>
        <w:t>.</w:t>
      </w:r>
    </w:p>
  </w:footnote>
  <w:footnote w:id="6">
    <w:p w14:paraId="22B21527" w14:textId="47D5DB6B" w:rsidR="00D82F04" w:rsidRPr="00F0032A" w:rsidRDefault="00D82F04" w:rsidP="00F0032A">
      <w:pPr>
        <w:pStyle w:val="FootnoteText"/>
        <w:rPr>
          <w:szCs w:val="18"/>
          <w:lang w:val="ru-RU"/>
        </w:rPr>
      </w:pPr>
      <w:r w:rsidRPr="00F0032A">
        <w:rPr>
          <w:rStyle w:val="FootnoteReference"/>
          <w:sz w:val="18"/>
          <w:lang w:val="ru-RU"/>
        </w:rPr>
        <w:footnoteRef/>
      </w:r>
      <w:r w:rsidRPr="00F0032A">
        <w:rPr>
          <w:szCs w:val="18"/>
          <w:lang w:val="ru-RU"/>
        </w:rPr>
        <w:t xml:space="preserve"> </w:t>
      </w:r>
      <w:r w:rsidR="00F0032A" w:rsidRPr="00F0032A">
        <w:rPr>
          <w:szCs w:val="18"/>
          <w:lang w:val="ru-RU"/>
        </w:rPr>
        <w:tab/>
      </w:r>
      <w:r w:rsidRPr="00F0032A">
        <w:rPr>
          <w:szCs w:val="18"/>
          <w:lang w:val="ru-RU"/>
        </w:rPr>
        <w:t>См. https://communities.unep.org/display/WWQA/Governance?preview=/32407633/42270886/</w:t>
      </w:r>
      <w:r w:rsidR="00F0032A" w:rsidRPr="00F0032A">
        <w:rPr>
          <w:szCs w:val="18"/>
          <w:lang w:val="ru-RU"/>
        </w:rPr>
        <w:br/>
      </w:r>
      <w:proofErr w:type="spellStart"/>
      <w:r w:rsidRPr="00F0032A">
        <w:rPr>
          <w:szCs w:val="18"/>
          <w:lang w:val="ru-RU"/>
        </w:rPr>
        <w:t>WWQA%20Technical%20Advisory%20Committee.pdf</w:t>
      </w:r>
      <w:proofErr w:type="spellEnd"/>
      <w:r w:rsidRPr="00F0032A">
        <w:rPr>
          <w:szCs w:val="18"/>
          <w:lang w:val="ru-RU"/>
        </w:rPr>
        <w:t>.</w:t>
      </w:r>
    </w:p>
  </w:footnote>
  <w:footnote w:id="7">
    <w:p w14:paraId="24E24FDD" w14:textId="6BA2121B" w:rsidR="00D82F04" w:rsidRPr="00F0032A" w:rsidRDefault="00D82F04" w:rsidP="00F0032A">
      <w:pPr>
        <w:pStyle w:val="FootnoteText"/>
        <w:rPr>
          <w:szCs w:val="18"/>
          <w:lang w:val="ru-RU"/>
        </w:rPr>
      </w:pPr>
      <w:r w:rsidRPr="00F0032A">
        <w:rPr>
          <w:rStyle w:val="FootnoteReference"/>
          <w:sz w:val="18"/>
          <w:lang w:val="ru-RU"/>
        </w:rPr>
        <w:footnoteRef/>
      </w:r>
      <w:r w:rsidRPr="00F0032A">
        <w:rPr>
          <w:szCs w:val="18"/>
          <w:lang w:val="ru-RU"/>
        </w:rPr>
        <w:t xml:space="preserve"> </w:t>
      </w:r>
      <w:r w:rsidR="00F0032A" w:rsidRPr="00F0032A">
        <w:rPr>
          <w:szCs w:val="18"/>
          <w:lang w:val="ru-RU"/>
        </w:rPr>
        <w:tab/>
      </w:r>
      <w:r w:rsidRPr="00F0032A">
        <w:rPr>
          <w:szCs w:val="18"/>
          <w:lang w:val="ru-RU"/>
        </w:rPr>
        <w:t>См. https://communities.unep.org/display/WWQA/Governance?preview=/32407633/38306612/</w:t>
      </w:r>
      <w:r w:rsidR="00F0032A" w:rsidRPr="00F0032A">
        <w:rPr>
          <w:szCs w:val="18"/>
          <w:lang w:val="ru-RU"/>
        </w:rPr>
        <w:br/>
      </w:r>
      <w:proofErr w:type="spellStart"/>
      <w:r w:rsidRPr="00F0032A">
        <w:rPr>
          <w:szCs w:val="18"/>
          <w:lang w:val="ru-RU"/>
        </w:rPr>
        <w:t>WWQA%20Work%20Plan.pdf</w:t>
      </w:r>
      <w:proofErr w:type="spellEnd"/>
      <w:r w:rsidRPr="00F0032A">
        <w:rPr>
          <w:szCs w:val="18"/>
          <w:lang w:val="ru-RU"/>
        </w:rPr>
        <w:t>.</w:t>
      </w:r>
    </w:p>
  </w:footnote>
  <w:footnote w:id="8">
    <w:p w14:paraId="191E8AD5" w14:textId="5BCBBEFD" w:rsidR="00D82F04" w:rsidRPr="0024613B" w:rsidRDefault="00D82F04" w:rsidP="0024613B">
      <w:pPr>
        <w:pStyle w:val="FootnoteText"/>
        <w:rPr>
          <w:szCs w:val="18"/>
          <w:lang w:val="ru-RU"/>
        </w:rPr>
      </w:pPr>
      <w:r w:rsidRPr="0024613B">
        <w:rPr>
          <w:rStyle w:val="FootnoteReference"/>
          <w:sz w:val="18"/>
          <w:lang w:val="ru-RU"/>
        </w:rPr>
        <w:footnoteRef/>
      </w:r>
      <w:r w:rsidRPr="0024613B">
        <w:rPr>
          <w:szCs w:val="18"/>
          <w:lang w:val="ru-RU"/>
        </w:rPr>
        <w:t xml:space="preserve"> </w:t>
      </w:r>
      <w:r w:rsidR="0024613B" w:rsidRPr="0024613B">
        <w:rPr>
          <w:szCs w:val="18"/>
          <w:lang w:val="ru-RU"/>
        </w:rPr>
        <w:tab/>
      </w:r>
      <w:r w:rsidRPr="0024613B">
        <w:rPr>
          <w:szCs w:val="18"/>
          <w:lang w:val="ru-RU"/>
        </w:rPr>
        <w:t xml:space="preserve">См. </w:t>
      </w:r>
      <w:proofErr w:type="spellStart"/>
      <w:r w:rsidRPr="0024613B">
        <w:rPr>
          <w:szCs w:val="18"/>
          <w:lang w:val="ru-RU"/>
        </w:rPr>
        <w:t>www.globe-wq.info</w:t>
      </w:r>
      <w:proofErr w:type="spellEnd"/>
      <w:r w:rsidRPr="0024613B">
        <w:rPr>
          <w:szCs w:val="18"/>
          <w:lang w:val="ru-RU"/>
        </w:rPr>
        <w:t>.</w:t>
      </w:r>
    </w:p>
  </w:footnote>
  <w:footnote w:id="9">
    <w:p w14:paraId="43C0D409" w14:textId="533E7C32" w:rsidR="00D82F04" w:rsidRPr="00D020A4" w:rsidRDefault="00D82F04" w:rsidP="00D020A4">
      <w:pPr>
        <w:pStyle w:val="FootnoteText"/>
        <w:rPr>
          <w:szCs w:val="18"/>
          <w:lang w:val="ru-RU"/>
        </w:rPr>
      </w:pPr>
      <w:r w:rsidRPr="00D020A4">
        <w:rPr>
          <w:rStyle w:val="FootnoteReference"/>
          <w:sz w:val="18"/>
          <w:lang w:val="ru-RU"/>
        </w:rPr>
        <w:footnoteRef/>
      </w:r>
      <w:r w:rsidRPr="00D020A4">
        <w:rPr>
          <w:szCs w:val="18"/>
          <w:lang w:val="ru-RU"/>
        </w:rPr>
        <w:t xml:space="preserve"> </w:t>
      </w:r>
      <w:r w:rsidR="00D020A4" w:rsidRPr="00D020A4">
        <w:rPr>
          <w:szCs w:val="18"/>
          <w:lang w:val="ru-RU"/>
        </w:rPr>
        <w:tab/>
      </w:r>
      <w:r w:rsidRPr="00D020A4">
        <w:rPr>
          <w:szCs w:val="18"/>
          <w:lang w:val="ru-RU"/>
        </w:rPr>
        <w:t>См. www.unwater.org/un-water-launch-the-sdg-6-global-acceleration-framework/.</w:t>
      </w:r>
    </w:p>
  </w:footnote>
  <w:footnote w:id="10">
    <w:p w14:paraId="5793421F" w14:textId="110C3100" w:rsidR="00D82F04" w:rsidRPr="00DA250E" w:rsidRDefault="00D82F04" w:rsidP="00DA250E">
      <w:pPr>
        <w:pStyle w:val="FootnoteText"/>
        <w:rPr>
          <w:szCs w:val="18"/>
        </w:rPr>
      </w:pPr>
      <w:r w:rsidRPr="00DA250E">
        <w:rPr>
          <w:rStyle w:val="FootnoteReference"/>
          <w:sz w:val="18"/>
          <w:lang w:val="ru-RU"/>
        </w:rPr>
        <w:footnoteRef/>
      </w:r>
      <w:r w:rsidRPr="00DA250E">
        <w:rPr>
          <w:szCs w:val="18"/>
        </w:rPr>
        <w:t xml:space="preserve"> </w:t>
      </w:r>
      <w:r w:rsidR="00DA250E" w:rsidRPr="00DA250E">
        <w:rPr>
          <w:szCs w:val="18"/>
        </w:rPr>
        <w:tab/>
      </w:r>
      <w:r w:rsidRPr="00DA250E">
        <w:rPr>
          <w:szCs w:val="18"/>
          <w:lang w:val="ru-RU"/>
        </w:rPr>
        <w:t>См</w:t>
      </w:r>
      <w:r w:rsidRPr="00DA250E">
        <w:rPr>
          <w:szCs w:val="18"/>
        </w:rPr>
        <w:t xml:space="preserve">. Bernd Manfred </w:t>
      </w:r>
      <w:proofErr w:type="spellStart"/>
      <w:r w:rsidRPr="00DA250E">
        <w:rPr>
          <w:szCs w:val="18"/>
        </w:rPr>
        <w:t>Gawlik</w:t>
      </w:r>
      <w:proofErr w:type="spellEnd"/>
      <w:r w:rsidRPr="00DA250E">
        <w:rPr>
          <w:szCs w:val="18"/>
        </w:rPr>
        <w:t xml:space="preserve"> and others, </w:t>
      </w:r>
      <w:r w:rsidR="00446C23">
        <w:rPr>
          <w:szCs w:val="18"/>
          <w:lang w:val="ru-RU"/>
        </w:rPr>
        <w:t>«</w:t>
      </w:r>
      <w:r w:rsidRPr="00DA250E">
        <w:rPr>
          <w:szCs w:val="18"/>
        </w:rPr>
        <w:t>The scientist, the politician, the artist and the citizen: how water united them</w:t>
      </w:r>
      <w:r w:rsidR="00446C23">
        <w:rPr>
          <w:szCs w:val="18"/>
          <w:lang w:val="ru-RU"/>
        </w:rPr>
        <w:t>»</w:t>
      </w:r>
      <w:r w:rsidRPr="00DA250E">
        <w:rPr>
          <w:szCs w:val="18"/>
        </w:rPr>
        <w:t xml:space="preserve">, </w:t>
      </w:r>
      <w:r w:rsidRPr="00DA250E">
        <w:rPr>
          <w:i/>
          <w:iCs/>
          <w:szCs w:val="18"/>
        </w:rPr>
        <w:t>Environmental Sciences Europe</w:t>
      </w:r>
      <w:r w:rsidRPr="00DA250E">
        <w:rPr>
          <w:szCs w:val="18"/>
        </w:rPr>
        <w:t xml:space="preserve">, vol. 30, article 12 (2018). </w:t>
      </w:r>
    </w:p>
  </w:footnote>
  <w:footnote w:id="11">
    <w:p w14:paraId="475C8BD5" w14:textId="0BC652C4" w:rsidR="00D82F04" w:rsidRPr="005D50F6" w:rsidRDefault="00D82F04" w:rsidP="005D50F6">
      <w:pPr>
        <w:pStyle w:val="FootnoteText"/>
        <w:rPr>
          <w:szCs w:val="18"/>
          <w:lang w:val="ru-RU"/>
        </w:rPr>
      </w:pPr>
      <w:r w:rsidRPr="005D50F6">
        <w:rPr>
          <w:rStyle w:val="FootnoteReference"/>
          <w:sz w:val="18"/>
          <w:lang w:val="ru-RU"/>
        </w:rPr>
        <w:footnoteRef/>
      </w:r>
      <w:r w:rsidRPr="005D50F6">
        <w:rPr>
          <w:szCs w:val="18"/>
          <w:lang w:val="ru-RU"/>
        </w:rPr>
        <w:t xml:space="preserve"> </w:t>
      </w:r>
      <w:r w:rsidR="005D50F6" w:rsidRPr="005D50F6">
        <w:rPr>
          <w:szCs w:val="18"/>
          <w:lang w:val="ru-RU"/>
        </w:rPr>
        <w:tab/>
      </w:r>
      <w:r w:rsidRPr="005D50F6">
        <w:rPr>
          <w:szCs w:val="18"/>
          <w:lang w:val="ru-RU"/>
        </w:rPr>
        <w:t xml:space="preserve">Имеется по адресу: </w:t>
      </w:r>
      <w:proofErr w:type="spellStart"/>
      <w:r w:rsidRPr="005D50F6">
        <w:rPr>
          <w:szCs w:val="18"/>
          <w:lang w:val="ru-RU"/>
        </w:rPr>
        <w:t>https</w:t>
      </w:r>
      <w:proofErr w:type="spellEnd"/>
      <w:r w:rsidRPr="005D50F6">
        <w:rPr>
          <w:szCs w:val="18"/>
          <w:lang w:val="ru-RU"/>
        </w:rPr>
        <w:t>://</w:t>
      </w:r>
      <w:proofErr w:type="spellStart"/>
      <w:r w:rsidRPr="005D50F6">
        <w:rPr>
          <w:szCs w:val="18"/>
          <w:lang w:val="ru-RU"/>
        </w:rPr>
        <w:t>tools.waterpathogens.org</w:t>
      </w:r>
      <w:proofErr w:type="spellEnd"/>
      <w:r w:rsidRPr="005D50F6">
        <w:rPr>
          <w:szCs w:val="18"/>
          <w:lang w:val="ru-RU"/>
        </w:rPr>
        <w:t>/</w:t>
      </w:r>
      <w:proofErr w:type="spellStart"/>
      <w:r w:rsidRPr="005D50F6">
        <w:rPr>
          <w:szCs w:val="18"/>
          <w:lang w:val="ru-RU"/>
        </w:rPr>
        <w:t>maps</w:t>
      </w:r>
      <w:proofErr w:type="spellEnd"/>
      <w:r w:rsidRPr="005D50F6">
        <w:rPr>
          <w:szCs w:val="18"/>
          <w:lang w:val="ru-RU"/>
        </w:rPr>
        <w:t>.</w:t>
      </w:r>
    </w:p>
  </w:footnote>
  <w:footnote w:id="12">
    <w:p w14:paraId="446D4BC9" w14:textId="17833126" w:rsidR="00D82F04" w:rsidRPr="005D50F6" w:rsidRDefault="00D82F04" w:rsidP="005D50F6">
      <w:pPr>
        <w:pStyle w:val="FootnoteText"/>
        <w:rPr>
          <w:szCs w:val="18"/>
          <w:lang w:val="ru-RU"/>
        </w:rPr>
      </w:pPr>
      <w:r w:rsidRPr="005D50F6">
        <w:rPr>
          <w:rStyle w:val="FootnoteReference"/>
          <w:sz w:val="18"/>
          <w:lang w:val="ru-RU"/>
        </w:rPr>
        <w:footnoteRef/>
      </w:r>
      <w:r w:rsidRPr="005D50F6">
        <w:rPr>
          <w:szCs w:val="18"/>
          <w:lang w:val="ru-RU"/>
        </w:rPr>
        <w:t xml:space="preserve"> </w:t>
      </w:r>
      <w:r w:rsidR="005D50F6" w:rsidRPr="005D50F6">
        <w:rPr>
          <w:szCs w:val="18"/>
          <w:lang w:val="ru-RU"/>
        </w:rPr>
        <w:tab/>
      </w:r>
      <w:r w:rsidRPr="005D50F6">
        <w:rPr>
          <w:szCs w:val="18"/>
          <w:lang w:val="ru-RU"/>
        </w:rPr>
        <w:t xml:space="preserve">См. </w:t>
      </w:r>
      <w:proofErr w:type="spellStart"/>
      <w:r w:rsidRPr="005D50F6">
        <w:rPr>
          <w:szCs w:val="18"/>
          <w:lang w:val="ru-RU"/>
        </w:rPr>
        <w:t>https</w:t>
      </w:r>
      <w:proofErr w:type="spellEnd"/>
      <w:r w:rsidRPr="005D50F6">
        <w:rPr>
          <w:szCs w:val="18"/>
          <w:lang w:val="ru-RU"/>
        </w:rPr>
        <w:t>://</w:t>
      </w:r>
      <w:proofErr w:type="spellStart"/>
      <w:r w:rsidRPr="005D50F6">
        <w:rPr>
          <w:szCs w:val="18"/>
          <w:lang w:val="ru-RU"/>
        </w:rPr>
        <w:t>environmentlive.unep.org</w:t>
      </w:r>
      <w:proofErr w:type="spellEnd"/>
      <w:r w:rsidRPr="005D50F6">
        <w:rPr>
          <w:szCs w:val="18"/>
          <w:lang w:val="ru-RU"/>
        </w:rPr>
        <w:t>/</w:t>
      </w:r>
      <w:proofErr w:type="spellStart"/>
      <w:r w:rsidRPr="005D50F6">
        <w:rPr>
          <w:szCs w:val="18"/>
          <w:lang w:val="ru-RU"/>
        </w:rPr>
        <w:t>foresight</w:t>
      </w:r>
      <w:proofErr w:type="spellEnd"/>
      <w:r w:rsidRPr="005D50F6">
        <w:rPr>
          <w:szCs w:val="18"/>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AA929" w14:textId="59E4CAD8" w:rsidR="00455F0E" w:rsidRPr="00AC2416" w:rsidRDefault="00455F0E" w:rsidP="00455F0E">
    <w:pPr>
      <w:pStyle w:val="Header"/>
      <w:tabs>
        <w:tab w:val="clear" w:pos="4536"/>
        <w:tab w:val="clear" w:pos="9072"/>
      </w:tabs>
      <w:rPr>
        <w:rFonts w:eastAsia="Times New Roman"/>
        <w:szCs w:val="18"/>
        <w:lang w:val="uk-UA"/>
      </w:rPr>
    </w:pPr>
    <w:r>
      <w:rPr>
        <w:szCs w:val="18"/>
        <w:lang w:val="en-US"/>
      </w:rPr>
      <w:t>UNEP/</w:t>
    </w:r>
    <w:proofErr w:type="spellStart"/>
    <w:r>
      <w:rPr>
        <w:szCs w:val="18"/>
        <w:lang w:val="en-US"/>
      </w:rPr>
      <w:t>EA.</w:t>
    </w:r>
    <w:r w:rsidR="00482795">
      <w:rPr>
        <w:szCs w:val="18"/>
        <w:lang w:val="en-US"/>
      </w:rPr>
      <w:t>5</w:t>
    </w:r>
    <w:proofErr w:type="spellEnd"/>
    <w:r w:rsidR="00482795">
      <w:rPr>
        <w:szCs w:val="18"/>
        <w:lang w:val="en-US"/>
      </w:rPr>
      <w:t>/</w:t>
    </w:r>
    <w:r w:rsidR="00DE5B83">
      <w:rPr>
        <w:szCs w:val="18"/>
        <w:lang w:val="en-US"/>
      </w:rPr>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40CDBA" w14:textId="7C1821A1" w:rsidR="00455F0E" w:rsidRPr="00AC2416" w:rsidRDefault="00455F0E" w:rsidP="00455F0E">
    <w:pPr>
      <w:pStyle w:val="Header"/>
      <w:tabs>
        <w:tab w:val="clear" w:pos="4536"/>
        <w:tab w:val="clear" w:pos="9072"/>
      </w:tabs>
      <w:jc w:val="right"/>
      <w:rPr>
        <w:rFonts w:eastAsia="Times New Roman"/>
        <w:szCs w:val="18"/>
        <w:lang w:val="uk-UA"/>
      </w:rPr>
    </w:pPr>
    <w:r>
      <w:rPr>
        <w:szCs w:val="18"/>
        <w:lang w:val="en-US"/>
      </w:rPr>
      <w:t>UNEP/</w:t>
    </w:r>
    <w:proofErr w:type="spellStart"/>
    <w:r>
      <w:rPr>
        <w:szCs w:val="18"/>
        <w:lang w:val="en-US"/>
      </w:rPr>
      <w:t>EA.</w:t>
    </w:r>
    <w:r w:rsidR="00482795">
      <w:rPr>
        <w:szCs w:val="18"/>
        <w:lang w:val="en-US"/>
      </w:rPr>
      <w:t>5</w:t>
    </w:r>
    <w:proofErr w:type="spellEnd"/>
    <w:r w:rsidR="00482795">
      <w:rPr>
        <w:szCs w:val="18"/>
        <w:lang w:val="en-US"/>
      </w:rPr>
      <w:t>/</w:t>
    </w:r>
    <w:r w:rsidR="00DE5B83">
      <w:rPr>
        <w:szCs w:val="18"/>
        <w:lang w:val="en-US"/>
      </w:rPr>
      <w:t>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9789B" w14:textId="77777777" w:rsidR="00431BBF" w:rsidRDefault="00431BBF">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6361F06"/>
    <w:lvl w:ilvl="0">
      <w:start w:val="1"/>
      <w:numFmt w:val="decimal"/>
      <w:lvlText w:val="%1."/>
      <w:lvlJc w:val="left"/>
      <w:pPr>
        <w:tabs>
          <w:tab w:val="num" w:pos="3826"/>
        </w:tabs>
        <w:ind w:left="3826" w:hanging="360"/>
      </w:pPr>
    </w:lvl>
  </w:abstractNum>
  <w:abstractNum w:abstractNumId="1" w15:restartNumberingAfterBreak="0">
    <w:nsid w:val="FFFFFF7D"/>
    <w:multiLevelType w:val="singleLevel"/>
    <w:tmpl w:val="3662D4E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342482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D01F1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22A75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F3287A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2C4FB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8C4D62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06A024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F855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FC6981"/>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0CBD647A"/>
    <w:multiLevelType w:val="hybridMultilevel"/>
    <w:tmpl w:val="BFC8F32C"/>
    <w:lvl w:ilvl="0" w:tplc="695EDA44">
      <w:start w:val="1"/>
      <w:numFmt w:val="decimal"/>
      <w:lvlText w:val="%1."/>
      <w:lvlJc w:val="left"/>
      <w:pPr>
        <w:tabs>
          <w:tab w:val="num" w:pos="777"/>
        </w:tabs>
        <w:ind w:left="777" w:hanging="360"/>
      </w:pPr>
      <w:rPr>
        <w:rFonts w:hint="default"/>
      </w:rPr>
    </w:lvl>
    <w:lvl w:ilvl="1" w:tplc="04090019" w:tentative="1">
      <w:start w:val="1"/>
      <w:numFmt w:val="lowerLetter"/>
      <w:lvlText w:val="%2."/>
      <w:lvlJc w:val="left"/>
      <w:pPr>
        <w:tabs>
          <w:tab w:val="num" w:pos="1497"/>
        </w:tabs>
        <w:ind w:left="1497" w:hanging="360"/>
      </w:pPr>
    </w:lvl>
    <w:lvl w:ilvl="2" w:tplc="0409001B" w:tentative="1">
      <w:start w:val="1"/>
      <w:numFmt w:val="lowerRoman"/>
      <w:lvlText w:val="%3."/>
      <w:lvlJc w:val="right"/>
      <w:pPr>
        <w:tabs>
          <w:tab w:val="num" w:pos="2217"/>
        </w:tabs>
        <w:ind w:left="2217" w:hanging="180"/>
      </w:pPr>
    </w:lvl>
    <w:lvl w:ilvl="3" w:tplc="0409000F" w:tentative="1">
      <w:start w:val="1"/>
      <w:numFmt w:val="decimal"/>
      <w:lvlText w:val="%4."/>
      <w:lvlJc w:val="left"/>
      <w:pPr>
        <w:tabs>
          <w:tab w:val="num" w:pos="2937"/>
        </w:tabs>
        <w:ind w:left="2937" w:hanging="360"/>
      </w:pPr>
    </w:lvl>
    <w:lvl w:ilvl="4" w:tplc="04090019" w:tentative="1">
      <w:start w:val="1"/>
      <w:numFmt w:val="lowerLetter"/>
      <w:lvlText w:val="%5."/>
      <w:lvlJc w:val="left"/>
      <w:pPr>
        <w:tabs>
          <w:tab w:val="num" w:pos="3657"/>
        </w:tabs>
        <w:ind w:left="3657" w:hanging="360"/>
      </w:pPr>
    </w:lvl>
    <w:lvl w:ilvl="5" w:tplc="0409001B" w:tentative="1">
      <w:start w:val="1"/>
      <w:numFmt w:val="lowerRoman"/>
      <w:lvlText w:val="%6."/>
      <w:lvlJc w:val="right"/>
      <w:pPr>
        <w:tabs>
          <w:tab w:val="num" w:pos="4377"/>
        </w:tabs>
        <w:ind w:left="4377" w:hanging="180"/>
      </w:pPr>
    </w:lvl>
    <w:lvl w:ilvl="6" w:tplc="0409000F" w:tentative="1">
      <w:start w:val="1"/>
      <w:numFmt w:val="decimal"/>
      <w:lvlText w:val="%7."/>
      <w:lvlJc w:val="left"/>
      <w:pPr>
        <w:tabs>
          <w:tab w:val="num" w:pos="5097"/>
        </w:tabs>
        <w:ind w:left="5097" w:hanging="360"/>
      </w:pPr>
    </w:lvl>
    <w:lvl w:ilvl="7" w:tplc="04090019" w:tentative="1">
      <w:start w:val="1"/>
      <w:numFmt w:val="lowerLetter"/>
      <w:lvlText w:val="%8."/>
      <w:lvlJc w:val="left"/>
      <w:pPr>
        <w:tabs>
          <w:tab w:val="num" w:pos="5817"/>
        </w:tabs>
        <w:ind w:left="5817" w:hanging="360"/>
      </w:pPr>
    </w:lvl>
    <w:lvl w:ilvl="8" w:tplc="0409001B" w:tentative="1">
      <w:start w:val="1"/>
      <w:numFmt w:val="lowerRoman"/>
      <w:lvlText w:val="%9."/>
      <w:lvlJc w:val="right"/>
      <w:pPr>
        <w:tabs>
          <w:tab w:val="num" w:pos="6537"/>
        </w:tabs>
        <w:ind w:left="6537" w:hanging="180"/>
      </w:pPr>
    </w:lvl>
  </w:abstractNum>
  <w:abstractNum w:abstractNumId="12" w15:restartNumberingAfterBreak="0">
    <w:nsid w:val="12685253"/>
    <w:multiLevelType w:val="hybridMultilevel"/>
    <w:tmpl w:val="244E0C74"/>
    <w:lvl w:ilvl="0" w:tplc="695EDA44">
      <w:start w:val="1"/>
      <w:numFmt w:val="decimal"/>
      <w:lvlText w:val="%1."/>
      <w:lvlJc w:val="left"/>
      <w:pPr>
        <w:tabs>
          <w:tab w:val="num" w:pos="777"/>
        </w:tabs>
        <w:ind w:left="777" w:hanging="360"/>
      </w:pPr>
      <w:rPr>
        <w:rFonts w:hint="default"/>
      </w:rPr>
    </w:lvl>
    <w:lvl w:ilvl="1" w:tplc="04090019" w:tentative="1">
      <w:start w:val="1"/>
      <w:numFmt w:val="lowerLetter"/>
      <w:lvlText w:val="%2."/>
      <w:lvlJc w:val="left"/>
      <w:pPr>
        <w:tabs>
          <w:tab w:val="num" w:pos="1497"/>
        </w:tabs>
        <w:ind w:left="1497" w:hanging="360"/>
      </w:pPr>
    </w:lvl>
    <w:lvl w:ilvl="2" w:tplc="0409001B" w:tentative="1">
      <w:start w:val="1"/>
      <w:numFmt w:val="lowerRoman"/>
      <w:lvlText w:val="%3."/>
      <w:lvlJc w:val="right"/>
      <w:pPr>
        <w:tabs>
          <w:tab w:val="num" w:pos="2217"/>
        </w:tabs>
        <w:ind w:left="2217" w:hanging="180"/>
      </w:pPr>
    </w:lvl>
    <w:lvl w:ilvl="3" w:tplc="0409000F" w:tentative="1">
      <w:start w:val="1"/>
      <w:numFmt w:val="decimal"/>
      <w:lvlText w:val="%4."/>
      <w:lvlJc w:val="left"/>
      <w:pPr>
        <w:tabs>
          <w:tab w:val="num" w:pos="2937"/>
        </w:tabs>
        <w:ind w:left="2937" w:hanging="360"/>
      </w:pPr>
    </w:lvl>
    <w:lvl w:ilvl="4" w:tplc="04090019" w:tentative="1">
      <w:start w:val="1"/>
      <w:numFmt w:val="lowerLetter"/>
      <w:lvlText w:val="%5."/>
      <w:lvlJc w:val="left"/>
      <w:pPr>
        <w:tabs>
          <w:tab w:val="num" w:pos="3657"/>
        </w:tabs>
        <w:ind w:left="3657" w:hanging="360"/>
      </w:pPr>
    </w:lvl>
    <w:lvl w:ilvl="5" w:tplc="0409001B" w:tentative="1">
      <w:start w:val="1"/>
      <w:numFmt w:val="lowerRoman"/>
      <w:lvlText w:val="%6."/>
      <w:lvlJc w:val="right"/>
      <w:pPr>
        <w:tabs>
          <w:tab w:val="num" w:pos="4377"/>
        </w:tabs>
        <w:ind w:left="4377" w:hanging="180"/>
      </w:pPr>
    </w:lvl>
    <w:lvl w:ilvl="6" w:tplc="0409000F" w:tentative="1">
      <w:start w:val="1"/>
      <w:numFmt w:val="decimal"/>
      <w:lvlText w:val="%7."/>
      <w:lvlJc w:val="left"/>
      <w:pPr>
        <w:tabs>
          <w:tab w:val="num" w:pos="5097"/>
        </w:tabs>
        <w:ind w:left="5097" w:hanging="360"/>
      </w:pPr>
    </w:lvl>
    <w:lvl w:ilvl="7" w:tplc="04090019" w:tentative="1">
      <w:start w:val="1"/>
      <w:numFmt w:val="lowerLetter"/>
      <w:lvlText w:val="%8."/>
      <w:lvlJc w:val="left"/>
      <w:pPr>
        <w:tabs>
          <w:tab w:val="num" w:pos="5817"/>
        </w:tabs>
        <w:ind w:left="5817" w:hanging="360"/>
      </w:pPr>
    </w:lvl>
    <w:lvl w:ilvl="8" w:tplc="0409001B" w:tentative="1">
      <w:start w:val="1"/>
      <w:numFmt w:val="lowerRoman"/>
      <w:lvlText w:val="%9."/>
      <w:lvlJc w:val="right"/>
      <w:pPr>
        <w:tabs>
          <w:tab w:val="num" w:pos="6537"/>
        </w:tabs>
        <w:ind w:left="6537" w:hanging="180"/>
      </w:pPr>
    </w:lvl>
  </w:abstractNum>
  <w:abstractNum w:abstractNumId="13" w15:restartNumberingAfterBreak="0">
    <w:nsid w:val="148D24A2"/>
    <w:multiLevelType w:val="hybridMultilevel"/>
    <w:tmpl w:val="3E76C9F2"/>
    <w:lvl w:ilvl="0" w:tplc="B3C62E8C">
      <w:start w:val="3"/>
      <w:numFmt w:val="upperLetter"/>
      <w:lvlText w:val="%1."/>
      <w:lvlJc w:val="left"/>
      <w:pPr>
        <w:tabs>
          <w:tab w:val="num" w:pos="1242"/>
        </w:tabs>
        <w:ind w:left="1242" w:hanging="675"/>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14" w15:restartNumberingAfterBreak="0">
    <w:nsid w:val="152A22B2"/>
    <w:multiLevelType w:val="hybridMultilevel"/>
    <w:tmpl w:val="A10A66D0"/>
    <w:lvl w:ilvl="0" w:tplc="C318E702">
      <w:start w:val="1"/>
      <w:numFmt w:val="decimal"/>
      <w:lvlText w:val="%1"/>
      <w:lvlJc w:val="right"/>
      <w:pPr>
        <w:tabs>
          <w:tab w:val="num" w:pos="1146"/>
        </w:tabs>
        <w:ind w:left="1146" w:hanging="720"/>
      </w:pPr>
      <w:rPr>
        <w:rFonts w:ascii="Times New Roman" w:hAnsi="Times New Roman" w:hint="default"/>
        <w:sz w:val="16"/>
      </w:rPr>
    </w:lvl>
    <w:lvl w:ilvl="1" w:tplc="04090019" w:tentative="1">
      <w:start w:val="1"/>
      <w:numFmt w:val="lowerLetter"/>
      <w:lvlText w:val="%2."/>
      <w:lvlJc w:val="left"/>
      <w:pPr>
        <w:tabs>
          <w:tab w:val="num" w:pos="1866"/>
        </w:tabs>
        <w:ind w:left="1866" w:hanging="360"/>
      </w:pPr>
    </w:lvl>
    <w:lvl w:ilvl="2" w:tplc="0409001B" w:tentative="1">
      <w:start w:val="1"/>
      <w:numFmt w:val="lowerRoman"/>
      <w:lvlText w:val="%3."/>
      <w:lvlJc w:val="right"/>
      <w:pPr>
        <w:tabs>
          <w:tab w:val="num" w:pos="2586"/>
        </w:tabs>
        <w:ind w:left="2586" w:hanging="180"/>
      </w:pPr>
    </w:lvl>
    <w:lvl w:ilvl="3" w:tplc="0409000F" w:tentative="1">
      <w:start w:val="1"/>
      <w:numFmt w:val="decimal"/>
      <w:lvlText w:val="%4."/>
      <w:lvlJc w:val="left"/>
      <w:pPr>
        <w:tabs>
          <w:tab w:val="num" w:pos="3306"/>
        </w:tabs>
        <w:ind w:left="3306" w:hanging="360"/>
      </w:pPr>
    </w:lvl>
    <w:lvl w:ilvl="4" w:tplc="04090019" w:tentative="1">
      <w:start w:val="1"/>
      <w:numFmt w:val="lowerLetter"/>
      <w:lvlText w:val="%5."/>
      <w:lvlJc w:val="left"/>
      <w:pPr>
        <w:tabs>
          <w:tab w:val="num" w:pos="4026"/>
        </w:tabs>
        <w:ind w:left="4026" w:hanging="360"/>
      </w:pPr>
    </w:lvl>
    <w:lvl w:ilvl="5" w:tplc="0409001B" w:tentative="1">
      <w:start w:val="1"/>
      <w:numFmt w:val="lowerRoman"/>
      <w:lvlText w:val="%6."/>
      <w:lvlJc w:val="right"/>
      <w:pPr>
        <w:tabs>
          <w:tab w:val="num" w:pos="4746"/>
        </w:tabs>
        <w:ind w:left="4746" w:hanging="180"/>
      </w:pPr>
    </w:lvl>
    <w:lvl w:ilvl="6" w:tplc="0409000F" w:tentative="1">
      <w:start w:val="1"/>
      <w:numFmt w:val="decimal"/>
      <w:lvlText w:val="%7."/>
      <w:lvlJc w:val="left"/>
      <w:pPr>
        <w:tabs>
          <w:tab w:val="num" w:pos="5466"/>
        </w:tabs>
        <w:ind w:left="5466" w:hanging="360"/>
      </w:pPr>
    </w:lvl>
    <w:lvl w:ilvl="7" w:tplc="04090019" w:tentative="1">
      <w:start w:val="1"/>
      <w:numFmt w:val="lowerLetter"/>
      <w:lvlText w:val="%8."/>
      <w:lvlJc w:val="left"/>
      <w:pPr>
        <w:tabs>
          <w:tab w:val="num" w:pos="6186"/>
        </w:tabs>
        <w:ind w:left="6186" w:hanging="360"/>
      </w:pPr>
    </w:lvl>
    <w:lvl w:ilvl="8" w:tplc="0409001B" w:tentative="1">
      <w:start w:val="1"/>
      <w:numFmt w:val="lowerRoman"/>
      <w:lvlText w:val="%9."/>
      <w:lvlJc w:val="right"/>
      <w:pPr>
        <w:tabs>
          <w:tab w:val="num" w:pos="6906"/>
        </w:tabs>
        <w:ind w:left="6906" w:hanging="180"/>
      </w:pPr>
    </w:lvl>
  </w:abstractNum>
  <w:abstractNum w:abstractNumId="15" w15:restartNumberingAfterBreak="0">
    <w:nsid w:val="171113A7"/>
    <w:multiLevelType w:val="multilevel"/>
    <w:tmpl w:val="48241D10"/>
    <w:numStyleLink w:val="Normallist"/>
  </w:abstractNum>
  <w:abstractNum w:abstractNumId="16"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7" w15:restartNumberingAfterBreak="0">
    <w:nsid w:val="1DA33D8C"/>
    <w:multiLevelType w:val="multilevel"/>
    <w:tmpl w:val="040C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29D92754"/>
    <w:multiLevelType w:val="hybridMultilevel"/>
    <w:tmpl w:val="ECBA1E6C"/>
    <w:lvl w:ilvl="0" w:tplc="695EDA44">
      <w:start w:val="1"/>
      <w:numFmt w:val="decimal"/>
      <w:lvlText w:val="%1."/>
      <w:lvlJc w:val="left"/>
      <w:pPr>
        <w:tabs>
          <w:tab w:val="num" w:pos="777"/>
        </w:tabs>
        <w:ind w:left="777" w:hanging="360"/>
      </w:pPr>
      <w:rPr>
        <w:rFonts w:hint="default"/>
      </w:rPr>
    </w:lvl>
    <w:lvl w:ilvl="1" w:tplc="04090019" w:tentative="1">
      <w:start w:val="1"/>
      <w:numFmt w:val="lowerLetter"/>
      <w:lvlText w:val="%2."/>
      <w:lvlJc w:val="left"/>
      <w:pPr>
        <w:tabs>
          <w:tab w:val="num" w:pos="1497"/>
        </w:tabs>
        <w:ind w:left="1497" w:hanging="360"/>
      </w:pPr>
    </w:lvl>
    <w:lvl w:ilvl="2" w:tplc="0409001B" w:tentative="1">
      <w:start w:val="1"/>
      <w:numFmt w:val="lowerRoman"/>
      <w:lvlText w:val="%3."/>
      <w:lvlJc w:val="right"/>
      <w:pPr>
        <w:tabs>
          <w:tab w:val="num" w:pos="2217"/>
        </w:tabs>
        <w:ind w:left="2217" w:hanging="180"/>
      </w:pPr>
    </w:lvl>
    <w:lvl w:ilvl="3" w:tplc="0409000F" w:tentative="1">
      <w:start w:val="1"/>
      <w:numFmt w:val="decimal"/>
      <w:lvlText w:val="%4."/>
      <w:lvlJc w:val="left"/>
      <w:pPr>
        <w:tabs>
          <w:tab w:val="num" w:pos="2937"/>
        </w:tabs>
        <w:ind w:left="2937" w:hanging="360"/>
      </w:pPr>
    </w:lvl>
    <w:lvl w:ilvl="4" w:tplc="04090019" w:tentative="1">
      <w:start w:val="1"/>
      <w:numFmt w:val="lowerLetter"/>
      <w:lvlText w:val="%5."/>
      <w:lvlJc w:val="left"/>
      <w:pPr>
        <w:tabs>
          <w:tab w:val="num" w:pos="3657"/>
        </w:tabs>
        <w:ind w:left="3657" w:hanging="360"/>
      </w:pPr>
    </w:lvl>
    <w:lvl w:ilvl="5" w:tplc="0409001B" w:tentative="1">
      <w:start w:val="1"/>
      <w:numFmt w:val="lowerRoman"/>
      <w:lvlText w:val="%6."/>
      <w:lvlJc w:val="right"/>
      <w:pPr>
        <w:tabs>
          <w:tab w:val="num" w:pos="4377"/>
        </w:tabs>
        <w:ind w:left="4377" w:hanging="180"/>
      </w:pPr>
    </w:lvl>
    <w:lvl w:ilvl="6" w:tplc="0409000F" w:tentative="1">
      <w:start w:val="1"/>
      <w:numFmt w:val="decimal"/>
      <w:lvlText w:val="%7."/>
      <w:lvlJc w:val="left"/>
      <w:pPr>
        <w:tabs>
          <w:tab w:val="num" w:pos="5097"/>
        </w:tabs>
        <w:ind w:left="5097" w:hanging="360"/>
      </w:pPr>
    </w:lvl>
    <w:lvl w:ilvl="7" w:tplc="04090019" w:tentative="1">
      <w:start w:val="1"/>
      <w:numFmt w:val="lowerLetter"/>
      <w:lvlText w:val="%8."/>
      <w:lvlJc w:val="left"/>
      <w:pPr>
        <w:tabs>
          <w:tab w:val="num" w:pos="5817"/>
        </w:tabs>
        <w:ind w:left="5817" w:hanging="360"/>
      </w:pPr>
    </w:lvl>
    <w:lvl w:ilvl="8" w:tplc="0409001B" w:tentative="1">
      <w:start w:val="1"/>
      <w:numFmt w:val="lowerRoman"/>
      <w:lvlText w:val="%9."/>
      <w:lvlJc w:val="right"/>
      <w:pPr>
        <w:tabs>
          <w:tab w:val="num" w:pos="6537"/>
        </w:tabs>
        <w:ind w:left="6537" w:hanging="180"/>
      </w:pPr>
    </w:lvl>
  </w:abstractNum>
  <w:abstractNum w:abstractNumId="19" w15:restartNumberingAfterBreak="0">
    <w:nsid w:val="2C3B0D05"/>
    <w:multiLevelType w:val="hybridMultilevel"/>
    <w:tmpl w:val="C0227916"/>
    <w:lvl w:ilvl="0" w:tplc="FFFFFFFF">
      <w:start w:val="1"/>
      <w:numFmt w:val="upperLetter"/>
      <w:lvlText w:val="%1."/>
      <w:lvlJc w:val="left"/>
      <w:pPr>
        <w:tabs>
          <w:tab w:val="num" w:pos="1239"/>
        </w:tabs>
        <w:ind w:left="1239" w:hanging="615"/>
      </w:pPr>
      <w:rPr>
        <w:rFonts w:hint="default"/>
      </w:rPr>
    </w:lvl>
    <w:lvl w:ilvl="1" w:tplc="FFFFFFFF" w:tentative="1">
      <w:start w:val="1"/>
      <w:numFmt w:val="lowerLetter"/>
      <w:lvlText w:val="%2."/>
      <w:lvlJc w:val="left"/>
      <w:pPr>
        <w:tabs>
          <w:tab w:val="num" w:pos="1704"/>
        </w:tabs>
        <w:ind w:left="1704" w:hanging="360"/>
      </w:pPr>
    </w:lvl>
    <w:lvl w:ilvl="2" w:tplc="FFFFFFFF" w:tentative="1">
      <w:start w:val="1"/>
      <w:numFmt w:val="lowerRoman"/>
      <w:lvlText w:val="%3."/>
      <w:lvlJc w:val="right"/>
      <w:pPr>
        <w:tabs>
          <w:tab w:val="num" w:pos="2424"/>
        </w:tabs>
        <w:ind w:left="2424" w:hanging="180"/>
      </w:pPr>
    </w:lvl>
    <w:lvl w:ilvl="3" w:tplc="FFFFFFFF" w:tentative="1">
      <w:start w:val="1"/>
      <w:numFmt w:val="decimal"/>
      <w:lvlText w:val="%4."/>
      <w:lvlJc w:val="left"/>
      <w:pPr>
        <w:tabs>
          <w:tab w:val="num" w:pos="3144"/>
        </w:tabs>
        <w:ind w:left="3144" w:hanging="360"/>
      </w:pPr>
    </w:lvl>
    <w:lvl w:ilvl="4" w:tplc="FFFFFFFF" w:tentative="1">
      <w:start w:val="1"/>
      <w:numFmt w:val="lowerLetter"/>
      <w:lvlText w:val="%5."/>
      <w:lvlJc w:val="left"/>
      <w:pPr>
        <w:tabs>
          <w:tab w:val="num" w:pos="3864"/>
        </w:tabs>
        <w:ind w:left="3864" w:hanging="360"/>
      </w:pPr>
    </w:lvl>
    <w:lvl w:ilvl="5" w:tplc="FFFFFFFF" w:tentative="1">
      <w:start w:val="1"/>
      <w:numFmt w:val="lowerRoman"/>
      <w:lvlText w:val="%6."/>
      <w:lvlJc w:val="right"/>
      <w:pPr>
        <w:tabs>
          <w:tab w:val="num" w:pos="4584"/>
        </w:tabs>
        <w:ind w:left="4584" w:hanging="180"/>
      </w:pPr>
    </w:lvl>
    <w:lvl w:ilvl="6" w:tplc="FFFFFFFF" w:tentative="1">
      <w:start w:val="1"/>
      <w:numFmt w:val="decimal"/>
      <w:lvlText w:val="%7."/>
      <w:lvlJc w:val="left"/>
      <w:pPr>
        <w:tabs>
          <w:tab w:val="num" w:pos="5304"/>
        </w:tabs>
        <w:ind w:left="5304" w:hanging="360"/>
      </w:pPr>
    </w:lvl>
    <w:lvl w:ilvl="7" w:tplc="FFFFFFFF" w:tentative="1">
      <w:start w:val="1"/>
      <w:numFmt w:val="lowerLetter"/>
      <w:lvlText w:val="%8."/>
      <w:lvlJc w:val="left"/>
      <w:pPr>
        <w:tabs>
          <w:tab w:val="num" w:pos="6024"/>
        </w:tabs>
        <w:ind w:left="6024" w:hanging="360"/>
      </w:pPr>
    </w:lvl>
    <w:lvl w:ilvl="8" w:tplc="FFFFFFFF" w:tentative="1">
      <w:start w:val="1"/>
      <w:numFmt w:val="lowerRoman"/>
      <w:lvlText w:val="%9."/>
      <w:lvlJc w:val="right"/>
      <w:pPr>
        <w:tabs>
          <w:tab w:val="num" w:pos="6744"/>
        </w:tabs>
        <w:ind w:left="6744" w:hanging="180"/>
      </w:pPr>
    </w:lvl>
  </w:abstractNum>
  <w:abstractNum w:abstractNumId="20"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1" w15:restartNumberingAfterBreak="0">
    <w:nsid w:val="39E121E8"/>
    <w:multiLevelType w:val="hybridMultilevel"/>
    <w:tmpl w:val="66786336"/>
    <w:lvl w:ilvl="0" w:tplc="24BC89C8">
      <w:start w:val="3"/>
      <w:numFmt w:val="decimal"/>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DAD6749"/>
    <w:multiLevelType w:val="multilevel"/>
    <w:tmpl w:val="6C6ABE72"/>
    <w:lvl w:ilvl="0">
      <w:start w:val="1"/>
      <w:numFmt w:val="decimal"/>
      <w:lvlText w:val="%1."/>
      <w:lvlJc w:val="left"/>
      <w:pPr>
        <w:tabs>
          <w:tab w:val="num" w:pos="777"/>
        </w:tabs>
        <w:ind w:left="777" w:hanging="360"/>
      </w:pPr>
      <w:rPr>
        <w:rFonts w:hint="default"/>
      </w:rPr>
    </w:lvl>
    <w:lvl w:ilvl="1">
      <w:start w:val="1"/>
      <w:numFmt w:val="lowerLetter"/>
      <w:lvlText w:val="%2."/>
      <w:lvlJc w:val="left"/>
      <w:pPr>
        <w:tabs>
          <w:tab w:val="num" w:pos="1497"/>
        </w:tabs>
        <w:ind w:left="1497" w:hanging="360"/>
      </w:pPr>
    </w:lvl>
    <w:lvl w:ilvl="2">
      <w:start w:val="1"/>
      <w:numFmt w:val="lowerRoman"/>
      <w:lvlText w:val="%3."/>
      <w:lvlJc w:val="right"/>
      <w:pPr>
        <w:tabs>
          <w:tab w:val="num" w:pos="2217"/>
        </w:tabs>
        <w:ind w:left="2217" w:hanging="180"/>
      </w:pPr>
    </w:lvl>
    <w:lvl w:ilvl="3">
      <w:start w:val="1"/>
      <w:numFmt w:val="decimal"/>
      <w:lvlText w:val="%4."/>
      <w:lvlJc w:val="left"/>
      <w:pPr>
        <w:tabs>
          <w:tab w:val="num" w:pos="2937"/>
        </w:tabs>
        <w:ind w:left="2937" w:hanging="360"/>
      </w:pPr>
    </w:lvl>
    <w:lvl w:ilvl="4">
      <w:start w:val="1"/>
      <w:numFmt w:val="lowerLetter"/>
      <w:lvlText w:val="%5."/>
      <w:lvlJc w:val="left"/>
      <w:pPr>
        <w:tabs>
          <w:tab w:val="num" w:pos="3657"/>
        </w:tabs>
        <w:ind w:left="3657" w:hanging="360"/>
      </w:pPr>
    </w:lvl>
    <w:lvl w:ilvl="5">
      <w:start w:val="1"/>
      <w:numFmt w:val="lowerRoman"/>
      <w:lvlText w:val="%6."/>
      <w:lvlJc w:val="right"/>
      <w:pPr>
        <w:tabs>
          <w:tab w:val="num" w:pos="4377"/>
        </w:tabs>
        <w:ind w:left="4377" w:hanging="180"/>
      </w:pPr>
    </w:lvl>
    <w:lvl w:ilvl="6">
      <w:start w:val="1"/>
      <w:numFmt w:val="decimal"/>
      <w:lvlText w:val="%7."/>
      <w:lvlJc w:val="left"/>
      <w:pPr>
        <w:tabs>
          <w:tab w:val="num" w:pos="5097"/>
        </w:tabs>
        <w:ind w:left="5097" w:hanging="360"/>
      </w:pPr>
    </w:lvl>
    <w:lvl w:ilvl="7">
      <w:start w:val="1"/>
      <w:numFmt w:val="lowerLetter"/>
      <w:lvlText w:val="%8."/>
      <w:lvlJc w:val="left"/>
      <w:pPr>
        <w:tabs>
          <w:tab w:val="num" w:pos="5817"/>
        </w:tabs>
        <w:ind w:left="5817" w:hanging="360"/>
      </w:pPr>
    </w:lvl>
    <w:lvl w:ilvl="8">
      <w:start w:val="1"/>
      <w:numFmt w:val="lowerRoman"/>
      <w:lvlText w:val="%9."/>
      <w:lvlJc w:val="right"/>
      <w:pPr>
        <w:tabs>
          <w:tab w:val="num" w:pos="6537"/>
        </w:tabs>
        <w:ind w:left="6537" w:hanging="180"/>
      </w:pPr>
    </w:lvl>
  </w:abstractNum>
  <w:abstractNum w:abstractNumId="23" w15:restartNumberingAfterBreak="0">
    <w:nsid w:val="3DC2761C"/>
    <w:multiLevelType w:val="multilevel"/>
    <w:tmpl w:val="244E0C74"/>
    <w:lvl w:ilvl="0">
      <w:start w:val="1"/>
      <w:numFmt w:val="decimal"/>
      <w:lvlText w:val="%1."/>
      <w:lvlJc w:val="left"/>
      <w:pPr>
        <w:tabs>
          <w:tab w:val="num" w:pos="777"/>
        </w:tabs>
        <w:ind w:left="777" w:hanging="360"/>
      </w:pPr>
      <w:rPr>
        <w:rFonts w:hint="default"/>
      </w:rPr>
    </w:lvl>
    <w:lvl w:ilvl="1">
      <w:start w:val="1"/>
      <w:numFmt w:val="lowerLetter"/>
      <w:lvlText w:val="%2."/>
      <w:lvlJc w:val="left"/>
      <w:pPr>
        <w:tabs>
          <w:tab w:val="num" w:pos="1497"/>
        </w:tabs>
        <w:ind w:left="1497" w:hanging="360"/>
      </w:pPr>
    </w:lvl>
    <w:lvl w:ilvl="2">
      <w:start w:val="1"/>
      <w:numFmt w:val="lowerRoman"/>
      <w:lvlText w:val="%3."/>
      <w:lvlJc w:val="right"/>
      <w:pPr>
        <w:tabs>
          <w:tab w:val="num" w:pos="2217"/>
        </w:tabs>
        <w:ind w:left="2217" w:hanging="180"/>
      </w:pPr>
    </w:lvl>
    <w:lvl w:ilvl="3">
      <w:start w:val="1"/>
      <w:numFmt w:val="decimal"/>
      <w:lvlText w:val="%4."/>
      <w:lvlJc w:val="left"/>
      <w:pPr>
        <w:tabs>
          <w:tab w:val="num" w:pos="2937"/>
        </w:tabs>
        <w:ind w:left="2937" w:hanging="360"/>
      </w:pPr>
    </w:lvl>
    <w:lvl w:ilvl="4">
      <w:start w:val="1"/>
      <w:numFmt w:val="lowerLetter"/>
      <w:lvlText w:val="%5."/>
      <w:lvlJc w:val="left"/>
      <w:pPr>
        <w:tabs>
          <w:tab w:val="num" w:pos="3657"/>
        </w:tabs>
        <w:ind w:left="3657" w:hanging="360"/>
      </w:pPr>
    </w:lvl>
    <w:lvl w:ilvl="5">
      <w:start w:val="1"/>
      <w:numFmt w:val="lowerRoman"/>
      <w:lvlText w:val="%6."/>
      <w:lvlJc w:val="right"/>
      <w:pPr>
        <w:tabs>
          <w:tab w:val="num" w:pos="4377"/>
        </w:tabs>
        <w:ind w:left="4377" w:hanging="180"/>
      </w:pPr>
    </w:lvl>
    <w:lvl w:ilvl="6">
      <w:start w:val="1"/>
      <w:numFmt w:val="decimal"/>
      <w:lvlText w:val="%7."/>
      <w:lvlJc w:val="left"/>
      <w:pPr>
        <w:tabs>
          <w:tab w:val="num" w:pos="5097"/>
        </w:tabs>
        <w:ind w:left="5097" w:hanging="360"/>
      </w:pPr>
    </w:lvl>
    <w:lvl w:ilvl="7">
      <w:start w:val="1"/>
      <w:numFmt w:val="lowerLetter"/>
      <w:lvlText w:val="%8."/>
      <w:lvlJc w:val="left"/>
      <w:pPr>
        <w:tabs>
          <w:tab w:val="num" w:pos="5817"/>
        </w:tabs>
        <w:ind w:left="5817" w:hanging="360"/>
      </w:pPr>
    </w:lvl>
    <w:lvl w:ilvl="8">
      <w:start w:val="1"/>
      <w:numFmt w:val="lowerRoman"/>
      <w:lvlText w:val="%9."/>
      <w:lvlJc w:val="right"/>
      <w:pPr>
        <w:tabs>
          <w:tab w:val="num" w:pos="6537"/>
        </w:tabs>
        <w:ind w:left="6537" w:hanging="180"/>
      </w:pPr>
    </w:lvl>
  </w:abstractNum>
  <w:abstractNum w:abstractNumId="24" w15:restartNumberingAfterBreak="0">
    <w:nsid w:val="42FA2D6F"/>
    <w:multiLevelType w:val="multilevel"/>
    <w:tmpl w:val="8DA8D9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A1B2525"/>
    <w:multiLevelType w:val="hybridMultilevel"/>
    <w:tmpl w:val="052CB816"/>
    <w:lvl w:ilvl="0" w:tplc="D8D64CD6">
      <w:start w:val="1"/>
      <w:numFmt w:val="upperLetter"/>
      <w:lvlText w:val="%1."/>
      <w:lvlJc w:val="left"/>
      <w:pPr>
        <w:tabs>
          <w:tab w:val="num" w:pos="1242"/>
        </w:tabs>
        <w:ind w:left="1242" w:hanging="675"/>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26" w15:restartNumberingAfterBreak="0">
    <w:nsid w:val="51C413FE"/>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2A66A9D"/>
    <w:multiLevelType w:val="multilevel"/>
    <w:tmpl w:val="48241D1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8" w15:restartNumberingAfterBreak="0">
    <w:nsid w:val="5ADB42A4"/>
    <w:multiLevelType w:val="hybridMultilevel"/>
    <w:tmpl w:val="814E2BDA"/>
    <w:lvl w:ilvl="0" w:tplc="2D4E6FEE">
      <w:start w:val="1"/>
      <w:numFmt w:val="upperRoman"/>
      <w:lvlText w:val="%1."/>
      <w:lvlJc w:val="left"/>
      <w:pPr>
        <w:tabs>
          <w:tab w:val="num" w:pos="1287"/>
        </w:tabs>
        <w:ind w:left="1287" w:hanging="72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29" w15:restartNumberingAfterBreak="0">
    <w:nsid w:val="6A8779C7"/>
    <w:multiLevelType w:val="multilevel"/>
    <w:tmpl w:val="ECBA1E6C"/>
    <w:lvl w:ilvl="0">
      <w:start w:val="1"/>
      <w:numFmt w:val="decimal"/>
      <w:lvlText w:val="%1."/>
      <w:lvlJc w:val="left"/>
      <w:pPr>
        <w:tabs>
          <w:tab w:val="num" w:pos="777"/>
        </w:tabs>
        <w:ind w:left="777" w:hanging="360"/>
      </w:pPr>
      <w:rPr>
        <w:rFonts w:hint="default"/>
      </w:rPr>
    </w:lvl>
    <w:lvl w:ilvl="1">
      <w:start w:val="1"/>
      <w:numFmt w:val="lowerLetter"/>
      <w:lvlText w:val="%2."/>
      <w:lvlJc w:val="left"/>
      <w:pPr>
        <w:tabs>
          <w:tab w:val="num" w:pos="1497"/>
        </w:tabs>
        <w:ind w:left="1497" w:hanging="360"/>
      </w:pPr>
    </w:lvl>
    <w:lvl w:ilvl="2">
      <w:start w:val="1"/>
      <w:numFmt w:val="lowerRoman"/>
      <w:lvlText w:val="%3."/>
      <w:lvlJc w:val="right"/>
      <w:pPr>
        <w:tabs>
          <w:tab w:val="num" w:pos="2217"/>
        </w:tabs>
        <w:ind w:left="2217" w:hanging="180"/>
      </w:pPr>
    </w:lvl>
    <w:lvl w:ilvl="3">
      <w:start w:val="1"/>
      <w:numFmt w:val="decimal"/>
      <w:lvlText w:val="%4."/>
      <w:lvlJc w:val="left"/>
      <w:pPr>
        <w:tabs>
          <w:tab w:val="num" w:pos="2937"/>
        </w:tabs>
        <w:ind w:left="2937" w:hanging="360"/>
      </w:pPr>
    </w:lvl>
    <w:lvl w:ilvl="4">
      <w:start w:val="1"/>
      <w:numFmt w:val="lowerLetter"/>
      <w:lvlText w:val="%5."/>
      <w:lvlJc w:val="left"/>
      <w:pPr>
        <w:tabs>
          <w:tab w:val="num" w:pos="3657"/>
        </w:tabs>
        <w:ind w:left="3657" w:hanging="360"/>
      </w:pPr>
    </w:lvl>
    <w:lvl w:ilvl="5">
      <w:start w:val="1"/>
      <w:numFmt w:val="lowerRoman"/>
      <w:lvlText w:val="%6."/>
      <w:lvlJc w:val="right"/>
      <w:pPr>
        <w:tabs>
          <w:tab w:val="num" w:pos="4377"/>
        </w:tabs>
        <w:ind w:left="4377" w:hanging="180"/>
      </w:pPr>
    </w:lvl>
    <w:lvl w:ilvl="6">
      <w:start w:val="1"/>
      <w:numFmt w:val="decimal"/>
      <w:lvlText w:val="%7."/>
      <w:lvlJc w:val="left"/>
      <w:pPr>
        <w:tabs>
          <w:tab w:val="num" w:pos="5097"/>
        </w:tabs>
        <w:ind w:left="5097" w:hanging="360"/>
      </w:pPr>
    </w:lvl>
    <w:lvl w:ilvl="7">
      <w:start w:val="1"/>
      <w:numFmt w:val="lowerLetter"/>
      <w:lvlText w:val="%8."/>
      <w:lvlJc w:val="left"/>
      <w:pPr>
        <w:tabs>
          <w:tab w:val="num" w:pos="5817"/>
        </w:tabs>
        <w:ind w:left="5817" w:hanging="360"/>
      </w:pPr>
    </w:lvl>
    <w:lvl w:ilvl="8">
      <w:start w:val="1"/>
      <w:numFmt w:val="lowerRoman"/>
      <w:lvlText w:val="%9."/>
      <w:lvlJc w:val="right"/>
      <w:pPr>
        <w:tabs>
          <w:tab w:val="num" w:pos="6537"/>
        </w:tabs>
        <w:ind w:left="6537" w:hanging="180"/>
      </w:pPr>
    </w:lvl>
  </w:abstractNum>
  <w:abstractNum w:abstractNumId="30" w15:restartNumberingAfterBreak="0">
    <w:nsid w:val="6CD901C9"/>
    <w:multiLevelType w:val="hybridMultilevel"/>
    <w:tmpl w:val="6C6ABE72"/>
    <w:lvl w:ilvl="0" w:tplc="695EDA44">
      <w:start w:val="1"/>
      <w:numFmt w:val="decimal"/>
      <w:lvlText w:val="%1."/>
      <w:lvlJc w:val="left"/>
      <w:pPr>
        <w:tabs>
          <w:tab w:val="num" w:pos="777"/>
        </w:tabs>
        <w:ind w:left="777" w:hanging="360"/>
      </w:pPr>
      <w:rPr>
        <w:rFonts w:hint="default"/>
      </w:rPr>
    </w:lvl>
    <w:lvl w:ilvl="1" w:tplc="04090019" w:tentative="1">
      <w:start w:val="1"/>
      <w:numFmt w:val="lowerLetter"/>
      <w:lvlText w:val="%2."/>
      <w:lvlJc w:val="left"/>
      <w:pPr>
        <w:tabs>
          <w:tab w:val="num" w:pos="1497"/>
        </w:tabs>
        <w:ind w:left="1497" w:hanging="360"/>
      </w:pPr>
    </w:lvl>
    <w:lvl w:ilvl="2" w:tplc="0409001B" w:tentative="1">
      <w:start w:val="1"/>
      <w:numFmt w:val="lowerRoman"/>
      <w:lvlText w:val="%3."/>
      <w:lvlJc w:val="right"/>
      <w:pPr>
        <w:tabs>
          <w:tab w:val="num" w:pos="2217"/>
        </w:tabs>
        <w:ind w:left="2217" w:hanging="180"/>
      </w:pPr>
    </w:lvl>
    <w:lvl w:ilvl="3" w:tplc="0409000F" w:tentative="1">
      <w:start w:val="1"/>
      <w:numFmt w:val="decimal"/>
      <w:lvlText w:val="%4."/>
      <w:lvlJc w:val="left"/>
      <w:pPr>
        <w:tabs>
          <w:tab w:val="num" w:pos="2937"/>
        </w:tabs>
        <w:ind w:left="2937" w:hanging="360"/>
      </w:pPr>
    </w:lvl>
    <w:lvl w:ilvl="4" w:tplc="04090019" w:tentative="1">
      <w:start w:val="1"/>
      <w:numFmt w:val="lowerLetter"/>
      <w:lvlText w:val="%5."/>
      <w:lvlJc w:val="left"/>
      <w:pPr>
        <w:tabs>
          <w:tab w:val="num" w:pos="3657"/>
        </w:tabs>
        <w:ind w:left="3657" w:hanging="360"/>
      </w:pPr>
    </w:lvl>
    <w:lvl w:ilvl="5" w:tplc="0409001B" w:tentative="1">
      <w:start w:val="1"/>
      <w:numFmt w:val="lowerRoman"/>
      <w:lvlText w:val="%6."/>
      <w:lvlJc w:val="right"/>
      <w:pPr>
        <w:tabs>
          <w:tab w:val="num" w:pos="4377"/>
        </w:tabs>
        <w:ind w:left="4377" w:hanging="180"/>
      </w:pPr>
    </w:lvl>
    <w:lvl w:ilvl="6" w:tplc="0409000F" w:tentative="1">
      <w:start w:val="1"/>
      <w:numFmt w:val="decimal"/>
      <w:lvlText w:val="%7."/>
      <w:lvlJc w:val="left"/>
      <w:pPr>
        <w:tabs>
          <w:tab w:val="num" w:pos="5097"/>
        </w:tabs>
        <w:ind w:left="5097" w:hanging="360"/>
      </w:pPr>
    </w:lvl>
    <w:lvl w:ilvl="7" w:tplc="04090019" w:tentative="1">
      <w:start w:val="1"/>
      <w:numFmt w:val="lowerLetter"/>
      <w:lvlText w:val="%8."/>
      <w:lvlJc w:val="left"/>
      <w:pPr>
        <w:tabs>
          <w:tab w:val="num" w:pos="5817"/>
        </w:tabs>
        <w:ind w:left="5817" w:hanging="360"/>
      </w:pPr>
    </w:lvl>
    <w:lvl w:ilvl="8" w:tplc="0409001B" w:tentative="1">
      <w:start w:val="1"/>
      <w:numFmt w:val="lowerRoman"/>
      <w:lvlText w:val="%9."/>
      <w:lvlJc w:val="right"/>
      <w:pPr>
        <w:tabs>
          <w:tab w:val="num" w:pos="6537"/>
        </w:tabs>
        <w:ind w:left="6537" w:hanging="180"/>
      </w:pPr>
    </w:lvl>
  </w:abstractNum>
  <w:abstractNum w:abstractNumId="31" w15:restartNumberingAfterBreak="0">
    <w:nsid w:val="6E4C3BBB"/>
    <w:multiLevelType w:val="multilevel"/>
    <w:tmpl w:val="BFC8F32C"/>
    <w:lvl w:ilvl="0">
      <w:start w:val="1"/>
      <w:numFmt w:val="decimal"/>
      <w:lvlText w:val="%1."/>
      <w:lvlJc w:val="left"/>
      <w:pPr>
        <w:tabs>
          <w:tab w:val="num" w:pos="777"/>
        </w:tabs>
        <w:ind w:left="777" w:hanging="360"/>
      </w:pPr>
      <w:rPr>
        <w:rFonts w:hint="default"/>
      </w:rPr>
    </w:lvl>
    <w:lvl w:ilvl="1">
      <w:start w:val="1"/>
      <w:numFmt w:val="lowerLetter"/>
      <w:lvlText w:val="%2."/>
      <w:lvlJc w:val="left"/>
      <w:pPr>
        <w:tabs>
          <w:tab w:val="num" w:pos="1497"/>
        </w:tabs>
        <w:ind w:left="1497" w:hanging="360"/>
      </w:pPr>
    </w:lvl>
    <w:lvl w:ilvl="2">
      <w:start w:val="1"/>
      <w:numFmt w:val="lowerRoman"/>
      <w:lvlText w:val="%3."/>
      <w:lvlJc w:val="right"/>
      <w:pPr>
        <w:tabs>
          <w:tab w:val="num" w:pos="2217"/>
        </w:tabs>
        <w:ind w:left="2217" w:hanging="180"/>
      </w:pPr>
    </w:lvl>
    <w:lvl w:ilvl="3">
      <w:start w:val="1"/>
      <w:numFmt w:val="decimal"/>
      <w:lvlText w:val="%4."/>
      <w:lvlJc w:val="left"/>
      <w:pPr>
        <w:tabs>
          <w:tab w:val="num" w:pos="2937"/>
        </w:tabs>
        <w:ind w:left="2937" w:hanging="360"/>
      </w:pPr>
    </w:lvl>
    <w:lvl w:ilvl="4">
      <w:start w:val="1"/>
      <w:numFmt w:val="lowerLetter"/>
      <w:lvlText w:val="%5."/>
      <w:lvlJc w:val="left"/>
      <w:pPr>
        <w:tabs>
          <w:tab w:val="num" w:pos="3657"/>
        </w:tabs>
        <w:ind w:left="3657" w:hanging="360"/>
      </w:pPr>
    </w:lvl>
    <w:lvl w:ilvl="5">
      <w:start w:val="1"/>
      <w:numFmt w:val="lowerRoman"/>
      <w:lvlText w:val="%6."/>
      <w:lvlJc w:val="right"/>
      <w:pPr>
        <w:tabs>
          <w:tab w:val="num" w:pos="4377"/>
        </w:tabs>
        <w:ind w:left="4377" w:hanging="180"/>
      </w:pPr>
    </w:lvl>
    <w:lvl w:ilvl="6">
      <w:start w:val="1"/>
      <w:numFmt w:val="decimal"/>
      <w:lvlText w:val="%7."/>
      <w:lvlJc w:val="left"/>
      <w:pPr>
        <w:tabs>
          <w:tab w:val="num" w:pos="5097"/>
        </w:tabs>
        <w:ind w:left="5097" w:hanging="360"/>
      </w:pPr>
    </w:lvl>
    <w:lvl w:ilvl="7">
      <w:start w:val="1"/>
      <w:numFmt w:val="lowerLetter"/>
      <w:lvlText w:val="%8."/>
      <w:lvlJc w:val="left"/>
      <w:pPr>
        <w:tabs>
          <w:tab w:val="num" w:pos="5817"/>
        </w:tabs>
        <w:ind w:left="5817" w:hanging="360"/>
      </w:pPr>
    </w:lvl>
    <w:lvl w:ilvl="8">
      <w:start w:val="1"/>
      <w:numFmt w:val="lowerRoman"/>
      <w:lvlText w:val="%9."/>
      <w:lvlJc w:val="right"/>
      <w:pPr>
        <w:tabs>
          <w:tab w:val="num" w:pos="6537"/>
        </w:tabs>
        <w:ind w:left="6537" w:hanging="180"/>
      </w:pPr>
    </w:lvl>
  </w:abstractNum>
  <w:abstractNum w:abstractNumId="32" w15:restartNumberingAfterBreak="0">
    <w:nsid w:val="74B22DF7"/>
    <w:multiLevelType w:val="hybridMultilevel"/>
    <w:tmpl w:val="0A06C2EA"/>
    <w:lvl w:ilvl="0" w:tplc="EF8C842C">
      <w:start w:val="1"/>
      <w:numFmt w:val="upperRoman"/>
      <w:lvlText w:val="%1."/>
      <w:lvlJc w:val="left"/>
      <w:pPr>
        <w:tabs>
          <w:tab w:val="num" w:pos="1287"/>
        </w:tabs>
        <w:ind w:left="1287" w:hanging="72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77443D92"/>
    <w:multiLevelType w:val="hybridMultilevel"/>
    <w:tmpl w:val="154C4DB0"/>
    <w:lvl w:ilvl="0" w:tplc="D53AA31C">
      <w:start w:val="3"/>
      <w:numFmt w:val="decimal"/>
      <w:lvlText w:val="%1."/>
      <w:lvlJc w:val="left"/>
      <w:pPr>
        <w:tabs>
          <w:tab w:val="num" w:pos="1242"/>
        </w:tabs>
        <w:ind w:left="1242" w:hanging="675"/>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num w:numId="1">
    <w:abstractNumId w:val="10"/>
  </w:num>
  <w:num w:numId="2">
    <w:abstractNumId w:val="26"/>
  </w:num>
  <w:num w:numId="3">
    <w:abstractNumId w:val="17"/>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6"/>
  </w:num>
  <w:num w:numId="15">
    <w:abstractNumId w:val="20"/>
  </w:num>
  <w:num w:numId="16">
    <w:abstractNumId w:val="27"/>
  </w:num>
  <w:num w:numId="17">
    <w:abstractNumId w:val="27"/>
  </w:num>
  <w:num w:numId="18">
    <w:abstractNumId w:val="27"/>
  </w:num>
  <w:num w:numId="19">
    <w:abstractNumId w:val="32"/>
  </w:num>
  <w:num w:numId="20">
    <w:abstractNumId w:val="13"/>
  </w:num>
  <w:num w:numId="21">
    <w:abstractNumId w:val="33"/>
  </w:num>
  <w:num w:numId="22">
    <w:abstractNumId w:val="28"/>
  </w:num>
  <w:num w:numId="23">
    <w:abstractNumId w:val="25"/>
  </w:num>
  <w:num w:numId="24">
    <w:abstractNumId w:val="27"/>
  </w:num>
  <w:num w:numId="25">
    <w:abstractNumId w:val="27"/>
  </w:num>
  <w:num w:numId="26">
    <w:abstractNumId w:val="24"/>
  </w:num>
  <w:num w:numId="27">
    <w:abstractNumId w:val="14"/>
  </w:num>
  <w:num w:numId="28">
    <w:abstractNumId w:val="12"/>
  </w:num>
  <w:num w:numId="29">
    <w:abstractNumId w:val="23"/>
  </w:num>
  <w:num w:numId="30">
    <w:abstractNumId w:val="30"/>
  </w:num>
  <w:num w:numId="31">
    <w:abstractNumId w:val="22"/>
  </w:num>
  <w:num w:numId="32">
    <w:abstractNumId w:val="18"/>
  </w:num>
  <w:num w:numId="33">
    <w:abstractNumId w:val="29"/>
  </w:num>
  <w:num w:numId="34">
    <w:abstractNumId w:val="11"/>
  </w:num>
  <w:num w:numId="35">
    <w:abstractNumId w:val="31"/>
  </w:num>
  <w:num w:numId="36">
    <w:abstractNumId w:val="19"/>
  </w:num>
  <w:num w:numId="37">
    <w:abstractNumId w:val="15"/>
  </w:num>
  <w:num w:numId="38">
    <w:abstractNumId w:val="21"/>
    <w:lvlOverride w:ilvl="0">
      <w:lvl w:ilvl="0" w:tplc="24BC89C8">
        <w:start w:val="3"/>
        <w:numFmt w:val="decimal"/>
        <w:lvlText w:val="%1."/>
        <w:lvlJc w:val="left"/>
        <w:pPr>
          <w:ind w:left="720" w:hanging="360"/>
        </w:pPr>
        <w:rPr>
          <w:rFonts w:hint="default"/>
          <w:color w:val="auto"/>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ctiveWritingStyle w:appName="MSWord" w:lang="fr-FR" w:vendorID="64" w:dllVersion="0" w:nlCheck="1" w:checkStyle="1"/>
  <w:activeWritingStyle w:appName="MSWord" w:lang="en-US" w:vendorID="64" w:dllVersion="0" w:nlCheck="1" w:checkStyle="0"/>
  <w:activeWritingStyle w:appName="MSWord" w:lang="en-GB" w:vendorID="64" w:dllVersion="0" w:nlCheck="1" w:checkStyle="1"/>
  <w:activeWritingStyle w:appName="MSWord" w:lang="es-ES" w:vendorID="64" w:dllVersion="0" w:nlCheck="1" w:checkStyle="1"/>
  <w:activeWritingStyle w:appName="MSWord" w:lang="ru-RU" w:vendorID="64" w:dllVersion="0" w:nlCheck="1" w:checkStyle="0"/>
  <w:activeWritingStyle w:appName="MSWord" w:lang="en-US" w:vendorID="64" w:dllVersion="6"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66A"/>
    <w:rsid w:val="000149E6"/>
    <w:rsid w:val="00017CE4"/>
    <w:rsid w:val="00021B0F"/>
    <w:rsid w:val="000247B0"/>
    <w:rsid w:val="00026997"/>
    <w:rsid w:val="00033E0B"/>
    <w:rsid w:val="00035EDE"/>
    <w:rsid w:val="000509B4"/>
    <w:rsid w:val="00071886"/>
    <w:rsid w:val="000742BC"/>
    <w:rsid w:val="00076EB7"/>
    <w:rsid w:val="00081997"/>
    <w:rsid w:val="00082A0C"/>
    <w:rsid w:val="00095434"/>
    <w:rsid w:val="0009640C"/>
    <w:rsid w:val="000A0A04"/>
    <w:rsid w:val="000B06F6"/>
    <w:rsid w:val="000D33C0"/>
    <w:rsid w:val="000E09D2"/>
    <w:rsid w:val="000F03DD"/>
    <w:rsid w:val="001202E3"/>
    <w:rsid w:val="00123DE2"/>
    <w:rsid w:val="0013059D"/>
    <w:rsid w:val="001409C7"/>
    <w:rsid w:val="00141A55"/>
    <w:rsid w:val="001559C9"/>
    <w:rsid w:val="001633C8"/>
    <w:rsid w:val="00181EC8"/>
    <w:rsid w:val="00184349"/>
    <w:rsid w:val="001941CF"/>
    <w:rsid w:val="001D3874"/>
    <w:rsid w:val="001D7E75"/>
    <w:rsid w:val="001E0C96"/>
    <w:rsid w:val="001E56D2"/>
    <w:rsid w:val="001E7D56"/>
    <w:rsid w:val="001F75DE"/>
    <w:rsid w:val="00200D58"/>
    <w:rsid w:val="002013BE"/>
    <w:rsid w:val="002063A4"/>
    <w:rsid w:val="0021145B"/>
    <w:rsid w:val="00222F56"/>
    <w:rsid w:val="00230E08"/>
    <w:rsid w:val="00245A39"/>
    <w:rsid w:val="0024613B"/>
    <w:rsid w:val="00247707"/>
    <w:rsid w:val="0025448F"/>
    <w:rsid w:val="00256D2A"/>
    <w:rsid w:val="00286740"/>
    <w:rsid w:val="002929D8"/>
    <w:rsid w:val="002A237D"/>
    <w:rsid w:val="002A4C53"/>
    <w:rsid w:val="002A6864"/>
    <w:rsid w:val="002C0384"/>
    <w:rsid w:val="002C145D"/>
    <w:rsid w:val="002C2C3E"/>
    <w:rsid w:val="002C533E"/>
    <w:rsid w:val="002D027F"/>
    <w:rsid w:val="002D27E9"/>
    <w:rsid w:val="002D4584"/>
    <w:rsid w:val="002D7B60"/>
    <w:rsid w:val="002F2BCF"/>
    <w:rsid w:val="002F4761"/>
    <w:rsid w:val="00303F1C"/>
    <w:rsid w:val="00310479"/>
    <w:rsid w:val="0031413F"/>
    <w:rsid w:val="00334662"/>
    <w:rsid w:val="00355EA9"/>
    <w:rsid w:val="003751F8"/>
    <w:rsid w:val="00381B5F"/>
    <w:rsid w:val="00385731"/>
    <w:rsid w:val="003908C6"/>
    <w:rsid w:val="00393911"/>
    <w:rsid w:val="00396257"/>
    <w:rsid w:val="00397EB8"/>
    <w:rsid w:val="003A4FD0"/>
    <w:rsid w:val="003A69D1"/>
    <w:rsid w:val="003B0491"/>
    <w:rsid w:val="003B1545"/>
    <w:rsid w:val="003B6E1B"/>
    <w:rsid w:val="003C3631"/>
    <w:rsid w:val="003C409D"/>
    <w:rsid w:val="003C4C5C"/>
    <w:rsid w:val="003D6EB7"/>
    <w:rsid w:val="003F0E85"/>
    <w:rsid w:val="00410C55"/>
    <w:rsid w:val="00417725"/>
    <w:rsid w:val="00425EDB"/>
    <w:rsid w:val="00427628"/>
    <w:rsid w:val="00431BBF"/>
    <w:rsid w:val="00437F26"/>
    <w:rsid w:val="00446C23"/>
    <w:rsid w:val="00454769"/>
    <w:rsid w:val="00455F0E"/>
    <w:rsid w:val="00466991"/>
    <w:rsid w:val="0047064C"/>
    <w:rsid w:val="00471F4C"/>
    <w:rsid w:val="00474592"/>
    <w:rsid w:val="00482795"/>
    <w:rsid w:val="00482908"/>
    <w:rsid w:val="00495F41"/>
    <w:rsid w:val="00497DDB"/>
    <w:rsid w:val="004B71EE"/>
    <w:rsid w:val="004C5C96"/>
    <w:rsid w:val="004D06A4"/>
    <w:rsid w:val="004E233D"/>
    <w:rsid w:val="004F1A81"/>
    <w:rsid w:val="005131BB"/>
    <w:rsid w:val="005218D9"/>
    <w:rsid w:val="0052196F"/>
    <w:rsid w:val="00536186"/>
    <w:rsid w:val="00536A18"/>
    <w:rsid w:val="00541858"/>
    <w:rsid w:val="00560655"/>
    <w:rsid w:val="005609A6"/>
    <w:rsid w:val="00563DFD"/>
    <w:rsid w:val="00565068"/>
    <w:rsid w:val="00570266"/>
    <w:rsid w:val="0057315F"/>
    <w:rsid w:val="0057784F"/>
    <w:rsid w:val="005A4115"/>
    <w:rsid w:val="005A5F05"/>
    <w:rsid w:val="005B03D2"/>
    <w:rsid w:val="005C67C8"/>
    <w:rsid w:val="005D0249"/>
    <w:rsid w:val="005D50F6"/>
    <w:rsid w:val="005D73F1"/>
    <w:rsid w:val="005F0BEA"/>
    <w:rsid w:val="005F100C"/>
    <w:rsid w:val="00614089"/>
    <w:rsid w:val="006303B4"/>
    <w:rsid w:val="00631864"/>
    <w:rsid w:val="00634572"/>
    <w:rsid w:val="00641703"/>
    <w:rsid w:val="006431A6"/>
    <w:rsid w:val="006501AD"/>
    <w:rsid w:val="00651BFA"/>
    <w:rsid w:val="006615BC"/>
    <w:rsid w:val="006709BA"/>
    <w:rsid w:val="00681AFC"/>
    <w:rsid w:val="00683F83"/>
    <w:rsid w:val="00691236"/>
    <w:rsid w:val="00692E2A"/>
    <w:rsid w:val="006A76F2"/>
    <w:rsid w:val="006B63E0"/>
    <w:rsid w:val="006C1278"/>
    <w:rsid w:val="006C4077"/>
    <w:rsid w:val="006C5351"/>
    <w:rsid w:val="006E6722"/>
    <w:rsid w:val="006E67FD"/>
    <w:rsid w:val="006F0E34"/>
    <w:rsid w:val="00701D3F"/>
    <w:rsid w:val="007027B9"/>
    <w:rsid w:val="007121AA"/>
    <w:rsid w:val="00712298"/>
    <w:rsid w:val="00715E88"/>
    <w:rsid w:val="00720913"/>
    <w:rsid w:val="00721FB4"/>
    <w:rsid w:val="007275B9"/>
    <w:rsid w:val="00730C9B"/>
    <w:rsid w:val="00734CAA"/>
    <w:rsid w:val="00743065"/>
    <w:rsid w:val="00746F3F"/>
    <w:rsid w:val="00757581"/>
    <w:rsid w:val="007648D5"/>
    <w:rsid w:val="00770261"/>
    <w:rsid w:val="00774437"/>
    <w:rsid w:val="0079631D"/>
    <w:rsid w:val="007A5B9C"/>
    <w:rsid w:val="007A5C12"/>
    <w:rsid w:val="007A6FC4"/>
    <w:rsid w:val="007B25FD"/>
    <w:rsid w:val="007B30E8"/>
    <w:rsid w:val="007C2B5E"/>
    <w:rsid w:val="007D5CFF"/>
    <w:rsid w:val="007D7F16"/>
    <w:rsid w:val="007E003F"/>
    <w:rsid w:val="007E19B5"/>
    <w:rsid w:val="007F405D"/>
    <w:rsid w:val="00822830"/>
    <w:rsid w:val="00830E26"/>
    <w:rsid w:val="00843576"/>
    <w:rsid w:val="00843A51"/>
    <w:rsid w:val="00843B64"/>
    <w:rsid w:val="008673B6"/>
    <w:rsid w:val="00867BFF"/>
    <w:rsid w:val="00872F35"/>
    <w:rsid w:val="0088480A"/>
    <w:rsid w:val="00887987"/>
    <w:rsid w:val="00890298"/>
    <w:rsid w:val="008957DD"/>
    <w:rsid w:val="00897D98"/>
    <w:rsid w:val="008A6460"/>
    <w:rsid w:val="008A6DF2"/>
    <w:rsid w:val="008C2D6E"/>
    <w:rsid w:val="008D7C99"/>
    <w:rsid w:val="008E0FCB"/>
    <w:rsid w:val="008F5852"/>
    <w:rsid w:val="00901265"/>
    <w:rsid w:val="00903FE2"/>
    <w:rsid w:val="0092178C"/>
    <w:rsid w:val="0094179A"/>
    <w:rsid w:val="00941C5F"/>
    <w:rsid w:val="0094459E"/>
    <w:rsid w:val="00944DBC"/>
    <w:rsid w:val="00950977"/>
    <w:rsid w:val="009564A6"/>
    <w:rsid w:val="009578F9"/>
    <w:rsid w:val="00970D27"/>
    <w:rsid w:val="009724A4"/>
    <w:rsid w:val="009774AF"/>
    <w:rsid w:val="0099519B"/>
    <w:rsid w:val="009B153B"/>
    <w:rsid w:val="009B35E4"/>
    <w:rsid w:val="009B375C"/>
    <w:rsid w:val="009B4A0F"/>
    <w:rsid w:val="009C682E"/>
    <w:rsid w:val="009D0B63"/>
    <w:rsid w:val="009D3CA7"/>
    <w:rsid w:val="00A0524B"/>
    <w:rsid w:val="00A122C5"/>
    <w:rsid w:val="00A1348D"/>
    <w:rsid w:val="00A161B4"/>
    <w:rsid w:val="00A232EE"/>
    <w:rsid w:val="00A34CAA"/>
    <w:rsid w:val="00A44411"/>
    <w:rsid w:val="00A469FA"/>
    <w:rsid w:val="00A55B01"/>
    <w:rsid w:val="00A56B5B"/>
    <w:rsid w:val="00A657DD"/>
    <w:rsid w:val="00A666A6"/>
    <w:rsid w:val="00A80611"/>
    <w:rsid w:val="00A82018"/>
    <w:rsid w:val="00A83C9A"/>
    <w:rsid w:val="00AA257A"/>
    <w:rsid w:val="00AB4624"/>
    <w:rsid w:val="00AB5340"/>
    <w:rsid w:val="00AC2416"/>
    <w:rsid w:val="00AC7C96"/>
    <w:rsid w:val="00AE237D"/>
    <w:rsid w:val="00AF2746"/>
    <w:rsid w:val="00AF7C07"/>
    <w:rsid w:val="00B251E1"/>
    <w:rsid w:val="00B405B7"/>
    <w:rsid w:val="00B46BD8"/>
    <w:rsid w:val="00B503A2"/>
    <w:rsid w:val="00B66901"/>
    <w:rsid w:val="00B71E6D"/>
    <w:rsid w:val="00B72070"/>
    <w:rsid w:val="00B72B5A"/>
    <w:rsid w:val="00B779E1"/>
    <w:rsid w:val="00B939AC"/>
    <w:rsid w:val="00B93E73"/>
    <w:rsid w:val="00B94CF4"/>
    <w:rsid w:val="00BA1A67"/>
    <w:rsid w:val="00BA3BB0"/>
    <w:rsid w:val="00BB0A2E"/>
    <w:rsid w:val="00BD069D"/>
    <w:rsid w:val="00BD2874"/>
    <w:rsid w:val="00BD5500"/>
    <w:rsid w:val="00C004F2"/>
    <w:rsid w:val="00C01B2A"/>
    <w:rsid w:val="00C30C63"/>
    <w:rsid w:val="00C558DA"/>
    <w:rsid w:val="00C61F87"/>
    <w:rsid w:val="00C70835"/>
    <w:rsid w:val="00C840C4"/>
    <w:rsid w:val="00C84759"/>
    <w:rsid w:val="00C85606"/>
    <w:rsid w:val="00C910B2"/>
    <w:rsid w:val="00CA17D9"/>
    <w:rsid w:val="00CA6C7F"/>
    <w:rsid w:val="00CA7805"/>
    <w:rsid w:val="00CA7C6D"/>
    <w:rsid w:val="00CB101E"/>
    <w:rsid w:val="00CC10A6"/>
    <w:rsid w:val="00CC25D6"/>
    <w:rsid w:val="00CC766A"/>
    <w:rsid w:val="00CD2FBA"/>
    <w:rsid w:val="00CD7044"/>
    <w:rsid w:val="00CE524C"/>
    <w:rsid w:val="00CE7C17"/>
    <w:rsid w:val="00CF141F"/>
    <w:rsid w:val="00CF37A4"/>
    <w:rsid w:val="00CF4777"/>
    <w:rsid w:val="00D0004F"/>
    <w:rsid w:val="00D0011C"/>
    <w:rsid w:val="00D020A4"/>
    <w:rsid w:val="00D11D18"/>
    <w:rsid w:val="00D169AF"/>
    <w:rsid w:val="00D25249"/>
    <w:rsid w:val="00D44172"/>
    <w:rsid w:val="00D62B3C"/>
    <w:rsid w:val="00D63B8C"/>
    <w:rsid w:val="00D739CC"/>
    <w:rsid w:val="00D748BF"/>
    <w:rsid w:val="00D8093D"/>
    <w:rsid w:val="00D8108C"/>
    <w:rsid w:val="00D82F04"/>
    <w:rsid w:val="00D842AE"/>
    <w:rsid w:val="00D86CB4"/>
    <w:rsid w:val="00D9211C"/>
    <w:rsid w:val="00DA1BCA"/>
    <w:rsid w:val="00DA250E"/>
    <w:rsid w:val="00DB011C"/>
    <w:rsid w:val="00DC17F1"/>
    <w:rsid w:val="00DC46FF"/>
    <w:rsid w:val="00DD1A4F"/>
    <w:rsid w:val="00DD7C2C"/>
    <w:rsid w:val="00DE5B83"/>
    <w:rsid w:val="00DF0EFD"/>
    <w:rsid w:val="00DF27E7"/>
    <w:rsid w:val="00E01727"/>
    <w:rsid w:val="00E06797"/>
    <w:rsid w:val="00E17634"/>
    <w:rsid w:val="00E21C83"/>
    <w:rsid w:val="00E276DF"/>
    <w:rsid w:val="00E30E3A"/>
    <w:rsid w:val="00E357CC"/>
    <w:rsid w:val="00E46145"/>
    <w:rsid w:val="00E46D9A"/>
    <w:rsid w:val="00E47183"/>
    <w:rsid w:val="00E565FF"/>
    <w:rsid w:val="00E65388"/>
    <w:rsid w:val="00E85B7D"/>
    <w:rsid w:val="00E9121B"/>
    <w:rsid w:val="00EA39E5"/>
    <w:rsid w:val="00EB172A"/>
    <w:rsid w:val="00EB6C7F"/>
    <w:rsid w:val="00EB6C81"/>
    <w:rsid w:val="00EC51F5"/>
    <w:rsid w:val="00EC5A46"/>
    <w:rsid w:val="00EC63E2"/>
    <w:rsid w:val="00EE024D"/>
    <w:rsid w:val="00EF22B3"/>
    <w:rsid w:val="00F0032A"/>
    <w:rsid w:val="00F113DA"/>
    <w:rsid w:val="00F135A4"/>
    <w:rsid w:val="00F30AD8"/>
    <w:rsid w:val="00F31C62"/>
    <w:rsid w:val="00F332BC"/>
    <w:rsid w:val="00F35D4C"/>
    <w:rsid w:val="00F37DC8"/>
    <w:rsid w:val="00F42092"/>
    <w:rsid w:val="00F57A7D"/>
    <w:rsid w:val="00F60D7A"/>
    <w:rsid w:val="00F650C3"/>
    <w:rsid w:val="00F7155A"/>
    <w:rsid w:val="00F77E98"/>
    <w:rsid w:val="00F8091E"/>
    <w:rsid w:val="00F8615C"/>
    <w:rsid w:val="00F918AB"/>
    <w:rsid w:val="00F93FFA"/>
    <w:rsid w:val="00FA10EA"/>
    <w:rsid w:val="00FA2593"/>
    <w:rsid w:val="00FB7E48"/>
    <w:rsid w:val="00FC0906"/>
    <w:rsid w:val="00FD5860"/>
    <w:rsid w:val="00FE1C3B"/>
    <w:rsid w:val="00FE352D"/>
    <w:rsid w:val="00FE3BD2"/>
    <w:rsid w:val="00FE7D62"/>
    <w:rsid w:val="00FF15F7"/>
    <w:rsid w:val="00FF50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680A1F8"/>
  <w15:docId w15:val="{342C0618-59B8-4F48-9033-0A0993622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Normal-pool"/>
    <w:qFormat/>
    <w:rsid w:val="00CC766A"/>
    <w:rPr>
      <w:rFonts w:eastAsia="Calibri"/>
      <w:szCs w:val="22"/>
      <w:lang w:val="en-GB"/>
    </w:rPr>
  </w:style>
  <w:style w:type="paragraph" w:styleId="Heading1">
    <w:name w:val="heading 1"/>
    <w:basedOn w:val="Normal"/>
    <w:next w:val="Normalnumber"/>
    <w:qFormat/>
    <w:rsid w:val="00B405B7"/>
    <w:pPr>
      <w:keepNext/>
      <w:spacing w:before="240" w:after="120"/>
      <w:ind w:left="1247" w:hanging="680"/>
      <w:outlineLvl w:val="0"/>
    </w:pPr>
    <w:rPr>
      <w:b/>
      <w:sz w:val="28"/>
    </w:rPr>
  </w:style>
  <w:style w:type="paragraph" w:styleId="Heading2">
    <w:name w:val="heading 2"/>
    <w:basedOn w:val="Normal"/>
    <w:next w:val="Normalnumber"/>
    <w:qFormat/>
    <w:rsid w:val="00B405B7"/>
    <w:pPr>
      <w:keepNext/>
      <w:spacing w:before="240" w:after="120"/>
      <w:ind w:left="1247" w:hanging="680"/>
      <w:outlineLvl w:val="1"/>
    </w:pPr>
    <w:rPr>
      <w:b/>
      <w:sz w:val="24"/>
      <w:szCs w:val="24"/>
    </w:rPr>
  </w:style>
  <w:style w:type="paragraph" w:styleId="Heading3">
    <w:name w:val="heading 3"/>
    <w:basedOn w:val="Normal"/>
    <w:next w:val="Normalnumber"/>
    <w:qFormat/>
    <w:rsid w:val="00200D58"/>
    <w:pPr>
      <w:spacing w:after="120"/>
      <w:ind w:left="1247" w:hanging="680"/>
      <w:outlineLvl w:val="2"/>
    </w:pPr>
    <w:rPr>
      <w:b/>
    </w:rPr>
  </w:style>
  <w:style w:type="paragraph" w:styleId="Heading4">
    <w:name w:val="heading 4"/>
    <w:basedOn w:val="Heading3"/>
    <w:next w:val="Normalnumber"/>
    <w:qFormat/>
    <w:rsid w:val="00715E88"/>
    <w:pPr>
      <w:keepNext/>
      <w:outlineLvl w:val="3"/>
    </w:pPr>
  </w:style>
  <w:style w:type="paragraph" w:styleId="Heading5">
    <w:name w:val="heading 5"/>
    <w:basedOn w:val="Normal"/>
    <w:next w:val="Normal"/>
    <w:qFormat/>
    <w:rsid w:val="00247707"/>
    <w:pPr>
      <w:keepNext/>
      <w:outlineLvl w:val="4"/>
    </w:pPr>
    <w:rPr>
      <w:rFonts w:ascii="Univers" w:hAnsi="Univers"/>
      <w:b/>
      <w:sz w:val="24"/>
    </w:rPr>
  </w:style>
  <w:style w:type="paragraph" w:styleId="Heading6">
    <w:name w:val="heading 6"/>
    <w:basedOn w:val="Normal"/>
    <w:next w:val="Normal"/>
    <w:qFormat/>
    <w:rsid w:val="00247707"/>
    <w:pPr>
      <w:keepNext/>
      <w:ind w:left="578"/>
      <w:outlineLvl w:val="5"/>
    </w:pPr>
    <w:rPr>
      <w:b/>
      <w:bCs/>
      <w:sz w:val="24"/>
    </w:rPr>
  </w:style>
  <w:style w:type="paragraph" w:styleId="Heading7">
    <w:name w:val="heading 7"/>
    <w:basedOn w:val="Normal"/>
    <w:next w:val="Normal"/>
    <w:qFormat/>
    <w:rsid w:val="00247707"/>
    <w:pPr>
      <w:keepNext/>
      <w:widowControl w:val="0"/>
      <w:jc w:val="center"/>
      <w:outlineLvl w:val="6"/>
    </w:pPr>
    <w:rPr>
      <w:snapToGrid w:val="0"/>
      <w:u w:val="single"/>
      <w:lang w:val="en-US"/>
    </w:rPr>
  </w:style>
  <w:style w:type="paragraph" w:styleId="Heading8">
    <w:name w:val="heading 8"/>
    <w:basedOn w:val="Normal"/>
    <w:next w:val="Normal"/>
    <w:qFormat/>
    <w:rsid w:val="00247707"/>
    <w:pPr>
      <w:keepNext/>
      <w:widowControl w:val="0"/>
      <w:numPr>
        <w:numId w:val="14"/>
      </w:numPr>
      <w:tabs>
        <w:tab w:val="left" w:pos="-1440"/>
        <w:tab w:val="left" w:pos="-720"/>
      </w:tabs>
      <w:suppressAutoHyphens/>
      <w:ind w:hanging="360"/>
      <w:jc w:val="center"/>
      <w:outlineLvl w:val="7"/>
    </w:pPr>
    <w:rPr>
      <w:snapToGrid w:val="0"/>
      <w:u w:val="single"/>
      <w:lang w:val="en-US"/>
    </w:rPr>
  </w:style>
  <w:style w:type="paragraph" w:styleId="Heading9">
    <w:name w:val="heading 9"/>
    <w:basedOn w:val="Normal"/>
    <w:next w:val="Normal"/>
    <w:qFormat/>
    <w:rsid w:val="00247707"/>
    <w:pPr>
      <w:keepNext/>
      <w:widowControl w:val="0"/>
      <w:numPr>
        <w:numId w:val="15"/>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AB5340"/>
    <w:rPr>
      <w:rFonts w:ascii="Times New Roman" w:hAnsi="Times New Roman"/>
      <w:b/>
      <w:sz w:val="18"/>
    </w:rPr>
  </w:style>
  <w:style w:type="table" w:customStyle="1" w:styleId="Tabledocright">
    <w:name w:val="Table_doc_right"/>
    <w:basedOn w:val="TableNormal"/>
    <w:rsid w:val="00E21C83"/>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2C2C3E"/>
    <w:pPr>
      <w:ind w:left="1000"/>
    </w:pPr>
    <w:rPr>
      <w:sz w:val="18"/>
      <w:szCs w:val="18"/>
    </w:rPr>
  </w:style>
  <w:style w:type="paragraph" w:styleId="TOC7">
    <w:name w:val="toc 7"/>
    <w:basedOn w:val="Normal"/>
    <w:next w:val="Normal"/>
    <w:autoRedefine/>
    <w:semiHidden/>
    <w:rsid w:val="002C2C3E"/>
    <w:pPr>
      <w:ind w:left="1200"/>
    </w:pPr>
    <w:rPr>
      <w:sz w:val="18"/>
      <w:szCs w:val="18"/>
    </w:rPr>
  </w:style>
  <w:style w:type="paragraph" w:styleId="TOC8">
    <w:name w:val="toc 8"/>
    <w:basedOn w:val="Normal"/>
    <w:next w:val="Normal"/>
    <w:autoRedefine/>
    <w:semiHidden/>
    <w:rsid w:val="002C2C3E"/>
    <w:pPr>
      <w:ind w:left="1400"/>
    </w:pPr>
    <w:rPr>
      <w:sz w:val="18"/>
      <w:szCs w:val="18"/>
    </w:rPr>
  </w:style>
  <w:style w:type="paragraph" w:styleId="TOC9">
    <w:name w:val="toc 9"/>
    <w:basedOn w:val="Normal"/>
    <w:next w:val="Normal"/>
    <w:autoRedefine/>
    <w:semiHidden/>
    <w:rsid w:val="002C2C3E"/>
    <w:pPr>
      <w:ind w:left="1600"/>
    </w:pPr>
    <w:rPr>
      <w:sz w:val="18"/>
      <w:szCs w:val="18"/>
    </w:rPr>
  </w:style>
  <w:style w:type="paragraph" w:customStyle="1" w:styleId="Titlefigure">
    <w:name w:val="Title_figure"/>
    <w:basedOn w:val="Titletable"/>
    <w:next w:val="NormalNonumber"/>
    <w:rsid w:val="000247B0"/>
    <w:rPr>
      <w:bCs w:val="0"/>
    </w:rPr>
  </w:style>
  <w:style w:type="paragraph" w:styleId="TableofFigures">
    <w:name w:val="table of figures"/>
    <w:basedOn w:val="Normal"/>
    <w:next w:val="Normal"/>
    <w:autoRedefine/>
    <w:semiHidden/>
    <w:rsid w:val="002A237D"/>
    <w:pPr>
      <w:ind w:left="1814" w:hanging="567"/>
    </w:pPr>
  </w:style>
  <w:style w:type="paragraph" w:customStyle="1" w:styleId="CH1">
    <w:name w:val="CH1"/>
    <w:basedOn w:val="Normal"/>
    <w:next w:val="CH2"/>
    <w:rsid w:val="006303B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number"/>
    <w:rsid w:val="00CE524C"/>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number"/>
    <w:rsid w:val="006303B4"/>
    <w:pPr>
      <w:keepNext/>
      <w:keepLines/>
      <w:tabs>
        <w:tab w:val="right" w:pos="851"/>
      </w:tabs>
      <w:suppressAutoHyphens/>
      <w:spacing w:after="120"/>
      <w:ind w:left="1247" w:right="284" w:hanging="1247"/>
    </w:pPr>
    <w:rPr>
      <w:b/>
    </w:rPr>
  </w:style>
  <w:style w:type="paragraph" w:customStyle="1" w:styleId="CH4">
    <w:name w:val="CH4"/>
    <w:basedOn w:val="Normal"/>
    <w:next w:val="Normalnumber"/>
    <w:rsid w:val="004C5C96"/>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1F75DE"/>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semiHidden/>
    <w:rsid w:val="00D8108C"/>
    <w:pPr>
      <w:keepNext/>
      <w:keepLines/>
      <w:tabs>
        <w:tab w:val="right" w:pos="851"/>
      </w:tabs>
      <w:suppressAutoHyphens/>
      <w:spacing w:after="120"/>
      <w:ind w:left="1247" w:right="284" w:hanging="1247"/>
    </w:pPr>
    <w:rPr>
      <w:b/>
    </w:rPr>
  </w:style>
  <w:style w:type="character" w:styleId="FootnoteReference">
    <w:name w:val="footnote reference"/>
    <w:basedOn w:val="DefaultParagraphFont"/>
    <w:qFormat/>
    <w:rsid w:val="001559C9"/>
    <w:rPr>
      <w:rFonts w:ascii="Times New Roman" w:hAnsi="Times New Roman"/>
      <w:color w:val="auto"/>
      <w:sz w:val="20"/>
      <w:szCs w:val="18"/>
      <w:vertAlign w:val="superscript"/>
    </w:rPr>
  </w:style>
  <w:style w:type="paragraph" w:styleId="FootnoteText">
    <w:name w:val="footnote text"/>
    <w:aliases w:val="Geneva 9,Font: Geneva 9,Boston 10,f,DNV-FT"/>
    <w:basedOn w:val="Normal"/>
    <w:link w:val="FootnoteTextChar"/>
    <w:rsid w:val="00247707"/>
    <w:pPr>
      <w:spacing w:before="20" w:after="40"/>
      <w:ind w:left="1247"/>
    </w:pPr>
    <w:rPr>
      <w:sz w:val="18"/>
    </w:rPr>
  </w:style>
  <w:style w:type="table" w:customStyle="1" w:styleId="AATable">
    <w:name w:val="AA_Table"/>
    <w:basedOn w:val="TableNormal"/>
    <w:rsid w:val="00651BFA"/>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qFormat/>
    <w:rsid w:val="00A469FA"/>
    <w:pPr>
      <w:keepNext/>
      <w:keepLines/>
      <w:suppressAutoHyphens/>
      <w:ind w:right="3402"/>
    </w:pPr>
    <w:rPr>
      <w:b/>
    </w:rPr>
  </w:style>
  <w:style w:type="paragraph" w:customStyle="1" w:styleId="AATitle2">
    <w:name w:val="AA_Title2"/>
    <w:basedOn w:val="AATitle"/>
    <w:rsid w:val="006431A6"/>
    <w:pPr>
      <w:spacing w:before="120" w:after="120"/>
      <w:ind w:right="1701"/>
    </w:pPr>
  </w:style>
  <w:style w:type="paragraph" w:customStyle="1" w:styleId="BBTitle">
    <w:name w:val="BB_Title"/>
    <w:basedOn w:val="Normal"/>
    <w:rsid w:val="0009640C"/>
    <w:pPr>
      <w:keepNext/>
      <w:keepLines/>
      <w:suppressAutoHyphens/>
      <w:spacing w:before="320" w:after="240"/>
      <w:ind w:left="1247" w:right="567"/>
    </w:pPr>
    <w:rPr>
      <w:b/>
      <w:sz w:val="28"/>
      <w:szCs w:val="28"/>
    </w:rPr>
  </w:style>
  <w:style w:type="paragraph" w:styleId="Footer">
    <w:name w:val="footer"/>
    <w:aliases w:val="Footer-pool"/>
    <w:basedOn w:val="Normal"/>
    <w:rsid w:val="002A6864"/>
    <w:pPr>
      <w:tabs>
        <w:tab w:val="center" w:pos="4320"/>
        <w:tab w:val="right" w:pos="8640"/>
      </w:tabs>
      <w:spacing w:before="60" w:after="120"/>
    </w:pPr>
  </w:style>
  <w:style w:type="paragraph" w:styleId="Header">
    <w:name w:val="header"/>
    <w:aliases w:val="Header-pool"/>
    <w:basedOn w:val="Normal"/>
    <w:link w:val="HeaderChar"/>
    <w:rsid w:val="00AB5340"/>
    <w:pPr>
      <w:pBdr>
        <w:bottom w:val="single" w:sz="4" w:space="1" w:color="auto"/>
      </w:pBdr>
      <w:tabs>
        <w:tab w:val="center" w:pos="4536"/>
        <w:tab w:val="right" w:pos="9072"/>
      </w:tabs>
      <w:spacing w:after="120"/>
    </w:pPr>
    <w:rPr>
      <w:b/>
      <w:sz w:val="18"/>
    </w:rPr>
  </w:style>
  <w:style w:type="character" w:styleId="Hyperlink">
    <w:name w:val="Hyperlink"/>
    <w:basedOn w:val="DefaultParagraphFont"/>
    <w:semiHidden/>
    <w:rsid w:val="00715E88"/>
    <w:rPr>
      <w:rFonts w:ascii="Times New Roman" w:hAnsi="Times New Roman"/>
      <w:color w:val="auto"/>
      <w:sz w:val="20"/>
      <w:szCs w:val="20"/>
      <w:u w:val="none"/>
      <w:lang w:val="fr-FR"/>
    </w:rPr>
  </w:style>
  <w:style w:type="numbering" w:customStyle="1" w:styleId="Normallist">
    <w:name w:val="Normal_list"/>
    <w:basedOn w:val="NoList"/>
    <w:rsid w:val="00071886"/>
    <w:pPr>
      <w:numPr>
        <w:numId w:val="16"/>
      </w:numPr>
    </w:pPr>
  </w:style>
  <w:style w:type="paragraph" w:customStyle="1" w:styleId="NormalNonumber">
    <w:name w:val="Normal_No_number"/>
    <w:basedOn w:val="Normal"/>
    <w:rsid w:val="004C5C96"/>
    <w:pPr>
      <w:spacing w:after="120"/>
      <w:ind w:left="1247"/>
    </w:pPr>
  </w:style>
  <w:style w:type="paragraph" w:customStyle="1" w:styleId="Normalnumber">
    <w:name w:val="Normal_number"/>
    <w:basedOn w:val="Normal"/>
    <w:rsid w:val="00071886"/>
    <w:pPr>
      <w:numPr>
        <w:numId w:val="37"/>
      </w:numPr>
      <w:spacing w:after="120"/>
    </w:pPr>
  </w:style>
  <w:style w:type="paragraph" w:customStyle="1" w:styleId="Titletable">
    <w:name w:val="Title_table"/>
    <w:basedOn w:val="Normal"/>
    <w:rsid w:val="000247B0"/>
    <w:pPr>
      <w:keepNext/>
      <w:keepLines/>
      <w:suppressAutoHyphens/>
      <w:spacing w:after="60"/>
      <w:ind w:left="1247"/>
    </w:pPr>
    <w:rPr>
      <w:b/>
      <w:bCs/>
    </w:rPr>
  </w:style>
  <w:style w:type="paragraph" w:styleId="TOC1">
    <w:name w:val="toc 1"/>
    <w:basedOn w:val="Normal"/>
    <w:next w:val="Normal"/>
    <w:rsid w:val="003F0E85"/>
    <w:pPr>
      <w:tabs>
        <w:tab w:val="right" w:leader="dot" w:pos="9486"/>
      </w:tabs>
      <w:spacing w:before="120" w:after="120"/>
      <w:ind w:left="1814" w:hanging="567"/>
    </w:pPr>
    <w:rPr>
      <w:bCs/>
    </w:rPr>
  </w:style>
  <w:style w:type="paragraph" w:styleId="TOC2">
    <w:name w:val="toc 2"/>
    <w:basedOn w:val="Normal"/>
    <w:next w:val="Normal"/>
    <w:rsid w:val="002C2C3E"/>
    <w:pPr>
      <w:tabs>
        <w:tab w:val="right" w:leader="dot" w:pos="9486"/>
      </w:tabs>
      <w:ind w:left="2381" w:hanging="567"/>
    </w:pPr>
  </w:style>
  <w:style w:type="paragraph" w:styleId="TOC3">
    <w:name w:val="toc 3"/>
    <w:basedOn w:val="Normal"/>
    <w:next w:val="Normal"/>
    <w:rsid w:val="002929D8"/>
    <w:pPr>
      <w:tabs>
        <w:tab w:val="right" w:leader="dot" w:pos="9486"/>
      </w:tabs>
      <w:ind w:left="2948" w:hanging="567"/>
    </w:pPr>
    <w:rPr>
      <w:iCs/>
    </w:rPr>
  </w:style>
  <w:style w:type="paragraph" w:styleId="TOC4">
    <w:name w:val="toc 4"/>
    <w:basedOn w:val="Normal"/>
    <w:next w:val="Normal"/>
    <w:rsid w:val="002929D8"/>
    <w:pPr>
      <w:tabs>
        <w:tab w:val="left" w:pos="1000"/>
        <w:tab w:val="right" w:leader="dot" w:pos="9486"/>
      </w:tabs>
      <w:ind w:left="3515" w:hanging="567"/>
    </w:pPr>
    <w:rPr>
      <w:szCs w:val="18"/>
    </w:rPr>
  </w:style>
  <w:style w:type="paragraph" w:styleId="TOC5">
    <w:name w:val="toc 5"/>
    <w:basedOn w:val="Normal"/>
    <w:next w:val="Normal"/>
    <w:autoRedefine/>
    <w:semiHidden/>
    <w:rsid w:val="00247707"/>
    <w:pPr>
      <w:ind w:left="800"/>
    </w:pPr>
    <w:rPr>
      <w:sz w:val="18"/>
      <w:szCs w:val="18"/>
    </w:rPr>
  </w:style>
  <w:style w:type="paragraph" w:customStyle="1" w:styleId="ZZAnxheader">
    <w:name w:val="ZZ_Anx_header"/>
    <w:basedOn w:val="Normal"/>
    <w:rsid w:val="00715E88"/>
    <w:rPr>
      <w:b/>
      <w:bCs/>
      <w:sz w:val="28"/>
    </w:rPr>
  </w:style>
  <w:style w:type="paragraph" w:customStyle="1" w:styleId="ZZAnxtitle">
    <w:name w:val="ZZ_Anx_title"/>
    <w:basedOn w:val="Normal"/>
    <w:rsid w:val="00715E88"/>
    <w:pPr>
      <w:spacing w:before="360" w:after="120"/>
      <w:ind w:left="1247"/>
    </w:pPr>
    <w:rPr>
      <w:b/>
      <w:bCs/>
      <w:sz w:val="28"/>
      <w:szCs w:val="26"/>
    </w:rPr>
  </w:style>
  <w:style w:type="paragraph" w:styleId="ListParagraph">
    <w:name w:val="List Paragraph"/>
    <w:basedOn w:val="Normal"/>
    <w:uiPriority w:val="34"/>
    <w:qFormat/>
    <w:rsid w:val="00CC766A"/>
    <w:pPr>
      <w:ind w:left="720"/>
      <w:contextualSpacing/>
    </w:pPr>
  </w:style>
  <w:style w:type="character" w:customStyle="1" w:styleId="FootnoteTextChar">
    <w:name w:val="Footnote Text Char"/>
    <w:aliases w:val="Geneva 9 Char,Font: Geneva 9 Char,Boston 10 Char,f Char,DNV-FT Char"/>
    <w:link w:val="FootnoteText"/>
    <w:qFormat/>
    <w:rsid w:val="00CC766A"/>
    <w:rPr>
      <w:sz w:val="18"/>
      <w:lang w:val="en-GB"/>
    </w:rPr>
  </w:style>
  <w:style w:type="table" w:styleId="TableGrid">
    <w:name w:val="Table Grid"/>
    <w:basedOn w:val="TableNormal"/>
    <w:rsid w:val="00CC76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CC766A"/>
    <w:rPr>
      <w:rFonts w:ascii="Segoe UI" w:hAnsi="Segoe UI" w:cs="Segoe UI"/>
      <w:sz w:val="18"/>
      <w:szCs w:val="18"/>
    </w:rPr>
  </w:style>
  <w:style w:type="character" w:customStyle="1" w:styleId="BalloonTextChar">
    <w:name w:val="Balloon Text Char"/>
    <w:basedOn w:val="DefaultParagraphFont"/>
    <w:link w:val="BalloonText"/>
    <w:rsid w:val="00CC766A"/>
    <w:rPr>
      <w:rFonts w:ascii="Segoe UI" w:eastAsia="Calibri" w:hAnsi="Segoe UI" w:cs="Segoe UI"/>
      <w:sz w:val="18"/>
      <w:szCs w:val="18"/>
      <w:lang w:val="en-GB"/>
    </w:rPr>
  </w:style>
  <w:style w:type="character" w:customStyle="1" w:styleId="HeaderChar">
    <w:name w:val="Header Char"/>
    <w:aliases w:val="Header-pool Char"/>
    <w:basedOn w:val="DefaultParagraphFont"/>
    <w:link w:val="Header"/>
    <w:rsid w:val="00455F0E"/>
    <w:rPr>
      <w:rFonts w:eastAsia="Calibri"/>
      <w:b/>
      <w:sz w:val="18"/>
      <w:szCs w:val="22"/>
      <w:lang w:val="en-GB"/>
    </w:rPr>
  </w:style>
  <w:style w:type="character" w:customStyle="1" w:styleId="Normal-poolChar1">
    <w:name w:val="Normal-pool Char1"/>
    <w:locked/>
    <w:rsid w:val="007F405D"/>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985823">
      <w:bodyDiv w:val="1"/>
      <w:marLeft w:val="0"/>
      <w:marRight w:val="0"/>
      <w:marTop w:val="0"/>
      <w:marBottom w:val="0"/>
      <w:divBdr>
        <w:top w:val="none" w:sz="0" w:space="0" w:color="auto"/>
        <w:left w:val="none" w:sz="0" w:space="0" w:color="auto"/>
        <w:bottom w:val="none" w:sz="0" w:space="0" w:color="auto"/>
        <w:right w:val="none" w:sz="0" w:space="0" w:color="auto"/>
      </w:divBdr>
    </w:div>
    <w:div w:id="351540131">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07385585">
      <w:bodyDiv w:val="1"/>
      <w:marLeft w:val="0"/>
      <w:marRight w:val="0"/>
      <w:marTop w:val="0"/>
      <w:marBottom w:val="0"/>
      <w:divBdr>
        <w:top w:val="none" w:sz="0" w:space="0" w:color="auto"/>
        <w:left w:val="none" w:sz="0" w:space="0" w:color="auto"/>
        <w:bottom w:val="none" w:sz="0" w:space="0" w:color="auto"/>
        <w:right w:val="none" w:sz="0" w:space="0" w:color="auto"/>
      </w:divBdr>
    </w:div>
    <w:div w:id="1128158344">
      <w:bodyDiv w:val="1"/>
      <w:marLeft w:val="0"/>
      <w:marRight w:val="0"/>
      <w:marTop w:val="0"/>
      <w:marBottom w:val="0"/>
      <w:divBdr>
        <w:top w:val="none" w:sz="0" w:space="0" w:color="auto"/>
        <w:left w:val="none" w:sz="0" w:space="0" w:color="auto"/>
        <w:bottom w:val="none" w:sz="0" w:space="0" w:color="auto"/>
        <w:right w:val="none" w:sz="0" w:space="0" w:color="auto"/>
      </w:divBdr>
    </w:div>
    <w:div w:id="1185679590">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62026932">
      <w:bodyDiv w:val="1"/>
      <w:marLeft w:val="0"/>
      <w:marRight w:val="0"/>
      <w:marTop w:val="0"/>
      <w:marBottom w:val="0"/>
      <w:divBdr>
        <w:top w:val="none" w:sz="0" w:space="0" w:color="auto"/>
        <w:left w:val="none" w:sz="0" w:space="0" w:color="auto"/>
        <w:bottom w:val="none" w:sz="0" w:space="0" w:color="auto"/>
        <w:right w:val="none" w:sz="0" w:space="0" w:color="auto"/>
      </w:divBdr>
      <w:divsChild>
        <w:div w:id="945238401">
          <w:marLeft w:val="0"/>
          <w:marRight w:val="0"/>
          <w:marTop w:val="0"/>
          <w:marBottom w:val="0"/>
          <w:divBdr>
            <w:top w:val="none" w:sz="0" w:space="0" w:color="auto"/>
            <w:left w:val="none" w:sz="0" w:space="0" w:color="auto"/>
            <w:bottom w:val="none" w:sz="0" w:space="0" w:color="auto"/>
            <w:right w:val="none" w:sz="0" w:space="0" w:color="auto"/>
          </w:divBdr>
        </w:div>
      </w:divsChild>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206320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mmunities.unep.org/display/WWQA/Governance?preview=/32407633/38306009/Signed%20Declaration%20by%20ED.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2FB50329565A48AF124FD5AEDB7005" ma:contentTypeVersion="12" ma:contentTypeDescription="Create a new document." ma:contentTypeScope="" ma:versionID="bf69bddce365fe1f5a99a555c5f6fe74">
  <xsd:schema xmlns:xsd="http://www.w3.org/2001/XMLSchema" xmlns:xs="http://www.w3.org/2001/XMLSchema" xmlns:p="http://schemas.microsoft.com/office/2006/metadata/properties" xmlns:ns2="5d693317-dfa7-412a-abe4-7ce112bf53c4" xmlns:ns3="cb143ef5-806f-4fef-82da-51d62666dd1b" targetNamespace="http://schemas.microsoft.com/office/2006/metadata/properties" ma:root="true" ma:fieldsID="dc64cfbfa3d7649cd3764f02973b3e58" ns2:_="" ns3:_="">
    <xsd:import namespace="5d693317-dfa7-412a-abe4-7ce112bf53c4"/>
    <xsd:import namespace="cb143ef5-806f-4fef-82da-51d62666dd1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693317-dfa7-412a-abe4-7ce112bf53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143ef5-806f-4fef-82da-51d62666dd1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44B13-5D6D-48EC-AE31-CAEC4AEA39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693317-dfa7-412a-abe4-7ce112bf53c4"/>
    <ds:schemaRef ds:uri="cb143ef5-806f-4fef-82da-51d62666dd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06A2C5-E0BB-4733-8FBD-2F26125D898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3D320FB-EACD-47AF-AD94-A0A65A121EEA}">
  <ds:schemaRefs>
    <ds:schemaRef ds:uri="http://schemas.microsoft.com/sharepoint/v3/contenttype/forms"/>
  </ds:schemaRefs>
</ds:datastoreItem>
</file>

<file path=customXml/itemProps4.xml><?xml version="1.0" encoding="utf-8"?>
<ds:datastoreItem xmlns:ds="http://schemas.openxmlformats.org/officeDocument/2006/customXml" ds:itemID="{750BF1EA-4020-457E-ADD8-6B6347BD7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8</Pages>
  <Words>4897</Words>
  <Characters>27914</Characters>
  <Application>Microsoft Office Word</Application>
  <DocSecurity>0</DocSecurity>
  <Lines>232</Lines>
  <Paragraphs>65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NATIONS UNIES</vt:lpstr>
      <vt:lpstr>NATIONS UNIES</vt:lpstr>
    </vt:vector>
  </TitlesOfParts>
  <Company>United Nations</Company>
  <LinksUpToDate>false</LinksUpToDate>
  <CharactersWithSpaces>32746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Veronica Gathu</dc:creator>
  <cp:lastModifiedBy>Tamara Olago</cp:lastModifiedBy>
  <cp:revision>9</cp:revision>
  <cp:lastPrinted>2017-12-03T12:37:00Z</cp:lastPrinted>
  <dcterms:created xsi:type="dcterms:W3CDTF">2020-12-28T07:49:00Z</dcterms:created>
  <dcterms:modified xsi:type="dcterms:W3CDTF">2020-12-30T06:30:00Z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denis.pshenichnikov</vt:lpwstr>
  </property>
  <property fmtid="{D5CDD505-2E9C-101B-9397-08002B2CF9AE}" pid="4" name="GeneratedDate">
    <vt:lpwstr>10/25/2017 1:39:20 PM</vt:lpwstr>
  </property>
  <property fmtid="{D5CDD505-2E9C-101B-9397-08002B2CF9AE}" pid="5" name="OriginalDocID">
    <vt:lpwstr>865e7234-c186-4932-8223-85f5cd2fd5f8</vt:lpwstr>
  </property>
  <property fmtid="{D5CDD505-2E9C-101B-9397-08002B2CF9AE}" pid="6" name="ContentTypeId">
    <vt:lpwstr>0x010100832FB50329565A48AF124FD5AEDB7005</vt:lpwstr>
  </property>
</Properties>
</file>