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D82E8E" w:rsidRPr="00DF70F3" w14:paraId="4D22BAF1" w14:textId="77777777" w:rsidTr="00D82E8E">
        <w:trPr>
          <w:cantSplit/>
          <w:trHeight w:val="57"/>
          <w:jc w:val="right"/>
        </w:trPr>
        <w:tc>
          <w:tcPr>
            <w:tcW w:w="1519" w:type="dxa"/>
          </w:tcPr>
          <w:p w14:paraId="1CC5B871" w14:textId="5C40AA54" w:rsidR="00D82E8E" w:rsidRPr="00DF70F3" w:rsidRDefault="007C28ED" w:rsidP="003A2A20">
            <w:pPr>
              <w:pStyle w:val="Normalpool"/>
              <w:rPr>
                <w:rFonts w:ascii="Arial" w:hAnsi="Arial" w:cs="Arial"/>
                <w:b/>
                <w:bCs/>
                <w:noProof/>
                <w:sz w:val="27"/>
                <w:szCs w:val="27"/>
                <w:lang w:val="fr-FR"/>
              </w:rPr>
            </w:pPr>
            <w:bookmarkStart w:id="0" w:name="_Hlk50460304"/>
            <w:bookmarkStart w:id="1" w:name="_Hlk50460583"/>
            <w:r w:rsidRPr="00DF70F3">
              <w:rPr>
                <w:rFonts w:ascii="Arial" w:hAnsi="Arial" w:cs="Arial"/>
                <w:b/>
                <w:bCs/>
                <w:noProof/>
                <w:sz w:val="27"/>
                <w:szCs w:val="27"/>
                <w:lang w:val="fr-FR"/>
              </w:rPr>
              <w:t>NATIONS</w:t>
            </w:r>
            <w:r w:rsidR="00D82E8E" w:rsidRPr="00DF70F3">
              <w:rPr>
                <w:rFonts w:ascii="Arial" w:hAnsi="Arial" w:cs="Arial"/>
                <w:b/>
                <w:bCs/>
                <w:noProof/>
                <w:sz w:val="27"/>
                <w:szCs w:val="27"/>
                <w:lang w:val="fr-FR"/>
              </w:rPr>
              <w:t xml:space="preserve"> </w:t>
            </w:r>
            <w:r w:rsidR="00D82E8E" w:rsidRPr="00DF70F3">
              <w:rPr>
                <w:rFonts w:ascii="Arial" w:hAnsi="Arial" w:cs="Arial"/>
                <w:b/>
                <w:bCs/>
                <w:noProof/>
                <w:sz w:val="27"/>
                <w:szCs w:val="27"/>
                <w:lang w:val="fr-FR"/>
              </w:rPr>
              <w:br/>
            </w:r>
            <w:r w:rsidRPr="00DF70F3">
              <w:rPr>
                <w:rFonts w:ascii="Arial" w:hAnsi="Arial" w:cs="Arial"/>
                <w:b/>
                <w:bCs/>
                <w:noProof/>
                <w:sz w:val="27"/>
                <w:szCs w:val="27"/>
                <w:lang w:val="fr-FR"/>
              </w:rPr>
              <w:t>UNIES</w:t>
            </w:r>
          </w:p>
        </w:tc>
        <w:tc>
          <w:tcPr>
            <w:tcW w:w="5224" w:type="dxa"/>
          </w:tcPr>
          <w:p w14:paraId="68418B9C" w14:textId="77777777" w:rsidR="00D82E8E" w:rsidRPr="00DF70F3" w:rsidRDefault="00D82E8E" w:rsidP="003A2A20">
            <w:pPr>
              <w:pStyle w:val="Normalpool"/>
              <w:rPr>
                <w:noProof/>
                <w:lang w:val="fr-FR"/>
              </w:rPr>
            </w:pPr>
          </w:p>
        </w:tc>
        <w:tc>
          <w:tcPr>
            <w:tcW w:w="2753" w:type="dxa"/>
          </w:tcPr>
          <w:p w14:paraId="3595C13B" w14:textId="77777777" w:rsidR="00D82E8E" w:rsidRPr="00DF70F3" w:rsidRDefault="00D82E8E" w:rsidP="003A2A20">
            <w:pPr>
              <w:pStyle w:val="Normalpool"/>
              <w:jc w:val="right"/>
              <w:rPr>
                <w:rFonts w:ascii="Arial" w:hAnsi="Arial" w:cs="Arial"/>
                <w:b/>
                <w:bCs/>
                <w:noProof/>
                <w:sz w:val="64"/>
                <w:szCs w:val="64"/>
                <w:lang w:val="fr-FR"/>
              </w:rPr>
            </w:pPr>
            <w:r w:rsidRPr="00DF70F3">
              <w:rPr>
                <w:rFonts w:ascii="Arial" w:hAnsi="Arial" w:cs="Arial"/>
                <w:b/>
                <w:bCs/>
                <w:noProof/>
                <w:sz w:val="64"/>
                <w:szCs w:val="64"/>
                <w:lang w:val="fr-FR"/>
              </w:rPr>
              <w:t>EP</w:t>
            </w:r>
          </w:p>
        </w:tc>
      </w:tr>
      <w:tr w:rsidR="00D82E8E" w:rsidRPr="00DF70F3" w14:paraId="6863D2A5" w14:textId="77777777" w:rsidTr="00D82E8E">
        <w:trPr>
          <w:cantSplit/>
          <w:trHeight w:val="57"/>
          <w:jc w:val="right"/>
        </w:trPr>
        <w:tc>
          <w:tcPr>
            <w:tcW w:w="1519" w:type="dxa"/>
            <w:tcBorders>
              <w:bottom w:val="single" w:sz="4" w:space="0" w:color="auto"/>
            </w:tcBorders>
          </w:tcPr>
          <w:p w14:paraId="486A8678" w14:textId="77777777" w:rsidR="00D82E8E" w:rsidRPr="00DF70F3" w:rsidRDefault="00D82E8E" w:rsidP="003A2A20">
            <w:pPr>
              <w:pStyle w:val="Normalpool"/>
              <w:rPr>
                <w:noProof/>
                <w:lang w:val="fr-FR"/>
              </w:rPr>
            </w:pPr>
          </w:p>
        </w:tc>
        <w:tc>
          <w:tcPr>
            <w:tcW w:w="5224" w:type="dxa"/>
            <w:tcBorders>
              <w:bottom w:val="single" w:sz="4" w:space="0" w:color="auto"/>
            </w:tcBorders>
          </w:tcPr>
          <w:p w14:paraId="39B5780B" w14:textId="77777777" w:rsidR="00D82E8E" w:rsidRPr="00DF70F3" w:rsidRDefault="00D82E8E" w:rsidP="003A2A20">
            <w:pPr>
              <w:pStyle w:val="Normalpool"/>
              <w:rPr>
                <w:noProof/>
                <w:sz w:val="18"/>
                <w:szCs w:val="18"/>
                <w:lang w:val="fr-FR"/>
              </w:rPr>
            </w:pPr>
          </w:p>
        </w:tc>
        <w:tc>
          <w:tcPr>
            <w:tcW w:w="2753" w:type="dxa"/>
            <w:tcBorders>
              <w:bottom w:val="single" w:sz="4" w:space="0" w:color="auto"/>
            </w:tcBorders>
          </w:tcPr>
          <w:p w14:paraId="01CB1EA8" w14:textId="0472485F" w:rsidR="00D82E8E" w:rsidRPr="00DF70F3" w:rsidRDefault="00D82E8E" w:rsidP="003A2A20">
            <w:pPr>
              <w:pStyle w:val="Normalpool"/>
              <w:rPr>
                <w:noProof/>
                <w:sz w:val="18"/>
                <w:szCs w:val="18"/>
                <w:lang w:val="fr-FR"/>
              </w:rPr>
            </w:pPr>
            <w:r w:rsidRPr="00DF70F3">
              <w:rPr>
                <w:b/>
                <w:bCs/>
                <w:noProof/>
                <w:sz w:val="28"/>
                <w:lang w:val="fr-FR"/>
              </w:rPr>
              <w:t>UNEP</w:t>
            </w:r>
            <w:r w:rsidRPr="00DF70F3">
              <w:rPr>
                <w:noProof/>
                <w:lang w:val="fr-FR"/>
              </w:rPr>
              <w:t>/EA.</w:t>
            </w:r>
            <w:r w:rsidR="005D3FBC" w:rsidRPr="00DF70F3">
              <w:rPr>
                <w:noProof/>
                <w:lang w:val="fr-FR"/>
              </w:rPr>
              <w:t>5</w:t>
            </w:r>
            <w:r w:rsidRPr="00DF70F3">
              <w:rPr>
                <w:noProof/>
                <w:lang w:val="fr-FR"/>
              </w:rPr>
              <w:t>/</w:t>
            </w:r>
            <w:r w:rsidR="001C14E9" w:rsidRPr="00DF70F3">
              <w:rPr>
                <w:noProof/>
                <w:lang w:val="fr-FR"/>
              </w:rPr>
              <w:t>8</w:t>
            </w:r>
          </w:p>
        </w:tc>
      </w:tr>
      <w:bookmarkStart w:id="2" w:name="_MON_1021710510"/>
      <w:bookmarkEnd w:id="2"/>
      <w:tr w:rsidR="00D82E8E" w:rsidRPr="00DF70F3" w14:paraId="7E68EA3E" w14:textId="77777777" w:rsidTr="00D82E8E">
        <w:trPr>
          <w:cantSplit/>
          <w:trHeight w:val="57"/>
          <w:jc w:val="right"/>
        </w:trPr>
        <w:tc>
          <w:tcPr>
            <w:tcW w:w="1519" w:type="dxa"/>
            <w:tcBorders>
              <w:top w:val="single" w:sz="4" w:space="0" w:color="auto"/>
              <w:bottom w:val="single" w:sz="24" w:space="0" w:color="auto"/>
            </w:tcBorders>
          </w:tcPr>
          <w:p w14:paraId="5894E5F3" w14:textId="77777777" w:rsidR="00D82E8E" w:rsidRPr="00DF70F3" w:rsidRDefault="0065503B" w:rsidP="003A2A20">
            <w:pPr>
              <w:pStyle w:val="Normalpool"/>
              <w:rPr>
                <w:noProof/>
                <w:lang w:val="fr-FR"/>
              </w:rPr>
            </w:pPr>
            <w:r w:rsidRPr="00DF70F3">
              <w:rPr>
                <w:noProof/>
                <w:lang w:val="fr-FR"/>
              </w:rPr>
              <w:object w:dxaOrig="1831" w:dyaOrig="1726" w14:anchorId="6C440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61.5pt;mso-width-percent:0;mso-height-percent:0;mso-width-percent:0;mso-height-percent:0" o:ole="" fillcolor="window">
                  <v:imagedata r:id="rId11" o:title=""/>
                </v:shape>
                <o:OLEObject Type="Embed" ProgID="Word.Picture.8" ShapeID="_x0000_i1025" DrawAspect="Content" ObjectID="_1671617445" r:id="rId12"/>
              </w:object>
            </w:r>
            <w:r w:rsidR="00D82E8E" w:rsidRPr="00DF70F3">
              <w:rPr>
                <w:noProof/>
                <w:lang w:val="fr-FR" w:eastAsia="en-GB"/>
              </w:rPr>
              <w:drawing>
                <wp:inline distT="0" distB="0" distL="0" distR="0" wp14:anchorId="28F20D62" wp14:editId="68F8346D">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63467C3C" w14:textId="7EFD6657" w:rsidR="00D82E8E" w:rsidRPr="00DF70F3" w:rsidRDefault="007C28ED" w:rsidP="003A2A20">
            <w:pPr>
              <w:pStyle w:val="Normalpool"/>
              <w:spacing w:before="1400" w:after="120"/>
              <w:rPr>
                <w:rFonts w:ascii="Arial" w:hAnsi="Arial" w:cs="Arial"/>
                <w:b/>
                <w:bCs/>
                <w:noProof/>
                <w:sz w:val="28"/>
                <w:szCs w:val="28"/>
                <w:lang w:val="fr-FR"/>
              </w:rPr>
            </w:pPr>
            <w:r w:rsidRPr="00DF70F3">
              <w:rPr>
                <w:rFonts w:ascii="Arial" w:hAnsi="Arial" w:cs="Arial"/>
                <w:b/>
                <w:bCs/>
                <w:noProof/>
                <w:sz w:val="28"/>
                <w:szCs w:val="28"/>
                <w:lang w:val="fr-FR"/>
              </w:rPr>
              <w:t>Assemblée des Nations Unies pour</w:t>
            </w:r>
            <w:r w:rsidR="00AA2FA4" w:rsidRPr="00DF70F3">
              <w:rPr>
                <w:rFonts w:ascii="Arial" w:hAnsi="Arial" w:cs="Arial"/>
                <w:b/>
                <w:bCs/>
                <w:noProof/>
                <w:sz w:val="28"/>
                <w:szCs w:val="28"/>
                <w:lang w:val="fr-FR"/>
              </w:rPr>
              <w:t> </w:t>
            </w:r>
            <w:r w:rsidRPr="00DF70F3">
              <w:rPr>
                <w:rFonts w:ascii="Arial" w:hAnsi="Arial" w:cs="Arial"/>
                <w:b/>
                <w:bCs/>
                <w:noProof/>
                <w:sz w:val="28"/>
                <w:szCs w:val="28"/>
                <w:lang w:val="fr-FR"/>
              </w:rPr>
              <w:t xml:space="preserve">l’environnement </w:t>
            </w:r>
            <w:r w:rsidR="00AA2FA4" w:rsidRPr="00DF70F3">
              <w:rPr>
                <w:rFonts w:ascii="Arial" w:hAnsi="Arial" w:cs="Arial"/>
                <w:b/>
                <w:bCs/>
                <w:noProof/>
                <w:sz w:val="28"/>
                <w:szCs w:val="28"/>
                <w:lang w:val="fr-FR"/>
              </w:rPr>
              <w:br/>
            </w:r>
            <w:r w:rsidRPr="00DF70F3">
              <w:rPr>
                <w:rFonts w:ascii="Arial" w:hAnsi="Arial" w:cs="Arial"/>
                <w:b/>
                <w:bCs/>
                <w:noProof/>
                <w:sz w:val="28"/>
                <w:szCs w:val="28"/>
                <w:lang w:val="fr-FR"/>
              </w:rPr>
              <w:t>du Programme des Nations Unies pour l’environnement</w:t>
            </w:r>
          </w:p>
        </w:tc>
        <w:tc>
          <w:tcPr>
            <w:tcW w:w="2753" w:type="dxa"/>
            <w:tcBorders>
              <w:top w:val="single" w:sz="4" w:space="0" w:color="auto"/>
              <w:bottom w:val="single" w:sz="24" w:space="0" w:color="auto"/>
            </w:tcBorders>
          </w:tcPr>
          <w:p w14:paraId="499A9697" w14:textId="055A8315" w:rsidR="00596A25" w:rsidRPr="00DF70F3" w:rsidRDefault="00D82E8E" w:rsidP="00596A25">
            <w:pPr>
              <w:pStyle w:val="Normalpool"/>
              <w:spacing w:before="120"/>
              <w:rPr>
                <w:noProof/>
                <w:lang w:val="fr-FR"/>
              </w:rPr>
            </w:pPr>
            <w:r w:rsidRPr="00DF70F3">
              <w:rPr>
                <w:noProof/>
                <w:lang w:val="fr-FR"/>
              </w:rPr>
              <w:t>Distr.</w:t>
            </w:r>
            <w:r w:rsidR="007C28ED" w:rsidRPr="00DF70F3">
              <w:rPr>
                <w:noProof/>
                <w:lang w:val="fr-FR"/>
              </w:rPr>
              <w:t xml:space="preserve"> générale</w:t>
            </w:r>
            <w:r w:rsidR="005D3FBC" w:rsidRPr="00DF70F3">
              <w:rPr>
                <w:noProof/>
                <w:lang w:val="fr-FR"/>
              </w:rPr>
              <w:t xml:space="preserve"> </w:t>
            </w:r>
            <w:r w:rsidR="005D3FBC" w:rsidRPr="00DF70F3">
              <w:rPr>
                <w:noProof/>
                <w:lang w:val="fr-FR"/>
              </w:rPr>
              <w:br/>
            </w:r>
            <w:r w:rsidR="00FE4BB5" w:rsidRPr="00DF70F3">
              <w:rPr>
                <w:noProof/>
                <w:lang w:val="fr-FR"/>
              </w:rPr>
              <w:t>2</w:t>
            </w:r>
            <w:r w:rsidR="007C28ED" w:rsidRPr="00DF70F3">
              <w:rPr>
                <w:noProof/>
                <w:lang w:val="fr-FR"/>
              </w:rPr>
              <w:t> décembre </w:t>
            </w:r>
            <w:r w:rsidR="00FE4BB5" w:rsidRPr="00DF70F3">
              <w:rPr>
                <w:noProof/>
                <w:lang w:val="fr-FR"/>
              </w:rPr>
              <w:t>2020</w:t>
            </w:r>
          </w:p>
          <w:p w14:paraId="7CFB745A" w14:textId="77777777" w:rsidR="007C28ED" w:rsidRPr="00DF70F3" w:rsidRDefault="007C28ED" w:rsidP="007C28ED">
            <w:pPr>
              <w:pStyle w:val="Normalpool"/>
              <w:rPr>
                <w:noProof/>
                <w:lang w:val="fr-FR"/>
              </w:rPr>
            </w:pPr>
          </w:p>
          <w:p w14:paraId="310C8E8C" w14:textId="77ED51DB" w:rsidR="007C28ED" w:rsidRPr="00DF70F3" w:rsidRDefault="007C28ED" w:rsidP="007C28ED">
            <w:pPr>
              <w:pStyle w:val="Normalpool"/>
              <w:rPr>
                <w:noProof/>
                <w:lang w:val="fr-FR"/>
              </w:rPr>
            </w:pPr>
            <w:r w:rsidRPr="00DF70F3">
              <w:rPr>
                <w:noProof/>
                <w:lang w:val="fr-FR"/>
              </w:rPr>
              <w:t>Français</w:t>
            </w:r>
          </w:p>
          <w:p w14:paraId="7B18B872" w14:textId="797ACF97" w:rsidR="00D82E8E" w:rsidRPr="00DF70F3" w:rsidRDefault="001738A4" w:rsidP="007C28ED">
            <w:pPr>
              <w:pStyle w:val="Normalpool"/>
              <w:rPr>
                <w:noProof/>
                <w:lang w:val="fr-FR"/>
              </w:rPr>
            </w:pPr>
            <w:r w:rsidRPr="00DF70F3">
              <w:rPr>
                <w:noProof/>
                <w:lang w:val="fr-FR"/>
              </w:rPr>
              <w:t>Original</w:t>
            </w:r>
            <w:r w:rsidR="007C28ED" w:rsidRPr="00DF70F3">
              <w:rPr>
                <w:noProof/>
                <w:lang w:val="fr-FR"/>
              </w:rPr>
              <w:t> </w:t>
            </w:r>
            <w:r w:rsidRPr="00DF70F3">
              <w:rPr>
                <w:noProof/>
                <w:lang w:val="fr-FR"/>
              </w:rPr>
              <w:t xml:space="preserve">: </w:t>
            </w:r>
            <w:r w:rsidR="007C28ED" w:rsidRPr="00DF70F3">
              <w:rPr>
                <w:noProof/>
                <w:lang w:val="fr-FR"/>
              </w:rPr>
              <w:t>anglais</w:t>
            </w:r>
          </w:p>
        </w:tc>
      </w:tr>
    </w:tbl>
    <w:p w14:paraId="19EF3E0B" w14:textId="68CB3713" w:rsidR="00D82E8E" w:rsidRPr="00DF70F3" w:rsidRDefault="007C28ED" w:rsidP="007C28ED">
      <w:pPr>
        <w:pStyle w:val="AATitle"/>
        <w:ind w:right="3967"/>
        <w:rPr>
          <w:noProof/>
          <w:lang w:val="fr-FR"/>
        </w:rPr>
      </w:pPr>
      <w:r w:rsidRPr="00DF70F3">
        <w:rPr>
          <w:noProof/>
          <w:lang w:val="fr-FR"/>
        </w:rPr>
        <w:t>Assemblée des Nations Unies pour l’environnement du</w:t>
      </w:r>
      <w:r w:rsidR="00BF74B6" w:rsidRPr="00DF70F3">
        <w:rPr>
          <w:noProof/>
          <w:lang w:val="fr-FR"/>
        </w:rPr>
        <w:t> </w:t>
      </w:r>
      <w:r w:rsidRPr="00DF70F3">
        <w:rPr>
          <w:noProof/>
          <w:lang w:val="fr-FR"/>
        </w:rPr>
        <w:t>Programme des Nations Unies pour l’environnement</w:t>
      </w:r>
    </w:p>
    <w:p w14:paraId="0A2BE6AB" w14:textId="1EC4A1F4" w:rsidR="00D82E8E" w:rsidRPr="00DF70F3" w:rsidRDefault="007C28ED" w:rsidP="00D82E8E">
      <w:pPr>
        <w:pStyle w:val="AATitle"/>
        <w:rPr>
          <w:noProof/>
          <w:lang w:val="fr-FR"/>
        </w:rPr>
      </w:pPr>
      <w:r w:rsidRPr="00DF70F3">
        <w:rPr>
          <w:noProof/>
          <w:lang w:val="fr-FR"/>
        </w:rPr>
        <w:t>Cinquième </w:t>
      </w:r>
      <w:r w:rsidR="00D82E8E" w:rsidRPr="00DF70F3">
        <w:rPr>
          <w:noProof/>
          <w:lang w:val="fr-FR"/>
        </w:rPr>
        <w:t>session</w:t>
      </w:r>
    </w:p>
    <w:p w14:paraId="68766C31" w14:textId="6DE3B3E5" w:rsidR="00596A25" w:rsidRPr="00DF70F3" w:rsidRDefault="00F04DD3" w:rsidP="00596A25">
      <w:pPr>
        <w:keepNext/>
        <w:keepLines/>
        <w:tabs>
          <w:tab w:val="clear" w:pos="1814"/>
          <w:tab w:val="clear" w:pos="2381"/>
          <w:tab w:val="clear" w:pos="2948"/>
          <w:tab w:val="clear" w:pos="3515"/>
        </w:tabs>
        <w:suppressAutoHyphens/>
        <w:ind w:right="5103"/>
        <w:rPr>
          <w:bCs/>
          <w:noProof/>
          <w:lang w:val="fr-FR"/>
        </w:rPr>
      </w:pPr>
      <w:r w:rsidRPr="00DF70F3">
        <w:rPr>
          <w:bCs/>
          <w:noProof/>
          <w:lang w:val="fr-FR"/>
        </w:rPr>
        <w:t>Nairobi (e</w:t>
      </w:r>
      <w:r w:rsidR="007C28ED" w:rsidRPr="00DF70F3">
        <w:rPr>
          <w:bCs/>
          <w:noProof/>
          <w:lang w:val="fr-FR"/>
        </w:rPr>
        <w:t>n ligne</w:t>
      </w:r>
      <w:r w:rsidRPr="00DF70F3">
        <w:rPr>
          <w:bCs/>
          <w:noProof/>
          <w:lang w:val="fr-FR"/>
        </w:rPr>
        <w:t>)</w:t>
      </w:r>
      <w:r w:rsidR="00596A25" w:rsidRPr="00DF70F3">
        <w:rPr>
          <w:bCs/>
          <w:noProof/>
          <w:lang w:val="fr-FR"/>
        </w:rPr>
        <w:t>, 22–26</w:t>
      </w:r>
      <w:r w:rsidR="007C28ED" w:rsidRPr="00DF70F3">
        <w:rPr>
          <w:bCs/>
          <w:noProof/>
          <w:lang w:val="fr-FR"/>
        </w:rPr>
        <w:t> février </w:t>
      </w:r>
      <w:r w:rsidR="00596A25" w:rsidRPr="00DF70F3">
        <w:rPr>
          <w:bCs/>
          <w:noProof/>
          <w:lang w:val="fr-FR"/>
        </w:rPr>
        <w:t>2021</w:t>
      </w:r>
      <w:r w:rsidR="00594262" w:rsidRPr="00DF70F3">
        <w:rPr>
          <w:bCs/>
          <w:noProof/>
          <w:lang w:val="fr-FR"/>
        </w:rPr>
        <w:footnoteReference w:customMarkFollows="1" w:id="2"/>
        <w:t>*</w:t>
      </w:r>
    </w:p>
    <w:p w14:paraId="22218B50" w14:textId="22853945" w:rsidR="00596A25" w:rsidRPr="00DF70F3" w:rsidRDefault="007C28ED" w:rsidP="00596A25">
      <w:pPr>
        <w:keepNext/>
        <w:keepLines/>
        <w:shd w:val="clear" w:color="auto" w:fill="FFFFFF" w:themeFill="background1"/>
        <w:tabs>
          <w:tab w:val="clear" w:pos="1814"/>
          <w:tab w:val="clear" w:pos="2381"/>
          <w:tab w:val="clear" w:pos="2948"/>
          <w:tab w:val="clear" w:pos="3515"/>
        </w:tabs>
        <w:suppressAutoHyphens/>
        <w:ind w:right="5103"/>
        <w:rPr>
          <w:bCs/>
          <w:noProof/>
          <w:lang w:val="fr-FR"/>
        </w:rPr>
      </w:pPr>
      <w:r w:rsidRPr="00DF70F3">
        <w:rPr>
          <w:bCs/>
          <w:noProof/>
          <w:lang w:val="fr-FR"/>
        </w:rPr>
        <w:t>Point </w:t>
      </w:r>
      <w:r w:rsidR="00596A25" w:rsidRPr="00DF70F3">
        <w:rPr>
          <w:bCs/>
          <w:noProof/>
          <w:lang w:val="fr-FR"/>
        </w:rPr>
        <w:t xml:space="preserve">5 </w:t>
      </w:r>
      <w:r w:rsidRPr="00DF70F3">
        <w:rPr>
          <w:bCs/>
          <w:noProof/>
          <w:lang w:val="fr-FR"/>
        </w:rPr>
        <w:t>de l’ordre du jour provisoire</w:t>
      </w:r>
      <w:r w:rsidR="00594262" w:rsidRPr="00DF70F3">
        <w:rPr>
          <w:bCs/>
          <w:noProof/>
          <w:lang w:val="fr-FR"/>
        </w:rPr>
        <w:footnoteReference w:customMarkFollows="1" w:id="3"/>
        <w:t>**</w:t>
      </w:r>
    </w:p>
    <w:p w14:paraId="7BEA4B09" w14:textId="33F43211" w:rsidR="00596A25" w:rsidRPr="00DF70F3" w:rsidRDefault="007C28ED" w:rsidP="001B3508">
      <w:pPr>
        <w:pStyle w:val="AATitle2"/>
        <w:tabs>
          <w:tab w:val="left" w:pos="1247"/>
        </w:tabs>
        <w:rPr>
          <w:noProof/>
          <w:lang w:val="fr-FR"/>
        </w:rPr>
      </w:pPr>
      <w:r w:rsidRPr="00DF70F3">
        <w:rPr>
          <w:noProof/>
          <w:lang w:val="fr-FR"/>
        </w:rPr>
        <w:t xml:space="preserve">Questions relatives à la politique et à la gouvernance internationales en matière d’environnement </w:t>
      </w:r>
    </w:p>
    <w:p w14:paraId="180BD396" w14:textId="592DC363" w:rsidR="00596A25" w:rsidRPr="00DF70F3" w:rsidRDefault="00DD280A" w:rsidP="00FE4BB5">
      <w:pPr>
        <w:pStyle w:val="BBTitle"/>
        <w:rPr>
          <w:noProof/>
          <w:lang w:val="fr-FR"/>
        </w:rPr>
      </w:pPr>
      <w:r w:rsidRPr="00DF70F3">
        <w:rPr>
          <w:noProof/>
          <w:lang w:val="fr-FR"/>
        </w:rPr>
        <w:t>Progrès accomplis dans l’application de la résolution </w:t>
      </w:r>
      <w:r w:rsidR="00596A25" w:rsidRPr="00DF70F3">
        <w:rPr>
          <w:noProof/>
          <w:lang w:val="fr-FR"/>
        </w:rPr>
        <w:t xml:space="preserve">4/6 </w:t>
      </w:r>
      <w:r w:rsidRPr="00DF70F3">
        <w:rPr>
          <w:noProof/>
          <w:lang w:val="fr-FR"/>
        </w:rPr>
        <w:t>sur</w:t>
      </w:r>
      <w:r w:rsidR="00AA2FA4" w:rsidRPr="00DF70F3">
        <w:rPr>
          <w:noProof/>
          <w:lang w:val="fr-FR"/>
        </w:rPr>
        <w:t> </w:t>
      </w:r>
      <w:r w:rsidRPr="00DF70F3">
        <w:rPr>
          <w:noProof/>
          <w:lang w:val="fr-FR"/>
        </w:rPr>
        <w:t>les</w:t>
      </w:r>
      <w:r w:rsidR="00AA2FA4" w:rsidRPr="00DF70F3">
        <w:rPr>
          <w:noProof/>
          <w:lang w:val="fr-FR"/>
        </w:rPr>
        <w:t> </w:t>
      </w:r>
      <w:r w:rsidRPr="00DF70F3">
        <w:rPr>
          <w:noProof/>
          <w:lang w:val="fr-FR"/>
        </w:rPr>
        <w:t xml:space="preserve">déchets plastiques et les microplastiques dans </w:t>
      </w:r>
      <w:r w:rsidR="00AA2FA4" w:rsidRPr="00DF70F3">
        <w:rPr>
          <w:noProof/>
          <w:lang w:val="fr-FR"/>
        </w:rPr>
        <w:br/>
      </w:r>
      <w:r w:rsidRPr="00DF70F3">
        <w:rPr>
          <w:noProof/>
          <w:lang w:val="fr-FR"/>
        </w:rPr>
        <w:t>le milieu marin</w:t>
      </w:r>
      <w:r w:rsidR="00596A25" w:rsidRPr="00DF70F3">
        <w:rPr>
          <w:noProof/>
          <w:lang w:val="fr-FR"/>
        </w:rPr>
        <w:t xml:space="preserve"> </w:t>
      </w:r>
    </w:p>
    <w:p w14:paraId="37C58AA1" w14:textId="63D55C46" w:rsidR="00596A25" w:rsidRPr="00DF70F3" w:rsidRDefault="00FE4BB5" w:rsidP="00FE4BB5">
      <w:pPr>
        <w:pStyle w:val="CH2"/>
        <w:rPr>
          <w:noProof/>
          <w:lang w:val="fr-FR"/>
        </w:rPr>
      </w:pPr>
      <w:r w:rsidRPr="00DF70F3">
        <w:rPr>
          <w:noProof/>
          <w:lang w:val="fr-FR"/>
        </w:rPr>
        <w:tab/>
      </w:r>
      <w:r w:rsidRPr="00DF70F3">
        <w:rPr>
          <w:noProof/>
          <w:lang w:val="fr-FR"/>
        </w:rPr>
        <w:tab/>
      </w:r>
      <w:r w:rsidR="00DD280A" w:rsidRPr="00DF70F3">
        <w:rPr>
          <w:noProof/>
          <w:lang w:val="fr-FR"/>
        </w:rPr>
        <w:t>Rapport de la Directrice exécutive</w:t>
      </w:r>
    </w:p>
    <w:p w14:paraId="7C774720" w14:textId="0A5BC671" w:rsidR="00596A25" w:rsidRPr="00DF70F3" w:rsidRDefault="00FE4BB5" w:rsidP="00FE4BB5">
      <w:pPr>
        <w:pStyle w:val="CH1"/>
        <w:rPr>
          <w:noProof/>
          <w:lang w:val="fr-FR"/>
        </w:rPr>
      </w:pPr>
      <w:r w:rsidRPr="00DF70F3">
        <w:rPr>
          <w:noProof/>
          <w:lang w:val="fr-FR"/>
        </w:rPr>
        <w:tab/>
      </w:r>
      <w:r w:rsidRPr="00DF70F3">
        <w:rPr>
          <w:noProof/>
          <w:lang w:val="fr-FR"/>
        </w:rPr>
        <w:tab/>
        <w:t>Introduction</w:t>
      </w:r>
    </w:p>
    <w:p w14:paraId="2E55FB9B" w14:textId="03F13C9C" w:rsidR="00596A25" w:rsidRPr="00DF70F3" w:rsidRDefault="00852EEF" w:rsidP="00DD79A5">
      <w:pPr>
        <w:pStyle w:val="Normalnumber"/>
        <w:ind w:left="1276" w:firstLine="0"/>
        <w:rPr>
          <w:noProof/>
          <w:lang w:val="fr-FR"/>
        </w:rPr>
      </w:pPr>
      <w:r w:rsidRPr="00DF70F3">
        <w:rPr>
          <w:noProof/>
          <w:lang w:val="fr-FR"/>
        </w:rPr>
        <w:t xml:space="preserve">Au </w:t>
      </w:r>
      <w:r w:rsidR="0033091D" w:rsidRPr="00DF70F3">
        <w:rPr>
          <w:noProof/>
          <w:lang w:val="fr-FR"/>
        </w:rPr>
        <w:t>paragraphe </w:t>
      </w:r>
      <w:r w:rsidR="00754884" w:rsidRPr="00DF70F3">
        <w:rPr>
          <w:noProof/>
          <w:lang w:val="fr-FR"/>
        </w:rPr>
        <w:t xml:space="preserve">9 </w:t>
      </w:r>
      <w:r w:rsidR="0033091D" w:rsidRPr="00DF70F3">
        <w:rPr>
          <w:noProof/>
          <w:lang w:val="fr-FR"/>
        </w:rPr>
        <w:t>de sa résolution </w:t>
      </w:r>
      <w:r w:rsidR="00596A25" w:rsidRPr="00DF70F3">
        <w:rPr>
          <w:noProof/>
          <w:lang w:val="fr-FR"/>
        </w:rPr>
        <w:t xml:space="preserve">4/6 </w:t>
      </w:r>
      <w:r w:rsidR="0033091D" w:rsidRPr="00DF70F3">
        <w:rPr>
          <w:noProof/>
          <w:lang w:val="fr-FR"/>
        </w:rPr>
        <w:t>sur les déchets plastiques et les microplastiques dans le milieu marin</w:t>
      </w:r>
      <w:r w:rsidR="00754884" w:rsidRPr="00DF70F3">
        <w:rPr>
          <w:noProof/>
          <w:lang w:val="fr-FR"/>
        </w:rPr>
        <w:t>,</w:t>
      </w:r>
      <w:r w:rsidR="0033091D" w:rsidRPr="00DF70F3">
        <w:rPr>
          <w:noProof/>
          <w:lang w:val="fr-FR"/>
        </w:rPr>
        <w:t xml:space="preserve"> l’Assemblée des Nations Unies pour l’environnement du Programme des Nations Unies pour l’environnement</w:t>
      </w:r>
      <w:r w:rsidR="00754884" w:rsidRPr="00DF70F3">
        <w:rPr>
          <w:noProof/>
          <w:lang w:val="fr-FR"/>
        </w:rPr>
        <w:t xml:space="preserve"> (</w:t>
      </w:r>
      <w:r w:rsidR="0033091D" w:rsidRPr="00DF70F3">
        <w:rPr>
          <w:noProof/>
          <w:lang w:val="fr-FR"/>
        </w:rPr>
        <w:t>PNUE</w:t>
      </w:r>
      <w:r w:rsidR="00596A25" w:rsidRPr="00DF70F3">
        <w:rPr>
          <w:noProof/>
          <w:lang w:val="fr-FR"/>
        </w:rPr>
        <w:t xml:space="preserve">) </w:t>
      </w:r>
      <w:r w:rsidR="00EB2981" w:rsidRPr="00DF70F3">
        <w:rPr>
          <w:noProof/>
          <w:lang w:val="fr-FR"/>
        </w:rPr>
        <w:t>a prié la Directrice exécutive du PNUE de lui faire rapport à sa cinquième session sur les progrès faits dans l’application de la résolution</w:t>
      </w:r>
      <w:r w:rsidR="00596A25" w:rsidRPr="00DF70F3">
        <w:rPr>
          <w:noProof/>
          <w:lang w:val="fr-FR"/>
        </w:rPr>
        <w:t>.</w:t>
      </w:r>
      <w:r w:rsidR="00EB2981" w:rsidRPr="00DF70F3">
        <w:rPr>
          <w:noProof/>
          <w:lang w:val="fr-FR"/>
        </w:rPr>
        <w:t xml:space="preserve"> Le présent rapport a été élaboré comme suite à cette demande</w:t>
      </w:r>
      <w:r w:rsidR="00754884" w:rsidRPr="00DF70F3">
        <w:rPr>
          <w:noProof/>
          <w:lang w:val="fr-FR"/>
        </w:rPr>
        <w:t>.</w:t>
      </w:r>
    </w:p>
    <w:p w14:paraId="1E32B904" w14:textId="04C6A9C7" w:rsidR="00A01A7D" w:rsidRPr="00DF70F3" w:rsidRDefault="006D65E1" w:rsidP="00DD79A5">
      <w:pPr>
        <w:pStyle w:val="Normalnumber"/>
        <w:ind w:left="1276" w:firstLine="0"/>
        <w:rPr>
          <w:noProof/>
          <w:lang w:val="fr-FR"/>
        </w:rPr>
      </w:pPr>
      <w:r w:rsidRPr="00DF70F3">
        <w:rPr>
          <w:noProof/>
          <w:lang w:val="fr-FR"/>
        </w:rPr>
        <w:t>La résolution </w:t>
      </w:r>
      <w:r w:rsidR="00754884" w:rsidRPr="00DF70F3">
        <w:rPr>
          <w:noProof/>
          <w:lang w:val="fr-FR"/>
        </w:rPr>
        <w:t xml:space="preserve">4/6 </w:t>
      </w:r>
      <w:r w:rsidRPr="00DF70F3">
        <w:rPr>
          <w:noProof/>
          <w:lang w:val="fr-FR"/>
        </w:rPr>
        <w:t xml:space="preserve">s’appuie sur trois résolutions antérieures de l’Assemblée pour l’environnement </w:t>
      </w:r>
      <w:r w:rsidR="00A70BCB" w:rsidRPr="00DF70F3">
        <w:rPr>
          <w:noProof/>
          <w:lang w:val="fr-FR"/>
        </w:rPr>
        <w:t>relatives aux</w:t>
      </w:r>
      <w:r w:rsidRPr="00DF70F3">
        <w:rPr>
          <w:noProof/>
          <w:lang w:val="fr-FR"/>
        </w:rPr>
        <w:t xml:space="preserve"> déchets et </w:t>
      </w:r>
      <w:r w:rsidR="00A70BCB" w:rsidRPr="00DF70F3">
        <w:rPr>
          <w:noProof/>
          <w:lang w:val="fr-FR"/>
        </w:rPr>
        <w:t>aux</w:t>
      </w:r>
      <w:r w:rsidRPr="00DF70F3">
        <w:rPr>
          <w:noProof/>
          <w:lang w:val="fr-FR"/>
        </w:rPr>
        <w:t xml:space="preserve"> microplastiques dans le milieu marin </w:t>
      </w:r>
      <w:r w:rsidR="00596A25" w:rsidRPr="00DF70F3">
        <w:rPr>
          <w:noProof/>
          <w:lang w:val="fr-FR"/>
        </w:rPr>
        <w:t>(</w:t>
      </w:r>
      <w:r w:rsidR="00754884" w:rsidRPr="00DF70F3">
        <w:rPr>
          <w:noProof/>
          <w:lang w:val="fr-FR"/>
        </w:rPr>
        <w:t>r</w:t>
      </w:r>
      <w:r w:rsidRPr="00DF70F3">
        <w:rPr>
          <w:noProof/>
          <w:lang w:val="fr-FR"/>
        </w:rPr>
        <w:t>é</w:t>
      </w:r>
      <w:r w:rsidR="00596A25" w:rsidRPr="00DF70F3">
        <w:rPr>
          <w:noProof/>
          <w:lang w:val="fr-FR"/>
        </w:rPr>
        <w:t>solutions</w:t>
      </w:r>
      <w:r w:rsidRPr="00DF70F3">
        <w:rPr>
          <w:noProof/>
          <w:lang w:val="fr-FR"/>
        </w:rPr>
        <w:t> </w:t>
      </w:r>
      <w:r w:rsidR="00596A25" w:rsidRPr="00DF70F3">
        <w:rPr>
          <w:noProof/>
          <w:lang w:val="fr-FR"/>
        </w:rPr>
        <w:t>1/6</w:t>
      </w:r>
      <w:r w:rsidR="00754884" w:rsidRPr="00DF70F3">
        <w:rPr>
          <w:noProof/>
          <w:lang w:val="fr-FR"/>
        </w:rPr>
        <w:t>,</w:t>
      </w:r>
      <w:r w:rsidR="00596A25" w:rsidRPr="00DF70F3">
        <w:rPr>
          <w:noProof/>
          <w:lang w:val="fr-FR"/>
        </w:rPr>
        <w:t xml:space="preserve"> 2/11 </w:t>
      </w:r>
      <w:r w:rsidRPr="00DF70F3">
        <w:rPr>
          <w:noProof/>
          <w:lang w:val="fr-FR"/>
        </w:rPr>
        <w:t>et</w:t>
      </w:r>
      <w:r w:rsidR="00596A25" w:rsidRPr="00DF70F3">
        <w:rPr>
          <w:noProof/>
          <w:lang w:val="fr-FR"/>
        </w:rPr>
        <w:t xml:space="preserve"> 3/7)</w:t>
      </w:r>
      <w:r w:rsidR="005C2B36" w:rsidRPr="00DF70F3">
        <w:rPr>
          <w:noProof/>
          <w:lang w:val="fr-FR"/>
        </w:rPr>
        <w:t xml:space="preserve">. </w:t>
      </w:r>
    </w:p>
    <w:p w14:paraId="4D19C4E9" w14:textId="095FCDAF" w:rsidR="00A01A7D" w:rsidRPr="00DF70F3" w:rsidRDefault="00A33902" w:rsidP="00DD79A5">
      <w:pPr>
        <w:pStyle w:val="Normalnumber"/>
        <w:ind w:left="1276" w:firstLine="0"/>
        <w:rPr>
          <w:noProof/>
          <w:lang w:val="fr-FR"/>
        </w:rPr>
      </w:pPr>
      <w:r w:rsidRPr="00DF70F3">
        <w:rPr>
          <w:noProof/>
          <w:lang w:val="fr-FR"/>
        </w:rPr>
        <w:t xml:space="preserve">Au </w:t>
      </w:r>
      <w:r w:rsidR="006D65E1" w:rsidRPr="00DF70F3">
        <w:rPr>
          <w:noProof/>
          <w:lang w:val="fr-FR"/>
        </w:rPr>
        <w:t>paragraphe </w:t>
      </w:r>
      <w:r w:rsidR="00A01A7D" w:rsidRPr="00DF70F3">
        <w:rPr>
          <w:noProof/>
          <w:lang w:val="fr-FR"/>
        </w:rPr>
        <w:t xml:space="preserve">2 </w:t>
      </w:r>
      <w:r w:rsidR="006D65E1" w:rsidRPr="00DF70F3">
        <w:rPr>
          <w:noProof/>
          <w:lang w:val="fr-FR"/>
        </w:rPr>
        <w:t>de la résolution </w:t>
      </w:r>
      <w:r w:rsidR="00504BD7" w:rsidRPr="00DF70F3">
        <w:rPr>
          <w:noProof/>
          <w:lang w:val="fr-FR"/>
        </w:rPr>
        <w:t>4/6</w:t>
      </w:r>
      <w:r w:rsidR="00A01A7D" w:rsidRPr="00DF70F3">
        <w:rPr>
          <w:noProof/>
          <w:lang w:val="fr-FR"/>
        </w:rPr>
        <w:t xml:space="preserve">, </w:t>
      </w:r>
      <w:r w:rsidR="00DD79A5" w:rsidRPr="00DF70F3">
        <w:rPr>
          <w:noProof/>
          <w:lang w:val="fr-FR"/>
        </w:rPr>
        <w:t>l’Assemblée pour l’environnement</w:t>
      </w:r>
      <w:r w:rsidR="00A01A7D" w:rsidRPr="00DF70F3">
        <w:rPr>
          <w:noProof/>
          <w:lang w:val="fr-FR"/>
        </w:rPr>
        <w:t xml:space="preserve"> </w:t>
      </w:r>
      <w:r w:rsidR="00DD79A5" w:rsidRPr="00DF70F3">
        <w:rPr>
          <w:noProof/>
          <w:lang w:val="fr-FR"/>
        </w:rPr>
        <w:t>a prié la Directrice exécutive du PNUE, sous réserve de la disponibilité de ressources et sur la base des travaux des mécanismes existants, de renforcer immédiatement les connaissances scientifiques et technologiques concernant les déchets marins, y compris les déchets plastiques et les microplastiques, par le biais des activités suivantes </w:t>
      </w:r>
      <w:r w:rsidR="00A01A7D" w:rsidRPr="00DF70F3">
        <w:rPr>
          <w:noProof/>
          <w:lang w:val="fr-FR"/>
        </w:rPr>
        <w:t>:</w:t>
      </w:r>
    </w:p>
    <w:p w14:paraId="70A3EA65" w14:textId="1A12DA3C" w:rsidR="00A01A7D" w:rsidRPr="00DF70F3" w:rsidRDefault="000E2B0F" w:rsidP="00DD79A5">
      <w:pPr>
        <w:pStyle w:val="Normalnumber"/>
        <w:numPr>
          <w:ilvl w:val="1"/>
          <w:numId w:val="4"/>
        </w:numPr>
        <w:ind w:left="1276" w:firstLine="567"/>
        <w:rPr>
          <w:noProof/>
          <w:lang w:val="fr-FR"/>
        </w:rPr>
      </w:pPr>
      <w:r w:rsidRPr="00DF70F3">
        <w:rPr>
          <w:noProof/>
          <w:lang w:val="fr-FR"/>
        </w:rPr>
        <w:t>Organiser des initiatives consultatives scientifiques pertinentes pour contribuer aux activités visées aux paragraphes 3 et 7 de la résolution </w:t>
      </w:r>
      <w:r w:rsidR="00A01A7D" w:rsidRPr="00DF70F3">
        <w:rPr>
          <w:noProof/>
          <w:lang w:val="fr-FR"/>
        </w:rPr>
        <w:t xml:space="preserve">; </w:t>
      </w:r>
    </w:p>
    <w:p w14:paraId="5B641708" w14:textId="160592C1" w:rsidR="00A01A7D" w:rsidRPr="00DF70F3" w:rsidRDefault="000E2B0F" w:rsidP="00DD79A5">
      <w:pPr>
        <w:pStyle w:val="Normalnumber"/>
        <w:numPr>
          <w:ilvl w:val="1"/>
          <w:numId w:val="4"/>
        </w:numPr>
        <w:ind w:left="1276" w:firstLine="567"/>
        <w:rPr>
          <w:noProof/>
          <w:lang w:val="fr-FR"/>
        </w:rPr>
      </w:pPr>
      <w:r w:rsidRPr="00DF70F3">
        <w:rPr>
          <w:noProof/>
          <w:lang w:val="fr-FR"/>
        </w:rPr>
        <w:t xml:space="preserve">Compiler les données et informations scientifiques et autres informations pertinentes disponibles pour préparer une évaluation des sources et des modes de déplacement des déchets et des risques y associés, y compris la pollution par les déchets plastiques et les microplastiques et la </w:t>
      </w:r>
      <w:r w:rsidRPr="00DF70F3">
        <w:rPr>
          <w:noProof/>
          <w:lang w:val="fr-FR"/>
        </w:rPr>
        <w:lastRenderedPageBreak/>
        <w:t>présence de ces derniers dans les rivières et les océans, les connaissances scientifiques concernant les effets néfastes sur les écosystèmes, les effets néfastes potentiels sur la santé humaine et les innovations technologiques écologiquement rationnelles </w:t>
      </w:r>
      <w:r w:rsidR="00A01A7D" w:rsidRPr="00DF70F3">
        <w:rPr>
          <w:noProof/>
          <w:lang w:val="fr-FR"/>
        </w:rPr>
        <w:t xml:space="preserve">; </w:t>
      </w:r>
    </w:p>
    <w:p w14:paraId="29D46EF1" w14:textId="7FACFC21" w:rsidR="00A01A7D" w:rsidRPr="00DF70F3" w:rsidRDefault="0038261B" w:rsidP="00DD79A5">
      <w:pPr>
        <w:pStyle w:val="Normalnumber"/>
        <w:numPr>
          <w:ilvl w:val="1"/>
          <w:numId w:val="4"/>
        </w:numPr>
        <w:ind w:left="1276" w:firstLine="567"/>
        <w:rPr>
          <w:noProof/>
          <w:lang w:val="fr-FR"/>
        </w:rPr>
      </w:pPr>
      <w:r w:rsidRPr="00DF70F3">
        <w:rPr>
          <w:noProof/>
          <w:lang w:val="fr-FR"/>
        </w:rPr>
        <w:t>Recommander des indicateurs pour harmoniser les méthodes de surveillance, de communication d’informations et d’évaluation, compte tenu des principales sources de déchets marins, notamment de déchets plastiques et microplastiques </w:t>
      </w:r>
      <w:r w:rsidR="00A01A7D" w:rsidRPr="00DF70F3">
        <w:rPr>
          <w:noProof/>
          <w:lang w:val="fr-FR"/>
        </w:rPr>
        <w:t xml:space="preserve">; </w:t>
      </w:r>
    </w:p>
    <w:p w14:paraId="55B0CFA4" w14:textId="48E790DA" w:rsidR="00A01A7D" w:rsidRPr="00DF70F3" w:rsidRDefault="0038261B" w:rsidP="00DD79A5">
      <w:pPr>
        <w:pStyle w:val="Normalnumber"/>
        <w:numPr>
          <w:ilvl w:val="1"/>
          <w:numId w:val="4"/>
        </w:numPr>
        <w:ind w:left="1276" w:firstLine="567"/>
        <w:rPr>
          <w:noProof/>
          <w:lang w:val="fr-FR"/>
        </w:rPr>
      </w:pPr>
      <w:r w:rsidRPr="00DF70F3">
        <w:rPr>
          <w:noProof/>
          <w:lang w:val="fr-FR"/>
        </w:rPr>
        <w:t>Recueillir des informations en vue d’éclairer les politiques et les activités concernant les innovations technologiques écologiquement rationnelles, solutions et mesures destinées à réduire les risques de rejet de déchets, y compris de déchets plastiques et microplastiques, dans le milieu marin</w:t>
      </w:r>
      <w:r w:rsidR="00A01A7D" w:rsidRPr="00DF70F3">
        <w:rPr>
          <w:noProof/>
          <w:lang w:val="fr-FR"/>
        </w:rPr>
        <w:t>.</w:t>
      </w:r>
    </w:p>
    <w:p w14:paraId="7B1ABA57" w14:textId="564FF391" w:rsidR="00A01A7D" w:rsidRPr="00DF70F3" w:rsidRDefault="005D28AE" w:rsidP="00DD79A5">
      <w:pPr>
        <w:pStyle w:val="Normalnumber"/>
        <w:ind w:left="1276" w:firstLine="0"/>
        <w:rPr>
          <w:noProof/>
          <w:lang w:val="fr-FR"/>
        </w:rPr>
      </w:pPr>
      <w:r w:rsidRPr="00DF70F3">
        <w:rPr>
          <w:noProof/>
          <w:lang w:val="fr-FR"/>
        </w:rPr>
        <w:t xml:space="preserve">Au </w:t>
      </w:r>
      <w:r w:rsidR="00002C61" w:rsidRPr="00DF70F3">
        <w:rPr>
          <w:noProof/>
          <w:lang w:val="fr-FR"/>
        </w:rPr>
        <w:t>paragraphe </w:t>
      </w:r>
      <w:r w:rsidR="00A01A7D" w:rsidRPr="00DF70F3">
        <w:rPr>
          <w:noProof/>
          <w:lang w:val="fr-FR"/>
        </w:rPr>
        <w:t xml:space="preserve">3 </w:t>
      </w:r>
      <w:r w:rsidR="00002C61" w:rsidRPr="00DF70F3">
        <w:rPr>
          <w:noProof/>
          <w:lang w:val="fr-FR"/>
        </w:rPr>
        <w:t>de la résolution</w:t>
      </w:r>
      <w:r w:rsidR="00A01A7D" w:rsidRPr="00DF70F3">
        <w:rPr>
          <w:noProof/>
          <w:lang w:val="fr-FR"/>
        </w:rPr>
        <w:t xml:space="preserve">, </w:t>
      </w:r>
      <w:r w:rsidR="00002C61" w:rsidRPr="00DF70F3">
        <w:rPr>
          <w:noProof/>
          <w:lang w:val="fr-FR"/>
        </w:rPr>
        <w:t>l’Assemblée pour l’environnement a décidé</w:t>
      </w:r>
      <w:r w:rsidR="00A01A7D" w:rsidRPr="00DF70F3">
        <w:rPr>
          <w:noProof/>
          <w:lang w:val="fr-FR"/>
        </w:rPr>
        <w:t xml:space="preserve"> </w:t>
      </w:r>
      <w:r w:rsidR="00002C61" w:rsidRPr="00DF70F3">
        <w:rPr>
          <w:noProof/>
          <w:lang w:val="fr-FR"/>
        </w:rPr>
        <w:t>de créer une plateforme multipartite au sein du PNUE qui prendrait des mesures immédiates pour éliminer à long terme, par une approche fondée sur le cycle de vie, les rejets de déchets et de microplastiques dans les océans. Parmi les différentes fonctions possibles de la plateforme figuraient les suivantes </w:t>
      </w:r>
      <w:r w:rsidR="00A01A7D" w:rsidRPr="00DF70F3">
        <w:rPr>
          <w:noProof/>
          <w:lang w:val="fr-FR"/>
        </w:rPr>
        <w:t xml:space="preserve">: </w:t>
      </w:r>
    </w:p>
    <w:p w14:paraId="4B6B8DCC" w14:textId="3A68ED23" w:rsidR="00A01A7D" w:rsidRPr="00DF70F3" w:rsidRDefault="001B49FF" w:rsidP="00DD79A5">
      <w:pPr>
        <w:pStyle w:val="Normalnumber"/>
        <w:numPr>
          <w:ilvl w:val="1"/>
          <w:numId w:val="4"/>
        </w:numPr>
        <w:ind w:left="1276" w:firstLine="508"/>
        <w:rPr>
          <w:noProof/>
          <w:lang w:val="fr-FR"/>
        </w:rPr>
      </w:pPr>
      <w:r w:rsidRPr="00DF70F3">
        <w:rPr>
          <w:noProof/>
          <w:lang w:val="fr-FR"/>
        </w:rPr>
        <w:t>Faire office de forum permettant de mettre en commun les expériences et de coordonner l’action de façon régulière ou ponctuelle </w:t>
      </w:r>
      <w:r w:rsidR="00A01A7D" w:rsidRPr="00DF70F3">
        <w:rPr>
          <w:noProof/>
          <w:lang w:val="fr-FR"/>
        </w:rPr>
        <w:t xml:space="preserve">; </w:t>
      </w:r>
    </w:p>
    <w:p w14:paraId="782B9E0D" w14:textId="637CF7BA" w:rsidR="00A01A7D" w:rsidRPr="00DF70F3" w:rsidRDefault="001B49FF" w:rsidP="00DD79A5">
      <w:pPr>
        <w:pStyle w:val="Normalnumber"/>
        <w:numPr>
          <w:ilvl w:val="1"/>
          <w:numId w:val="4"/>
        </w:numPr>
        <w:ind w:left="1276" w:firstLine="508"/>
        <w:rPr>
          <w:noProof/>
          <w:lang w:val="fr-FR"/>
        </w:rPr>
      </w:pPr>
      <w:r w:rsidRPr="00DF70F3">
        <w:rPr>
          <w:noProof/>
          <w:lang w:val="fr-FR"/>
        </w:rPr>
        <w:t>Centraliser les évaluations, les documents d’orientation théoriques et pratiques et les plans d’action en vigueur, les pratiques de gestion et les lignes directrices </w:t>
      </w:r>
      <w:r w:rsidR="00A01A7D" w:rsidRPr="00DF70F3">
        <w:rPr>
          <w:noProof/>
          <w:lang w:val="fr-FR"/>
        </w:rPr>
        <w:t xml:space="preserve">; </w:t>
      </w:r>
    </w:p>
    <w:p w14:paraId="3C5B5BD9" w14:textId="1EDB4BD0" w:rsidR="00A01A7D" w:rsidRPr="00DF70F3" w:rsidRDefault="001B49FF" w:rsidP="00DD79A5">
      <w:pPr>
        <w:pStyle w:val="Normalnumber"/>
        <w:numPr>
          <w:ilvl w:val="1"/>
          <w:numId w:val="4"/>
        </w:numPr>
        <w:ind w:left="1276" w:firstLine="508"/>
        <w:rPr>
          <w:noProof/>
          <w:lang w:val="fr-FR"/>
        </w:rPr>
      </w:pPr>
      <w:r w:rsidRPr="00DF70F3">
        <w:rPr>
          <w:noProof/>
          <w:lang w:val="fr-FR"/>
        </w:rPr>
        <w:t>Sensibiliser l’opinion mondiale à cette question, notamment les pouvoirs publics, les décideurs, les gestionnaires de ressources, les éducateurs, les entités du secteur privé et le grand public </w:t>
      </w:r>
      <w:r w:rsidR="00A01A7D" w:rsidRPr="00DF70F3">
        <w:rPr>
          <w:noProof/>
          <w:lang w:val="fr-FR"/>
        </w:rPr>
        <w:t>;</w:t>
      </w:r>
    </w:p>
    <w:p w14:paraId="17DF68E1" w14:textId="1CA67B12" w:rsidR="00A01A7D" w:rsidRPr="00DF70F3" w:rsidRDefault="001B49FF" w:rsidP="00DD79A5">
      <w:pPr>
        <w:pStyle w:val="Normalnumber"/>
        <w:numPr>
          <w:ilvl w:val="1"/>
          <w:numId w:val="4"/>
        </w:numPr>
        <w:ind w:left="1276" w:firstLine="508"/>
        <w:rPr>
          <w:noProof/>
          <w:lang w:val="fr-FR"/>
        </w:rPr>
      </w:pPr>
      <w:r w:rsidRPr="00DF70F3">
        <w:rPr>
          <w:noProof/>
          <w:lang w:val="fr-FR"/>
        </w:rPr>
        <w:t>Établir et tenir à jour une base de données contenant des informations techniques et scientifiques relatives aux déchets marins </w:t>
      </w:r>
      <w:r w:rsidR="00A01A7D" w:rsidRPr="00DF70F3">
        <w:rPr>
          <w:noProof/>
          <w:lang w:val="fr-FR"/>
        </w:rPr>
        <w:t xml:space="preserve">; </w:t>
      </w:r>
    </w:p>
    <w:p w14:paraId="70C7396E" w14:textId="4AC97738" w:rsidR="00A01A7D" w:rsidRPr="00DF70F3" w:rsidRDefault="001B49FF" w:rsidP="00DD79A5">
      <w:pPr>
        <w:pStyle w:val="Normalnumber"/>
        <w:numPr>
          <w:ilvl w:val="1"/>
          <w:numId w:val="4"/>
        </w:numPr>
        <w:ind w:left="1276" w:firstLine="508"/>
        <w:rPr>
          <w:noProof/>
          <w:lang w:val="fr-FR"/>
        </w:rPr>
      </w:pPr>
      <w:r w:rsidRPr="00DF70F3">
        <w:rPr>
          <w:noProof/>
          <w:lang w:val="fr-FR"/>
        </w:rPr>
        <w:t>Promouvoir la collaboration entre les mécanismes scientifiques concernés afin de faciliter l’accès aux données et informations scientifiques </w:t>
      </w:r>
      <w:r w:rsidR="00A01A7D" w:rsidRPr="00DF70F3">
        <w:rPr>
          <w:noProof/>
          <w:lang w:val="fr-FR"/>
        </w:rPr>
        <w:t xml:space="preserve">; </w:t>
      </w:r>
    </w:p>
    <w:p w14:paraId="7CE8B30E" w14:textId="76956588" w:rsidR="00A01A7D" w:rsidRPr="00DF70F3" w:rsidRDefault="00202439" w:rsidP="00DD79A5">
      <w:pPr>
        <w:pStyle w:val="Normalnumber"/>
        <w:numPr>
          <w:ilvl w:val="1"/>
          <w:numId w:val="4"/>
        </w:numPr>
        <w:ind w:left="1276" w:firstLine="508"/>
        <w:rPr>
          <w:noProof/>
          <w:lang w:val="fr-FR"/>
        </w:rPr>
      </w:pPr>
      <w:r w:rsidRPr="00DF70F3">
        <w:rPr>
          <w:noProof/>
          <w:lang w:val="fr-FR"/>
        </w:rPr>
        <w:t>Promouvoir l’action dans le cadre des conventions et programmes concernant les mers régionales en vue de lutter contre les déchets marins au moyen de plans d’action, de protocoles, de partenariats et d’autres activités</w:t>
      </w:r>
      <w:r w:rsidR="00A01A7D" w:rsidRPr="00DF70F3">
        <w:rPr>
          <w:noProof/>
          <w:lang w:val="fr-FR"/>
        </w:rPr>
        <w:t xml:space="preserve">. </w:t>
      </w:r>
    </w:p>
    <w:p w14:paraId="062A1461" w14:textId="3018FDED" w:rsidR="00A01A7D" w:rsidRPr="00DF70F3" w:rsidRDefault="00EB19CE" w:rsidP="00DD79A5">
      <w:pPr>
        <w:pStyle w:val="Normalnumber"/>
        <w:ind w:left="1276" w:firstLine="0"/>
        <w:rPr>
          <w:noProof/>
          <w:lang w:val="fr-FR"/>
        </w:rPr>
      </w:pPr>
      <w:r w:rsidRPr="00DF70F3">
        <w:rPr>
          <w:noProof/>
          <w:lang w:val="fr-FR"/>
        </w:rPr>
        <w:t>Au</w:t>
      </w:r>
      <w:r w:rsidR="003C7575" w:rsidRPr="00DF70F3">
        <w:rPr>
          <w:noProof/>
          <w:lang w:val="fr-FR"/>
        </w:rPr>
        <w:t xml:space="preserve"> paragraphe </w:t>
      </w:r>
      <w:r w:rsidR="00A01A7D" w:rsidRPr="00DF70F3">
        <w:rPr>
          <w:noProof/>
          <w:lang w:val="fr-FR"/>
        </w:rPr>
        <w:t xml:space="preserve">5 </w:t>
      </w:r>
      <w:r w:rsidR="003C7575" w:rsidRPr="00DF70F3">
        <w:rPr>
          <w:noProof/>
          <w:lang w:val="fr-FR"/>
        </w:rPr>
        <w:t>de la résolution</w:t>
      </w:r>
      <w:r w:rsidR="00A01A7D" w:rsidRPr="00DF70F3">
        <w:rPr>
          <w:noProof/>
          <w:lang w:val="fr-FR"/>
        </w:rPr>
        <w:t>,</w:t>
      </w:r>
      <w:r w:rsidR="003C7575" w:rsidRPr="00DF70F3">
        <w:rPr>
          <w:noProof/>
          <w:lang w:val="fr-FR"/>
        </w:rPr>
        <w:t xml:space="preserve"> l’Assemblée pour l’environnement</w:t>
      </w:r>
      <w:r w:rsidR="00A01A7D" w:rsidRPr="00DF70F3">
        <w:rPr>
          <w:noProof/>
          <w:lang w:val="fr-FR"/>
        </w:rPr>
        <w:t xml:space="preserve"> </w:t>
      </w:r>
      <w:r w:rsidR="003C7575" w:rsidRPr="00DF70F3">
        <w:rPr>
          <w:noProof/>
          <w:lang w:val="fr-FR"/>
        </w:rPr>
        <w:t>a prié la Directrice exécutive, par le biais du Cadre décennal de programmation concernant les modes de consommation et de production durables, d’élaborer des directives concernant l’utilisation et la production de plastiques afin de communiquer des informations aux consommateurs, notamment sur les normes et les labels, d’inciter les entreprises et les détaillants à s’engager à privilégier des pratiques et produits durables, et d’aider les gouvernements à promouvoir l’utilisation d’outils d’information et d’incitations pour favoriser la consommation et la production durables</w:t>
      </w:r>
      <w:r w:rsidR="00A01A7D" w:rsidRPr="00DF70F3">
        <w:rPr>
          <w:noProof/>
          <w:lang w:val="fr-FR"/>
        </w:rPr>
        <w:t xml:space="preserve">. </w:t>
      </w:r>
    </w:p>
    <w:p w14:paraId="7E52315F" w14:textId="09132CB5" w:rsidR="00596A25" w:rsidRPr="00DF70F3" w:rsidRDefault="00D844A6" w:rsidP="00DD79A5">
      <w:pPr>
        <w:pStyle w:val="Normalnumber"/>
        <w:ind w:left="1276" w:firstLine="0"/>
        <w:rPr>
          <w:noProof/>
          <w:lang w:val="fr-FR"/>
        </w:rPr>
      </w:pPr>
      <w:r w:rsidRPr="00DF70F3">
        <w:rPr>
          <w:noProof/>
          <w:lang w:val="fr-FR"/>
        </w:rPr>
        <w:t xml:space="preserve">Au </w:t>
      </w:r>
      <w:r w:rsidR="00711B70" w:rsidRPr="00DF70F3">
        <w:rPr>
          <w:noProof/>
          <w:lang w:val="fr-FR"/>
        </w:rPr>
        <w:t>paragraphe </w:t>
      </w:r>
      <w:r w:rsidR="008B458F" w:rsidRPr="00DF70F3">
        <w:rPr>
          <w:noProof/>
          <w:lang w:val="fr-FR"/>
        </w:rPr>
        <w:t xml:space="preserve">7 </w:t>
      </w:r>
      <w:r w:rsidR="00711B70" w:rsidRPr="00DF70F3">
        <w:rPr>
          <w:noProof/>
          <w:lang w:val="fr-FR"/>
        </w:rPr>
        <w:t>de la résolution</w:t>
      </w:r>
      <w:r w:rsidR="00596A25" w:rsidRPr="00DF70F3">
        <w:rPr>
          <w:noProof/>
          <w:lang w:val="fr-FR"/>
        </w:rPr>
        <w:t xml:space="preserve">, </w:t>
      </w:r>
      <w:r w:rsidR="00711B70" w:rsidRPr="00DF70F3">
        <w:rPr>
          <w:noProof/>
          <w:lang w:val="fr-FR"/>
        </w:rPr>
        <w:t>l’Assemblée pour l’environnement</w:t>
      </w:r>
      <w:r w:rsidR="00596A25" w:rsidRPr="00DF70F3">
        <w:rPr>
          <w:noProof/>
          <w:lang w:val="fr-FR"/>
        </w:rPr>
        <w:t xml:space="preserve"> </w:t>
      </w:r>
      <w:r w:rsidR="00711B70" w:rsidRPr="00DF70F3">
        <w:rPr>
          <w:noProof/>
          <w:lang w:val="fr-FR"/>
        </w:rPr>
        <w:t xml:space="preserve">a prorogé le mandat du Groupe spécial d’experts à composition non limitée sur les déchets et les microplastiques dans le milieu marin qu’elle a créé par </w:t>
      </w:r>
      <w:r w:rsidR="008172DB" w:rsidRPr="00DF70F3">
        <w:rPr>
          <w:noProof/>
          <w:lang w:val="fr-FR"/>
        </w:rPr>
        <w:t>s</w:t>
      </w:r>
      <w:r w:rsidR="00711B70" w:rsidRPr="00DF70F3">
        <w:rPr>
          <w:noProof/>
          <w:lang w:val="fr-FR"/>
        </w:rPr>
        <w:t>a résolution</w:t>
      </w:r>
      <w:r w:rsidR="004562EE" w:rsidRPr="00DF70F3">
        <w:rPr>
          <w:noProof/>
          <w:lang w:val="fr-FR"/>
        </w:rPr>
        <w:t> </w:t>
      </w:r>
      <w:r w:rsidR="00711B70" w:rsidRPr="00DF70F3">
        <w:rPr>
          <w:noProof/>
          <w:lang w:val="fr-FR"/>
        </w:rPr>
        <w:t>3/7, et prié le Groupe d’experts, en s’appuyant sur ses travaux antérieurs </w:t>
      </w:r>
      <w:r w:rsidR="00596A25" w:rsidRPr="00DF70F3">
        <w:rPr>
          <w:noProof/>
          <w:lang w:val="fr-FR"/>
        </w:rPr>
        <w:t xml:space="preserve">: </w:t>
      </w:r>
    </w:p>
    <w:p w14:paraId="323D128F" w14:textId="4BE32248" w:rsidR="00596A25" w:rsidRPr="00DF70F3" w:rsidRDefault="00A52E8A" w:rsidP="009A2205">
      <w:pPr>
        <w:pStyle w:val="Normalnumber"/>
        <w:numPr>
          <w:ilvl w:val="0"/>
          <w:numId w:val="5"/>
        </w:numPr>
        <w:tabs>
          <w:tab w:val="clear" w:pos="1134"/>
        </w:tabs>
        <w:ind w:firstLine="624"/>
        <w:rPr>
          <w:noProof/>
          <w:lang w:val="fr-FR"/>
        </w:rPr>
      </w:pPr>
      <w:r w:rsidRPr="00DF70F3">
        <w:rPr>
          <w:noProof/>
          <w:lang w:val="fr-FR"/>
        </w:rPr>
        <w:t>De faire le point sur les activités et mesures entreprises par l’ensemble des acteurs en vue de réduire les déchets plastiques et les microplastiques dans le milieu marin </w:t>
      </w:r>
      <w:r w:rsidR="00FD5577" w:rsidRPr="00DF70F3">
        <w:rPr>
          <w:noProof/>
          <w:lang w:val="fr-FR"/>
        </w:rPr>
        <w:t>;</w:t>
      </w:r>
    </w:p>
    <w:p w14:paraId="6BFDB3F7" w14:textId="25C0FCD8" w:rsidR="00596A25" w:rsidRPr="00DF70F3" w:rsidRDefault="003B3B8D" w:rsidP="009A2205">
      <w:pPr>
        <w:pStyle w:val="Normalnumber"/>
        <w:numPr>
          <w:ilvl w:val="0"/>
          <w:numId w:val="5"/>
        </w:numPr>
        <w:tabs>
          <w:tab w:val="clear" w:pos="1134"/>
        </w:tabs>
        <w:ind w:firstLine="624"/>
        <w:rPr>
          <w:noProof/>
          <w:lang w:val="fr-FR"/>
        </w:rPr>
      </w:pPr>
      <w:r w:rsidRPr="00DF70F3">
        <w:rPr>
          <w:noProof/>
          <w:lang w:val="fr-FR"/>
        </w:rPr>
        <w:t>De r</w:t>
      </w:r>
      <w:r w:rsidR="00A52E8A" w:rsidRPr="00DF70F3">
        <w:rPr>
          <w:noProof/>
          <w:lang w:val="fr-FR"/>
        </w:rPr>
        <w:t>ecenser les ressources ou mécanismes techniques et financiers susceptibles d’aider les pays à lutter contre les déchets plastiques et les microplastiques dans le milieu marin </w:t>
      </w:r>
      <w:r w:rsidR="008B458F" w:rsidRPr="00DF70F3">
        <w:rPr>
          <w:noProof/>
          <w:lang w:val="fr-FR"/>
        </w:rPr>
        <w:t>;</w:t>
      </w:r>
    </w:p>
    <w:p w14:paraId="7EEDF786" w14:textId="5960F7F2" w:rsidR="00596A25" w:rsidRPr="00DF70F3" w:rsidRDefault="003B3B8D" w:rsidP="009A2205">
      <w:pPr>
        <w:pStyle w:val="Normalnumber"/>
        <w:numPr>
          <w:ilvl w:val="0"/>
          <w:numId w:val="5"/>
        </w:numPr>
        <w:tabs>
          <w:tab w:val="clear" w:pos="1134"/>
        </w:tabs>
        <w:ind w:firstLine="624"/>
        <w:rPr>
          <w:noProof/>
          <w:lang w:val="fr-FR"/>
        </w:rPr>
      </w:pPr>
      <w:r w:rsidRPr="00DF70F3">
        <w:rPr>
          <w:noProof/>
          <w:lang w:val="fr-FR"/>
        </w:rPr>
        <w:t>D’e</w:t>
      </w:r>
      <w:r w:rsidR="00A52E8A" w:rsidRPr="00DF70F3">
        <w:rPr>
          <w:noProof/>
          <w:lang w:val="fr-FR"/>
        </w:rPr>
        <w:t>ncourager les partenariats menant des activités telles que l’établissement d’inventaires des sources, l’amélioration de la gestion des déchets, la sensibilisation et la promotion de l’innovation en matière de prévention des déchets marins </w:t>
      </w:r>
      <w:r w:rsidR="008B458F" w:rsidRPr="00DF70F3">
        <w:rPr>
          <w:noProof/>
          <w:lang w:val="fr-FR"/>
        </w:rPr>
        <w:t>;</w:t>
      </w:r>
    </w:p>
    <w:p w14:paraId="0A3DC5FF" w14:textId="2E20A909" w:rsidR="00596A25" w:rsidRPr="00DF70F3" w:rsidRDefault="003B3B8D" w:rsidP="009A2205">
      <w:pPr>
        <w:pStyle w:val="Normalnumber"/>
        <w:numPr>
          <w:ilvl w:val="0"/>
          <w:numId w:val="5"/>
        </w:numPr>
        <w:tabs>
          <w:tab w:val="clear" w:pos="1134"/>
        </w:tabs>
        <w:ind w:firstLine="624"/>
        <w:rPr>
          <w:noProof/>
          <w:lang w:val="fr-FR"/>
        </w:rPr>
      </w:pPr>
      <w:r w:rsidRPr="00DF70F3">
        <w:rPr>
          <w:noProof/>
          <w:lang w:val="fr-FR"/>
        </w:rPr>
        <w:t>D’a</w:t>
      </w:r>
      <w:r w:rsidR="00A52E8A" w:rsidRPr="00DF70F3">
        <w:rPr>
          <w:noProof/>
          <w:lang w:val="fr-FR"/>
        </w:rPr>
        <w:t>nalyser l’efficacité des interventions et activités existantes et potentielles concernant les déchets marins et les microplastiques</w:t>
      </w:r>
      <w:r w:rsidR="00596A25" w:rsidRPr="00DF70F3">
        <w:rPr>
          <w:noProof/>
          <w:lang w:val="fr-FR"/>
        </w:rPr>
        <w:t>.</w:t>
      </w:r>
    </w:p>
    <w:p w14:paraId="2E512126" w14:textId="42B696EE" w:rsidR="002040CC" w:rsidRPr="00DF70F3" w:rsidRDefault="00473380" w:rsidP="00DD79A5">
      <w:pPr>
        <w:pStyle w:val="Normalnumber"/>
        <w:ind w:left="1276" w:firstLine="0"/>
        <w:rPr>
          <w:noProof/>
          <w:lang w:val="fr-FR"/>
        </w:rPr>
      </w:pPr>
      <w:r w:rsidRPr="00DF70F3">
        <w:rPr>
          <w:noProof/>
          <w:lang w:val="fr-FR"/>
        </w:rPr>
        <w:t xml:space="preserve">Au </w:t>
      </w:r>
      <w:r w:rsidR="005E32C8" w:rsidRPr="00DF70F3">
        <w:rPr>
          <w:noProof/>
          <w:lang w:val="fr-FR"/>
        </w:rPr>
        <w:t>paragraphe </w:t>
      </w:r>
      <w:r w:rsidR="002040CC" w:rsidRPr="00DF70F3">
        <w:rPr>
          <w:noProof/>
          <w:lang w:val="fr-FR"/>
        </w:rPr>
        <w:t xml:space="preserve">8 </w:t>
      </w:r>
      <w:r w:rsidR="005E32C8" w:rsidRPr="00DF70F3">
        <w:rPr>
          <w:noProof/>
          <w:lang w:val="fr-FR"/>
        </w:rPr>
        <w:t>de la résolution</w:t>
      </w:r>
      <w:r w:rsidR="002040CC" w:rsidRPr="00DF70F3">
        <w:rPr>
          <w:noProof/>
          <w:lang w:val="fr-FR"/>
        </w:rPr>
        <w:t>,</w:t>
      </w:r>
      <w:r w:rsidR="005E32C8" w:rsidRPr="00DF70F3">
        <w:rPr>
          <w:noProof/>
          <w:lang w:val="fr-FR"/>
        </w:rPr>
        <w:t xml:space="preserve"> l’Assemblée pour l’environnement</w:t>
      </w:r>
      <w:r w:rsidR="002040CC" w:rsidRPr="00DF70F3">
        <w:rPr>
          <w:noProof/>
          <w:lang w:val="fr-FR"/>
        </w:rPr>
        <w:t xml:space="preserve"> </w:t>
      </w:r>
      <w:r w:rsidR="005E32C8" w:rsidRPr="00DF70F3">
        <w:rPr>
          <w:noProof/>
          <w:lang w:val="fr-FR"/>
        </w:rPr>
        <w:t xml:space="preserve">a invité le Groupe de la gestion de l’environnement à participer et à contribuer aux travaux du Groupe spécial d’experts à composition non limitée </w:t>
      </w:r>
      <w:r w:rsidR="00B2783C" w:rsidRPr="00DF70F3">
        <w:rPr>
          <w:noProof/>
          <w:lang w:val="fr-FR"/>
        </w:rPr>
        <w:t>sur les déchets et les microplastiques dans le milieu marin</w:t>
      </w:r>
      <w:r w:rsidR="005E32C8" w:rsidRPr="00DF70F3">
        <w:rPr>
          <w:noProof/>
          <w:lang w:val="fr-FR"/>
        </w:rPr>
        <w:t xml:space="preserve">, en fournissant notamment une </w:t>
      </w:r>
      <w:bookmarkStart w:id="3" w:name="_Hlk60131709"/>
      <w:r w:rsidR="005E32C8" w:rsidRPr="00DF70F3">
        <w:rPr>
          <w:noProof/>
          <w:lang w:val="fr-FR"/>
        </w:rPr>
        <w:t>cartographie de tous les organismes, programmes, initiatives et autres sources de connaissances spécialisées du système des Nations Unies traitant des déchets marins, en particulier des déchets plastiques et des microplastiques</w:t>
      </w:r>
      <w:bookmarkEnd w:id="3"/>
      <w:r w:rsidR="002040CC" w:rsidRPr="00DF70F3">
        <w:rPr>
          <w:noProof/>
          <w:color w:val="000000" w:themeColor="text1"/>
          <w:lang w:val="fr-FR"/>
        </w:rPr>
        <w:t xml:space="preserve">. </w:t>
      </w:r>
    </w:p>
    <w:p w14:paraId="659AEA45" w14:textId="2E135F44" w:rsidR="00A601CD" w:rsidRPr="00DF70F3" w:rsidRDefault="005E32C8" w:rsidP="00DD79A5">
      <w:pPr>
        <w:pStyle w:val="Normalnumber"/>
        <w:ind w:left="1276" w:firstLine="0"/>
        <w:rPr>
          <w:rFonts w:eastAsia="Calibri"/>
          <w:noProof/>
          <w:lang w:val="fr-FR"/>
        </w:rPr>
      </w:pPr>
      <w:r w:rsidRPr="00DF70F3">
        <w:rPr>
          <w:noProof/>
          <w:lang w:val="fr-FR"/>
        </w:rPr>
        <w:lastRenderedPageBreak/>
        <w:t>Le</w:t>
      </w:r>
      <w:r w:rsidR="00215CF2" w:rsidRPr="00DF70F3">
        <w:rPr>
          <w:noProof/>
          <w:lang w:val="fr-FR"/>
        </w:rPr>
        <w:t xml:space="preserve"> </w:t>
      </w:r>
      <w:r w:rsidRPr="00DF70F3">
        <w:rPr>
          <w:noProof/>
          <w:lang w:val="fr-FR"/>
        </w:rPr>
        <w:t xml:space="preserve">Partenariat mondial sur les déchets marins constitue une plateforme </w:t>
      </w:r>
      <w:r w:rsidR="00F41439" w:rsidRPr="00DF70F3">
        <w:rPr>
          <w:noProof/>
          <w:lang w:val="fr-FR"/>
        </w:rPr>
        <w:t xml:space="preserve">essentielle </w:t>
      </w:r>
      <w:r w:rsidR="00AA178B" w:rsidRPr="00DF70F3">
        <w:rPr>
          <w:noProof/>
          <w:lang w:val="fr-FR"/>
        </w:rPr>
        <w:t xml:space="preserve">permettant de favoriser la </w:t>
      </w:r>
      <w:r w:rsidRPr="00DF70F3">
        <w:rPr>
          <w:noProof/>
          <w:lang w:val="fr-FR"/>
        </w:rPr>
        <w:t>coordination et</w:t>
      </w:r>
      <w:r w:rsidR="00AA178B" w:rsidRPr="00DF70F3">
        <w:rPr>
          <w:noProof/>
          <w:lang w:val="fr-FR"/>
        </w:rPr>
        <w:t xml:space="preserve"> la </w:t>
      </w:r>
      <w:r w:rsidR="00D41C47" w:rsidRPr="00DF70F3">
        <w:rPr>
          <w:noProof/>
          <w:lang w:val="fr-FR"/>
        </w:rPr>
        <w:t>coopération</w:t>
      </w:r>
      <w:r w:rsidRPr="00DF70F3">
        <w:rPr>
          <w:noProof/>
          <w:lang w:val="fr-FR"/>
        </w:rPr>
        <w:t xml:space="preserve"> entre les parties prenantes en vue de la prévention</w:t>
      </w:r>
      <w:r w:rsidR="00DF4183" w:rsidRPr="00DF70F3">
        <w:rPr>
          <w:noProof/>
          <w:lang w:val="fr-FR"/>
        </w:rPr>
        <w:t xml:space="preserve"> </w:t>
      </w:r>
      <w:r w:rsidRPr="00DF70F3">
        <w:rPr>
          <w:noProof/>
          <w:lang w:val="fr-FR"/>
        </w:rPr>
        <w:t>de la pollution</w:t>
      </w:r>
      <w:r w:rsidR="00215CF2" w:rsidRPr="00DF70F3">
        <w:rPr>
          <w:noProof/>
          <w:lang w:val="fr-FR"/>
        </w:rPr>
        <w:t xml:space="preserve"> </w:t>
      </w:r>
      <w:r w:rsidRPr="00DF70F3">
        <w:rPr>
          <w:noProof/>
          <w:lang w:val="fr-FR"/>
        </w:rPr>
        <w:t xml:space="preserve">par les déchets </w:t>
      </w:r>
      <w:r w:rsidR="00D9229B" w:rsidRPr="00DF70F3">
        <w:rPr>
          <w:noProof/>
          <w:lang w:val="fr-FR"/>
        </w:rPr>
        <w:t xml:space="preserve">et les </w:t>
      </w:r>
      <w:r w:rsidRPr="00DF70F3">
        <w:rPr>
          <w:noProof/>
          <w:lang w:val="fr-FR"/>
        </w:rPr>
        <w:t>plastiques dans le milieu marin</w:t>
      </w:r>
      <w:r w:rsidR="00215CF2" w:rsidRPr="00DF70F3">
        <w:rPr>
          <w:noProof/>
          <w:lang w:val="fr-FR"/>
        </w:rPr>
        <w:t xml:space="preserve">. </w:t>
      </w:r>
      <w:r w:rsidRPr="00DF70F3">
        <w:rPr>
          <w:noProof/>
          <w:lang w:val="fr-FR"/>
        </w:rPr>
        <w:t>Il sert de principal mécanisme du PNUE pour la mise en œuvre des activités relatives aux</w:t>
      </w:r>
      <w:r w:rsidR="00DF4183" w:rsidRPr="00DF70F3">
        <w:rPr>
          <w:noProof/>
          <w:lang w:val="fr-FR"/>
        </w:rPr>
        <w:t xml:space="preserve"> </w:t>
      </w:r>
      <w:r w:rsidRPr="00DF70F3">
        <w:rPr>
          <w:noProof/>
          <w:lang w:val="fr-FR"/>
        </w:rPr>
        <w:t>déchets et aux microplastiques dans le milieu marin</w:t>
      </w:r>
      <w:r w:rsidR="00A601CD" w:rsidRPr="00DF70F3">
        <w:rPr>
          <w:noProof/>
          <w:lang w:val="fr-FR"/>
        </w:rPr>
        <w:t>.</w:t>
      </w:r>
    </w:p>
    <w:p w14:paraId="073312AF" w14:textId="73D99170" w:rsidR="00215CF2" w:rsidRPr="00DF70F3" w:rsidRDefault="000B7CD6" w:rsidP="00DD79A5">
      <w:pPr>
        <w:pStyle w:val="Normalnumber"/>
        <w:ind w:left="1276" w:firstLine="0"/>
        <w:rPr>
          <w:rFonts w:eastAsia="Calibri"/>
          <w:noProof/>
          <w:lang w:val="fr-FR"/>
        </w:rPr>
      </w:pPr>
      <w:r w:rsidRPr="00DF70F3">
        <w:rPr>
          <w:noProof/>
          <w:lang w:val="fr-FR"/>
        </w:rPr>
        <w:t xml:space="preserve">Le PNUE assure les services de secrétariat du Partenariat mondial et, conformément à la demande formulée </w:t>
      </w:r>
      <w:r w:rsidR="00D41C47" w:rsidRPr="00DF70F3">
        <w:rPr>
          <w:noProof/>
          <w:lang w:val="fr-FR"/>
        </w:rPr>
        <w:t>au</w:t>
      </w:r>
      <w:r w:rsidRPr="00DF70F3">
        <w:rPr>
          <w:noProof/>
          <w:lang w:val="fr-FR"/>
        </w:rPr>
        <w:t xml:space="preserve"> paragraphe 7 de la résolution </w:t>
      </w:r>
      <w:r w:rsidR="00215CF2" w:rsidRPr="00DF70F3">
        <w:rPr>
          <w:noProof/>
          <w:lang w:val="fr-FR"/>
        </w:rPr>
        <w:t xml:space="preserve">3/7 </w:t>
      </w:r>
      <w:r w:rsidRPr="00DF70F3">
        <w:rPr>
          <w:noProof/>
          <w:lang w:val="fr-FR"/>
        </w:rPr>
        <w:t>d’augmenter sa contribution au Partenariat mondial sur les déchets marins, a renforcé ces services de secrétariat</w:t>
      </w:r>
      <w:r w:rsidR="00215CF2" w:rsidRPr="00DF70F3">
        <w:rPr>
          <w:noProof/>
          <w:lang w:val="fr-FR"/>
        </w:rPr>
        <w:t xml:space="preserve"> </w:t>
      </w:r>
      <w:r w:rsidRPr="00DF70F3">
        <w:rPr>
          <w:noProof/>
          <w:lang w:val="fr-FR"/>
        </w:rPr>
        <w:t>et mis en œuvre diverses activités par le biais du Partenariat</w:t>
      </w:r>
      <w:r w:rsidR="00504BD7" w:rsidRPr="00DF70F3">
        <w:rPr>
          <w:noProof/>
          <w:lang w:val="fr-FR"/>
        </w:rPr>
        <w:t>,</w:t>
      </w:r>
      <w:r w:rsidR="004D5E29" w:rsidRPr="00DF70F3">
        <w:rPr>
          <w:noProof/>
          <w:lang w:val="fr-FR"/>
        </w:rPr>
        <w:t xml:space="preserve"> </w:t>
      </w:r>
      <w:r w:rsidR="002F4D25" w:rsidRPr="00DF70F3">
        <w:rPr>
          <w:noProof/>
          <w:lang w:val="fr-FR"/>
        </w:rPr>
        <w:t>comme décrit ci-après</w:t>
      </w:r>
      <w:r w:rsidR="00215CF2" w:rsidRPr="00DF70F3">
        <w:rPr>
          <w:noProof/>
          <w:lang w:val="fr-FR"/>
        </w:rPr>
        <w:t>.</w:t>
      </w:r>
    </w:p>
    <w:p w14:paraId="2684A8FF" w14:textId="6E229D13" w:rsidR="00533E8E" w:rsidRPr="00DF70F3" w:rsidRDefault="002F4D25" w:rsidP="00DD79A5">
      <w:pPr>
        <w:pStyle w:val="Normalnumber"/>
        <w:ind w:left="1276" w:firstLine="0"/>
        <w:rPr>
          <w:rFonts w:eastAsia="Calibri"/>
          <w:noProof/>
          <w:lang w:val="fr-FR"/>
        </w:rPr>
      </w:pPr>
      <w:r w:rsidRPr="00DF70F3">
        <w:rPr>
          <w:noProof/>
          <w:lang w:val="fr-FR"/>
        </w:rPr>
        <w:t>La résolution </w:t>
      </w:r>
      <w:r w:rsidR="00533E8E" w:rsidRPr="00DF70F3">
        <w:rPr>
          <w:noProof/>
          <w:lang w:val="fr-FR"/>
        </w:rPr>
        <w:t xml:space="preserve">4/6 </w:t>
      </w:r>
      <w:r w:rsidRPr="00DF70F3">
        <w:rPr>
          <w:noProof/>
          <w:lang w:val="fr-FR"/>
        </w:rPr>
        <w:t>a été mise en œuvre aux niveaux mondial, régional et national en coordination avec des organismes des Nations Unies, des accords multilatéraux sur l’environnement et les conventions et plans d’action concernant les mers régionales, ainsi qu’avec les membres du Partenariat mondial sur les déchets marins, son comité directeur et</w:t>
      </w:r>
      <w:r w:rsidR="002C7E41" w:rsidRPr="00DF70F3">
        <w:rPr>
          <w:noProof/>
          <w:lang w:val="fr-FR"/>
        </w:rPr>
        <w:t xml:space="preserve"> </w:t>
      </w:r>
      <w:r w:rsidRPr="00DF70F3">
        <w:rPr>
          <w:noProof/>
          <w:lang w:val="fr-FR"/>
        </w:rPr>
        <w:t xml:space="preserve">ses </w:t>
      </w:r>
      <w:r w:rsidR="003A1475" w:rsidRPr="00DF70F3">
        <w:rPr>
          <w:noProof/>
          <w:lang w:val="fr-FR"/>
        </w:rPr>
        <w:t>centres</w:t>
      </w:r>
      <w:r w:rsidRPr="00DF70F3">
        <w:rPr>
          <w:noProof/>
          <w:lang w:val="fr-FR"/>
        </w:rPr>
        <w:t xml:space="preserve"> régiona</w:t>
      </w:r>
      <w:r w:rsidR="003A1475" w:rsidRPr="00DF70F3">
        <w:rPr>
          <w:noProof/>
          <w:lang w:val="fr-FR"/>
        </w:rPr>
        <w:t>ux</w:t>
      </w:r>
      <w:r w:rsidR="00533E8E" w:rsidRPr="00DF70F3">
        <w:rPr>
          <w:noProof/>
          <w:lang w:val="fr-FR"/>
        </w:rPr>
        <w:t>.</w:t>
      </w:r>
      <w:r w:rsidRPr="00DF70F3">
        <w:rPr>
          <w:noProof/>
          <w:lang w:val="fr-FR"/>
        </w:rPr>
        <w:t xml:space="preserve"> Parmi les autres acteurs figurent des gouvernements ainsi que des grands groupes et </w:t>
      </w:r>
      <w:r w:rsidR="0042093E" w:rsidRPr="00DF70F3">
        <w:rPr>
          <w:noProof/>
          <w:lang w:val="fr-FR"/>
        </w:rPr>
        <w:t xml:space="preserve">des </w:t>
      </w:r>
      <w:r w:rsidRPr="00DF70F3">
        <w:rPr>
          <w:noProof/>
          <w:lang w:val="fr-FR"/>
        </w:rPr>
        <w:t>parties prenantes</w:t>
      </w:r>
      <w:r w:rsidR="0042093E" w:rsidRPr="00DF70F3">
        <w:rPr>
          <w:noProof/>
          <w:lang w:val="fr-FR"/>
        </w:rPr>
        <w:t>,</w:t>
      </w:r>
      <w:r w:rsidRPr="00DF70F3">
        <w:rPr>
          <w:noProof/>
          <w:lang w:val="fr-FR"/>
        </w:rPr>
        <w:t xml:space="preserve"> notamment dans le cadre du </w:t>
      </w:r>
      <w:r w:rsidR="0042093E" w:rsidRPr="00DF70F3">
        <w:rPr>
          <w:noProof/>
          <w:lang w:val="fr-FR"/>
        </w:rPr>
        <w:t>Groupe spécial d’experts à composition non limitée, de réseaux et de groupes hébergés par le PNUE et de centres de collaboration, y compris le centre GRID-Arendal</w:t>
      </w:r>
      <w:r w:rsidR="00533E8E" w:rsidRPr="00DF70F3">
        <w:rPr>
          <w:noProof/>
          <w:lang w:val="fr-FR"/>
        </w:rPr>
        <w:t>.</w:t>
      </w:r>
    </w:p>
    <w:p w14:paraId="160B1FB4" w14:textId="0D8602B5" w:rsidR="00533E8E" w:rsidRPr="00DF70F3" w:rsidRDefault="0073238B" w:rsidP="00DD79A5">
      <w:pPr>
        <w:pStyle w:val="Normalnumber"/>
        <w:ind w:left="1276" w:firstLine="0"/>
        <w:rPr>
          <w:rFonts w:eastAsia="Calibri"/>
          <w:noProof/>
          <w:lang w:val="fr-FR"/>
        </w:rPr>
      </w:pPr>
      <w:r w:rsidRPr="00DF70F3">
        <w:rPr>
          <w:noProof/>
          <w:lang w:val="fr-FR"/>
        </w:rPr>
        <w:t>Le financement extrabudgétaire a constitué une source majeure d’appui pour l’application de la résolution </w:t>
      </w:r>
      <w:r w:rsidR="00533E8E" w:rsidRPr="00DF70F3">
        <w:rPr>
          <w:noProof/>
          <w:lang w:val="fr-FR"/>
        </w:rPr>
        <w:t xml:space="preserve">4/6. </w:t>
      </w:r>
      <w:r w:rsidRPr="00DF70F3">
        <w:rPr>
          <w:noProof/>
          <w:lang w:val="fr-FR"/>
        </w:rPr>
        <w:t>Les principaux donateurs pour la mise en œuvre d’activités relatives aux</w:t>
      </w:r>
      <w:r w:rsidR="00533E8E" w:rsidRPr="00DF70F3">
        <w:rPr>
          <w:noProof/>
          <w:lang w:val="fr-FR"/>
        </w:rPr>
        <w:t xml:space="preserve"> </w:t>
      </w:r>
      <w:r w:rsidRPr="00DF70F3">
        <w:rPr>
          <w:noProof/>
          <w:lang w:val="fr-FR"/>
        </w:rPr>
        <w:t>déchets et aux microplastiques dans le milieu marin durant la période</w:t>
      </w:r>
      <w:r w:rsidR="00533E8E" w:rsidRPr="00DF70F3">
        <w:rPr>
          <w:noProof/>
          <w:lang w:val="fr-FR"/>
        </w:rPr>
        <w:t xml:space="preserve"> 2019‒2020 </w:t>
      </w:r>
      <w:r w:rsidRPr="00DF70F3">
        <w:rPr>
          <w:noProof/>
          <w:lang w:val="fr-FR"/>
        </w:rPr>
        <w:t>étaient le</w:t>
      </w:r>
      <w:r w:rsidR="00533E8E" w:rsidRPr="00DF70F3">
        <w:rPr>
          <w:noProof/>
          <w:lang w:val="fr-FR"/>
        </w:rPr>
        <w:t xml:space="preserve"> Canada, </w:t>
      </w:r>
      <w:r w:rsidRPr="00DF70F3">
        <w:rPr>
          <w:noProof/>
          <w:lang w:val="fr-FR"/>
        </w:rPr>
        <w:t xml:space="preserve">la </w:t>
      </w:r>
      <w:r w:rsidR="00533E8E" w:rsidRPr="00DF70F3">
        <w:rPr>
          <w:noProof/>
          <w:lang w:val="fr-FR"/>
        </w:rPr>
        <w:t xml:space="preserve">France, </w:t>
      </w:r>
      <w:r w:rsidRPr="00DF70F3">
        <w:rPr>
          <w:noProof/>
          <w:lang w:val="fr-FR"/>
        </w:rPr>
        <w:t>le</w:t>
      </w:r>
      <w:r w:rsidR="009232B1" w:rsidRPr="00DF70F3">
        <w:rPr>
          <w:noProof/>
          <w:lang w:val="fr-FR"/>
        </w:rPr>
        <w:t> </w:t>
      </w:r>
      <w:r w:rsidR="00533E8E" w:rsidRPr="00DF70F3">
        <w:rPr>
          <w:noProof/>
          <w:lang w:val="fr-FR"/>
        </w:rPr>
        <w:t>Jap</w:t>
      </w:r>
      <w:r w:rsidRPr="00DF70F3">
        <w:rPr>
          <w:noProof/>
          <w:lang w:val="fr-FR"/>
        </w:rPr>
        <w:t>o</w:t>
      </w:r>
      <w:r w:rsidR="00533E8E" w:rsidRPr="00DF70F3">
        <w:rPr>
          <w:noProof/>
          <w:lang w:val="fr-FR"/>
        </w:rPr>
        <w:t xml:space="preserve">n, Monaco, </w:t>
      </w:r>
      <w:r w:rsidRPr="00DF70F3">
        <w:rPr>
          <w:noProof/>
          <w:lang w:val="fr-FR"/>
        </w:rPr>
        <w:t>la Norvège</w:t>
      </w:r>
      <w:r w:rsidR="00533E8E" w:rsidRPr="00DF70F3">
        <w:rPr>
          <w:noProof/>
          <w:lang w:val="fr-FR"/>
        </w:rPr>
        <w:t>,</w:t>
      </w:r>
      <w:r w:rsidR="00533E8E" w:rsidRPr="00DF70F3">
        <w:rPr>
          <w:b/>
          <w:bCs/>
          <w:noProof/>
          <w:lang w:val="fr-FR"/>
        </w:rPr>
        <w:t xml:space="preserve"> </w:t>
      </w:r>
      <w:r w:rsidRPr="00DF70F3">
        <w:rPr>
          <w:noProof/>
          <w:lang w:val="fr-FR"/>
        </w:rPr>
        <w:t>la Suède et</w:t>
      </w:r>
      <w:r w:rsidR="00533E8E" w:rsidRPr="00DF70F3">
        <w:rPr>
          <w:noProof/>
          <w:lang w:val="fr-FR"/>
        </w:rPr>
        <w:t xml:space="preserve"> </w:t>
      </w:r>
      <w:r w:rsidRPr="00DF70F3">
        <w:rPr>
          <w:noProof/>
          <w:lang w:val="fr-FR"/>
        </w:rPr>
        <w:t>le</w:t>
      </w:r>
      <w:r w:rsidR="00533E8E" w:rsidRPr="00DF70F3">
        <w:rPr>
          <w:noProof/>
          <w:lang w:val="fr-FR"/>
        </w:rPr>
        <w:t xml:space="preserve"> </w:t>
      </w:r>
      <w:r w:rsidRPr="00DF70F3">
        <w:rPr>
          <w:noProof/>
          <w:lang w:val="fr-FR"/>
        </w:rPr>
        <w:t>Conseil des Ministres des pays nordiques</w:t>
      </w:r>
      <w:r w:rsidR="00533E8E" w:rsidRPr="00DF70F3">
        <w:rPr>
          <w:noProof/>
          <w:lang w:val="fr-FR"/>
        </w:rPr>
        <w:t xml:space="preserve">. </w:t>
      </w:r>
    </w:p>
    <w:p w14:paraId="43CBFE41" w14:textId="07CCECAD" w:rsidR="00533E8E" w:rsidRPr="00DF70F3" w:rsidRDefault="00865DC3" w:rsidP="00DD79A5">
      <w:pPr>
        <w:pStyle w:val="Normalnumber"/>
        <w:ind w:left="1276" w:firstLine="0"/>
        <w:rPr>
          <w:rFonts w:eastAsia="Times"/>
          <w:noProof/>
          <w:lang w:val="fr-FR"/>
        </w:rPr>
      </w:pPr>
      <w:r w:rsidRPr="00DF70F3">
        <w:rPr>
          <w:rFonts w:eastAsia="Times"/>
          <w:noProof/>
          <w:lang w:val="fr-FR"/>
        </w:rPr>
        <w:t>Les travaux entrepris pour appliquer la résolution </w:t>
      </w:r>
      <w:r w:rsidR="00A601CD" w:rsidRPr="00DF70F3">
        <w:rPr>
          <w:rFonts w:eastAsia="Times"/>
          <w:noProof/>
          <w:lang w:val="fr-FR"/>
        </w:rPr>
        <w:t xml:space="preserve">4/6 </w:t>
      </w:r>
      <w:r w:rsidRPr="00DF70F3">
        <w:rPr>
          <w:rFonts w:eastAsia="Times"/>
          <w:noProof/>
          <w:lang w:val="fr-FR"/>
        </w:rPr>
        <w:t>ont également contribué à l’application de plusieurs autres résolutions de l’Assemblée pour l’environnement, notamment la résolution </w:t>
      </w:r>
      <w:r w:rsidR="00533E8E" w:rsidRPr="00DF70F3">
        <w:rPr>
          <w:rFonts w:eastAsia="Times"/>
          <w:noProof/>
          <w:lang w:val="fr-FR"/>
        </w:rPr>
        <w:t xml:space="preserve">4/11 </w:t>
      </w:r>
      <w:r w:rsidRPr="00DF70F3">
        <w:rPr>
          <w:rFonts w:eastAsia="Times"/>
          <w:noProof/>
          <w:lang w:val="fr-FR"/>
        </w:rPr>
        <w:t>sur la protection du milieu marin contre la pollution due aux activités terrestres, la résolution </w:t>
      </w:r>
      <w:r w:rsidR="00533E8E" w:rsidRPr="00DF70F3">
        <w:rPr>
          <w:rFonts w:eastAsia="Times"/>
          <w:noProof/>
          <w:lang w:val="fr-FR"/>
        </w:rPr>
        <w:t xml:space="preserve">4/1 </w:t>
      </w:r>
      <w:r w:rsidRPr="00DF70F3">
        <w:rPr>
          <w:rFonts w:eastAsia="Times"/>
          <w:noProof/>
          <w:lang w:val="fr-FR"/>
        </w:rPr>
        <w:t>sur les moyens novateurs de parvenir à une consommation et une production durables, la</w:t>
      </w:r>
      <w:r w:rsidR="00533E8E" w:rsidRPr="00DF70F3">
        <w:rPr>
          <w:rFonts w:eastAsia="Times"/>
          <w:noProof/>
          <w:lang w:val="fr-FR"/>
        </w:rPr>
        <w:t xml:space="preserve"> </w:t>
      </w:r>
      <w:r w:rsidRPr="00DF70F3">
        <w:rPr>
          <w:rFonts w:eastAsia="Times"/>
          <w:noProof/>
          <w:lang w:val="fr-FR"/>
        </w:rPr>
        <w:t>résolution </w:t>
      </w:r>
      <w:r w:rsidR="00533E8E" w:rsidRPr="00DF70F3">
        <w:rPr>
          <w:rFonts w:eastAsia="Times"/>
          <w:noProof/>
          <w:lang w:val="fr-FR"/>
        </w:rPr>
        <w:t xml:space="preserve">4/5 </w:t>
      </w:r>
      <w:r w:rsidRPr="00DF70F3">
        <w:rPr>
          <w:rFonts w:eastAsia="Times"/>
          <w:noProof/>
          <w:lang w:val="fr-FR"/>
        </w:rPr>
        <w:t>sur</w:t>
      </w:r>
      <w:r w:rsidR="00533E8E" w:rsidRPr="00DF70F3">
        <w:rPr>
          <w:rFonts w:eastAsia="Times"/>
          <w:noProof/>
          <w:lang w:val="fr-FR"/>
        </w:rPr>
        <w:t xml:space="preserve"> </w:t>
      </w:r>
      <w:r w:rsidRPr="00DF70F3">
        <w:rPr>
          <w:rFonts w:eastAsia="Times"/>
          <w:noProof/>
          <w:lang w:val="fr-FR"/>
        </w:rPr>
        <w:t>les infrastructures durables,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4/7 </w:t>
      </w:r>
      <w:r w:rsidR="00B90647" w:rsidRPr="00DF70F3">
        <w:rPr>
          <w:rFonts w:eastAsia="Times"/>
          <w:noProof/>
          <w:lang w:val="fr-FR"/>
        </w:rPr>
        <w:t xml:space="preserve">sur </w:t>
      </w:r>
      <w:r w:rsidRPr="00DF70F3">
        <w:rPr>
          <w:rFonts w:eastAsia="Times"/>
          <w:noProof/>
          <w:lang w:val="fr-FR"/>
        </w:rPr>
        <w:t>la gestion écologiquement rationnelle des déchets,</w:t>
      </w:r>
      <w:r w:rsidR="00533E8E" w:rsidRPr="00DF70F3">
        <w:rPr>
          <w:rFonts w:eastAsia="Times"/>
          <w:noProof/>
          <w:lang w:val="fr-FR"/>
        </w:rPr>
        <w:t xml:space="preserve"> </w:t>
      </w:r>
      <w:r w:rsidRPr="00DF70F3">
        <w:rPr>
          <w:rFonts w:eastAsia="Times"/>
          <w:noProof/>
          <w:lang w:val="fr-FR"/>
        </w:rPr>
        <w:t xml:space="preserve">la </w:t>
      </w:r>
      <w:r w:rsidR="00533E8E" w:rsidRPr="00DF70F3">
        <w:rPr>
          <w:rFonts w:eastAsia="Times"/>
          <w:noProof/>
          <w:lang w:val="fr-FR"/>
        </w:rPr>
        <w:t>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4/8 </w:t>
      </w:r>
      <w:r w:rsidRPr="00DF70F3">
        <w:rPr>
          <w:rFonts w:eastAsia="Times"/>
          <w:noProof/>
          <w:lang w:val="fr-FR"/>
        </w:rPr>
        <w:t>sur la gestion rationnelle des produits chimiques et des déchets,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4/9 </w:t>
      </w:r>
      <w:r w:rsidRPr="00DF70F3">
        <w:rPr>
          <w:rFonts w:eastAsia="Times"/>
          <w:noProof/>
          <w:lang w:val="fr-FR"/>
        </w:rPr>
        <w:t>sur la lutte contre la pollution par les produits en plastique à usage unique,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4/12 </w:t>
      </w:r>
      <w:r w:rsidRPr="00DF70F3">
        <w:rPr>
          <w:rFonts w:eastAsia="Times"/>
          <w:noProof/>
          <w:lang w:val="fr-FR"/>
        </w:rPr>
        <w:t>sur la gestion durable pour la santé des écosystèmes mondiaux de mangroves,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4/13 </w:t>
      </w:r>
      <w:r w:rsidRPr="00DF70F3">
        <w:rPr>
          <w:rFonts w:eastAsia="Times"/>
          <w:noProof/>
          <w:lang w:val="fr-FR"/>
        </w:rPr>
        <w:t>sur la gestion durable des récifs coralliens,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4/17 </w:t>
      </w:r>
      <w:r w:rsidRPr="00DF70F3">
        <w:rPr>
          <w:rFonts w:eastAsia="Times"/>
          <w:noProof/>
          <w:lang w:val="fr-FR"/>
        </w:rPr>
        <w:t>sur la promotion de l’égalité des sexes, des droits et de l’autonomisation des femmes et des filles dans la gouvernance de l’environnement et la</w:t>
      </w:r>
      <w:r w:rsidR="00533E8E" w:rsidRPr="00DF70F3">
        <w:rPr>
          <w:rFonts w:eastAsia="Times"/>
          <w:noProof/>
          <w:lang w:val="fr-FR"/>
        </w:rPr>
        <w:t xml:space="preserve"> r</w:t>
      </w:r>
      <w:r w:rsidRPr="00DF70F3">
        <w:rPr>
          <w:rFonts w:eastAsia="Times"/>
          <w:noProof/>
          <w:lang w:val="fr-FR"/>
        </w:rPr>
        <w:t>é</w:t>
      </w:r>
      <w:r w:rsidR="00533E8E" w:rsidRPr="00DF70F3">
        <w:rPr>
          <w:rFonts w:eastAsia="Times"/>
          <w:noProof/>
          <w:lang w:val="fr-FR"/>
        </w:rPr>
        <w:t>solution</w:t>
      </w:r>
      <w:r w:rsidRPr="00DF70F3">
        <w:rPr>
          <w:rFonts w:eastAsia="Times"/>
          <w:noProof/>
          <w:lang w:val="fr-FR"/>
        </w:rPr>
        <w:t> </w:t>
      </w:r>
      <w:r w:rsidR="00533E8E" w:rsidRPr="00DF70F3">
        <w:rPr>
          <w:rFonts w:eastAsia="Times"/>
          <w:noProof/>
          <w:lang w:val="fr-FR"/>
        </w:rPr>
        <w:t xml:space="preserve">4/20 </w:t>
      </w:r>
      <w:r w:rsidRPr="00DF70F3">
        <w:rPr>
          <w:rFonts w:eastAsia="Times"/>
          <w:noProof/>
          <w:lang w:val="fr-FR"/>
        </w:rPr>
        <w:t>sur le cinquième Programme pour le développement et l’examen périodique du droit de l’environnement (Programme de Montevideo</w:t>
      </w:r>
      <w:r w:rsidR="004562EE" w:rsidRPr="00DF70F3">
        <w:rPr>
          <w:rFonts w:eastAsia="Times"/>
          <w:noProof/>
          <w:lang w:val="fr-FR"/>
        </w:rPr>
        <w:t> </w:t>
      </w:r>
      <w:r w:rsidRPr="00DF70F3">
        <w:rPr>
          <w:rFonts w:eastAsia="Times"/>
          <w:noProof/>
          <w:lang w:val="fr-FR"/>
        </w:rPr>
        <w:t>V) : au service de la population et de la planète</w:t>
      </w:r>
      <w:r w:rsidR="00533E8E" w:rsidRPr="00DF70F3">
        <w:rPr>
          <w:rFonts w:eastAsia="Times"/>
          <w:noProof/>
          <w:lang w:val="fr-FR"/>
        </w:rPr>
        <w:t>.</w:t>
      </w:r>
    </w:p>
    <w:p w14:paraId="3F197C96" w14:textId="07F9689D" w:rsidR="00596A25" w:rsidRPr="00DF70F3" w:rsidRDefault="00076B30" w:rsidP="00076B30">
      <w:pPr>
        <w:pStyle w:val="CH1"/>
        <w:rPr>
          <w:noProof/>
          <w:lang w:val="fr-FR"/>
        </w:rPr>
      </w:pPr>
      <w:r w:rsidRPr="00DF70F3">
        <w:rPr>
          <w:noProof/>
          <w:lang w:val="fr-FR"/>
        </w:rPr>
        <w:tab/>
        <w:t>I.</w:t>
      </w:r>
      <w:r w:rsidRPr="00DF70F3">
        <w:rPr>
          <w:noProof/>
          <w:lang w:val="fr-FR"/>
        </w:rPr>
        <w:tab/>
      </w:r>
      <w:r w:rsidR="00596A25" w:rsidRPr="00DF70F3">
        <w:rPr>
          <w:noProof/>
          <w:lang w:val="fr-FR"/>
        </w:rPr>
        <w:t>Progr</w:t>
      </w:r>
      <w:r w:rsidR="00692958" w:rsidRPr="00DF70F3">
        <w:rPr>
          <w:noProof/>
          <w:lang w:val="fr-FR"/>
        </w:rPr>
        <w:t>ès accomplis dans l’application de la résolution </w:t>
      </w:r>
      <w:r w:rsidR="00596A25" w:rsidRPr="00DF70F3">
        <w:rPr>
          <w:noProof/>
          <w:lang w:val="fr-FR"/>
        </w:rPr>
        <w:t>4/6</w:t>
      </w:r>
    </w:p>
    <w:p w14:paraId="16F51789" w14:textId="24B27F1B" w:rsidR="00596A25" w:rsidRPr="00DF70F3" w:rsidRDefault="00076B30" w:rsidP="00076B30">
      <w:pPr>
        <w:pStyle w:val="CH2"/>
        <w:rPr>
          <w:noProof/>
          <w:lang w:val="fr-FR"/>
        </w:rPr>
      </w:pPr>
      <w:r w:rsidRPr="00DF70F3">
        <w:rPr>
          <w:noProof/>
          <w:lang w:val="fr-FR"/>
        </w:rPr>
        <w:tab/>
      </w:r>
      <w:r w:rsidR="00596A25" w:rsidRPr="00DF70F3">
        <w:rPr>
          <w:noProof/>
          <w:lang w:val="fr-FR"/>
        </w:rPr>
        <w:t>A.</w:t>
      </w:r>
      <w:r w:rsidRPr="00DF70F3">
        <w:rPr>
          <w:noProof/>
          <w:lang w:val="fr-FR"/>
        </w:rPr>
        <w:tab/>
      </w:r>
      <w:r w:rsidR="00C33F0C" w:rsidRPr="00DF70F3">
        <w:rPr>
          <w:noProof/>
          <w:lang w:val="fr-FR"/>
        </w:rPr>
        <w:t>Activités générales de mise en œuvre</w:t>
      </w:r>
      <w:r w:rsidR="00596A25" w:rsidRPr="00DF70F3">
        <w:rPr>
          <w:noProof/>
          <w:lang w:val="fr-FR"/>
        </w:rPr>
        <w:t xml:space="preserve"> </w:t>
      </w:r>
    </w:p>
    <w:p w14:paraId="53949126" w14:textId="526F4FAC" w:rsidR="00596A25" w:rsidRPr="00DF70F3" w:rsidRDefault="00C33F0C" w:rsidP="00DD79A5">
      <w:pPr>
        <w:pStyle w:val="Normalnumber"/>
        <w:ind w:left="1276" w:firstLine="0"/>
        <w:rPr>
          <w:b/>
          <w:bCs/>
          <w:noProof/>
          <w:lang w:val="fr-FR"/>
        </w:rPr>
      </w:pPr>
      <w:r w:rsidRPr="00DF70F3">
        <w:rPr>
          <w:noProof/>
          <w:lang w:val="fr-FR"/>
        </w:rPr>
        <w:t xml:space="preserve">La mise en œuvre d’activités </w:t>
      </w:r>
      <w:r w:rsidR="002D30F7" w:rsidRPr="00DF70F3">
        <w:rPr>
          <w:noProof/>
          <w:lang w:val="fr-FR"/>
        </w:rPr>
        <w:t xml:space="preserve">menées </w:t>
      </w:r>
      <w:r w:rsidRPr="00DF70F3">
        <w:rPr>
          <w:noProof/>
          <w:lang w:val="fr-FR"/>
        </w:rPr>
        <w:t>dans le cadre de la résolution </w:t>
      </w:r>
      <w:r w:rsidR="00596A25" w:rsidRPr="00DF70F3">
        <w:rPr>
          <w:noProof/>
          <w:lang w:val="fr-FR"/>
        </w:rPr>
        <w:t>4/6</w:t>
      </w:r>
      <w:r w:rsidRPr="00DF70F3">
        <w:rPr>
          <w:noProof/>
          <w:lang w:val="fr-FR"/>
        </w:rPr>
        <w:t xml:space="preserve"> appuie la concrétisation de réalisations escomptées d’un certain nombre de sous-programmes du PNUE, notamment la réalisation escomptée </w:t>
      </w:r>
      <w:r w:rsidR="006D6D6A" w:rsidRPr="00DF70F3">
        <w:rPr>
          <w:noProof/>
          <w:lang w:val="fr-FR"/>
        </w:rPr>
        <w:t>a)</w:t>
      </w:r>
      <w:r w:rsidR="006D6D6A" w:rsidRPr="00DF70F3">
        <w:rPr>
          <w:noProof/>
          <w:vertAlign w:val="superscript"/>
          <w:lang w:val="fr-FR"/>
        </w:rPr>
        <w:footnoteReference w:id="4"/>
      </w:r>
      <w:r w:rsidR="006D6D6A" w:rsidRPr="00DF70F3">
        <w:rPr>
          <w:noProof/>
          <w:lang w:val="fr-FR"/>
        </w:rPr>
        <w:t xml:space="preserve"> </w:t>
      </w:r>
      <w:r w:rsidRPr="00DF70F3">
        <w:rPr>
          <w:noProof/>
          <w:lang w:val="fr-FR"/>
        </w:rPr>
        <w:t>du sous-programme </w:t>
      </w:r>
      <w:r w:rsidR="00596A25" w:rsidRPr="00DF70F3">
        <w:rPr>
          <w:noProof/>
          <w:lang w:val="fr-FR"/>
        </w:rPr>
        <w:t>3</w:t>
      </w:r>
      <w:r w:rsidR="003039F5" w:rsidRPr="00DF70F3">
        <w:rPr>
          <w:noProof/>
          <w:lang w:val="fr-FR"/>
        </w:rPr>
        <w:t xml:space="preserve">, </w:t>
      </w:r>
      <w:r w:rsidR="00D17E35" w:rsidRPr="00DF70F3">
        <w:rPr>
          <w:noProof/>
          <w:lang w:val="fr-FR"/>
        </w:rPr>
        <w:t>É</w:t>
      </w:r>
      <w:r w:rsidR="00C70DC1" w:rsidRPr="00DF70F3">
        <w:rPr>
          <w:noProof/>
          <w:lang w:val="fr-FR"/>
        </w:rPr>
        <w:t>cosystèmes sains et productifs</w:t>
      </w:r>
      <w:r w:rsidR="00AE136B" w:rsidRPr="00DF70F3">
        <w:rPr>
          <w:noProof/>
          <w:lang w:val="fr-FR"/>
        </w:rPr>
        <w:t> ;</w:t>
      </w:r>
      <w:r w:rsidR="00596A25" w:rsidRPr="00DF70F3">
        <w:rPr>
          <w:noProof/>
          <w:lang w:val="fr-FR"/>
        </w:rPr>
        <w:t xml:space="preserve"> </w:t>
      </w:r>
      <w:r w:rsidR="00C70DC1" w:rsidRPr="00DF70F3">
        <w:rPr>
          <w:noProof/>
          <w:lang w:val="fr-FR"/>
        </w:rPr>
        <w:t>la réalisation escomptée </w:t>
      </w:r>
      <w:r w:rsidR="00F86A92" w:rsidRPr="00DF70F3">
        <w:rPr>
          <w:noProof/>
          <w:lang w:val="fr-FR"/>
        </w:rPr>
        <w:t>b)</w:t>
      </w:r>
      <w:r w:rsidR="00596A25" w:rsidRPr="00DF70F3">
        <w:rPr>
          <w:noProof/>
          <w:vertAlign w:val="superscript"/>
          <w:lang w:val="fr-FR"/>
        </w:rPr>
        <w:footnoteReference w:id="5"/>
      </w:r>
      <w:r w:rsidR="00C70DC1" w:rsidRPr="00DF70F3">
        <w:rPr>
          <w:noProof/>
          <w:lang w:val="fr-FR"/>
        </w:rPr>
        <w:t xml:space="preserve"> du sous-programme </w:t>
      </w:r>
      <w:r w:rsidR="00D17E35" w:rsidRPr="00DF70F3">
        <w:rPr>
          <w:noProof/>
          <w:lang w:val="fr-FR"/>
        </w:rPr>
        <w:t>, G</w:t>
      </w:r>
      <w:r w:rsidR="00C70DC1" w:rsidRPr="00DF70F3">
        <w:rPr>
          <w:noProof/>
          <w:lang w:val="fr-FR"/>
        </w:rPr>
        <w:t xml:space="preserve">ouvernance </w:t>
      </w:r>
      <w:r w:rsidR="00D17E35" w:rsidRPr="00DF70F3">
        <w:rPr>
          <w:noProof/>
          <w:lang w:val="fr-FR"/>
        </w:rPr>
        <w:t>de l’</w:t>
      </w:r>
      <w:r w:rsidR="00C70DC1" w:rsidRPr="00DF70F3">
        <w:rPr>
          <w:noProof/>
          <w:lang w:val="fr-FR"/>
        </w:rPr>
        <w:t>environnement</w:t>
      </w:r>
      <w:r w:rsidR="00700B9A" w:rsidRPr="00DF70F3">
        <w:rPr>
          <w:noProof/>
          <w:lang w:val="fr-FR"/>
        </w:rPr>
        <w:t> ;</w:t>
      </w:r>
      <w:r w:rsidR="00C70DC1" w:rsidRPr="00DF70F3">
        <w:rPr>
          <w:noProof/>
          <w:lang w:val="fr-FR"/>
        </w:rPr>
        <w:t xml:space="preserve"> les réalisations escomptées </w:t>
      </w:r>
      <w:r w:rsidR="006D6D6A" w:rsidRPr="00DF70F3">
        <w:rPr>
          <w:noProof/>
          <w:lang w:val="fr-FR"/>
        </w:rPr>
        <w:t>a)</w:t>
      </w:r>
      <w:r w:rsidR="006D6D6A" w:rsidRPr="00DF70F3">
        <w:rPr>
          <w:noProof/>
          <w:vertAlign w:val="superscript"/>
          <w:lang w:val="fr-FR"/>
        </w:rPr>
        <w:footnoteReference w:id="6"/>
      </w:r>
      <w:r w:rsidR="006D6D6A" w:rsidRPr="00DF70F3">
        <w:rPr>
          <w:noProof/>
          <w:lang w:val="fr-FR"/>
        </w:rPr>
        <w:t xml:space="preserve"> </w:t>
      </w:r>
      <w:r w:rsidR="00C70DC1" w:rsidRPr="00DF70F3">
        <w:rPr>
          <w:noProof/>
          <w:lang w:val="fr-FR"/>
        </w:rPr>
        <w:t>et</w:t>
      </w:r>
      <w:r w:rsidR="006D6D6A" w:rsidRPr="00DF70F3">
        <w:rPr>
          <w:noProof/>
          <w:lang w:val="fr-FR"/>
        </w:rPr>
        <w:t xml:space="preserve"> b)</w:t>
      </w:r>
      <w:r w:rsidR="006D6D6A" w:rsidRPr="00DF70F3">
        <w:rPr>
          <w:noProof/>
          <w:vertAlign w:val="superscript"/>
          <w:lang w:val="fr-FR"/>
        </w:rPr>
        <w:footnoteReference w:id="7"/>
      </w:r>
      <w:r w:rsidR="006D6D6A" w:rsidRPr="00DF70F3" w:rsidDel="00E97B32">
        <w:rPr>
          <w:noProof/>
          <w:lang w:val="fr-FR"/>
        </w:rPr>
        <w:t xml:space="preserve"> </w:t>
      </w:r>
      <w:r w:rsidR="00C70DC1" w:rsidRPr="00DF70F3">
        <w:rPr>
          <w:noProof/>
          <w:lang w:val="fr-FR"/>
        </w:rPr>
        <w:t>du sous-programme </w:t>
      </w:r>
      <w:r w:rsidR="00596A25" w:rsidRPr="00DF70F3">
        <w:rPr>
          <w:noProof/>
          <w:lang w:val="fr-FR"/>
        </w:rPr>
        <w:t>5</w:t>
      </w:r>
      <w:r w:rsidR="00D17E35" w:rsidRPr="00DF70F3">
        <w:rPr>
          <w:noProof/>
          <w:lang w:val="fr-FR"/>
        </w:rPr>
        <w:t>,</w:t>
      </w:r>
      <w:r w:rsidR="00BF7002" w:rsidRPr="00DF70F3">
        <w:rPr>
          <w:noProof/>
          <w:lang w:val="fr-FR"/>
        </w:rPr>
        <w:t xml:space="preserve"> P</w:t>
      </w:r>
      <w:r w:rsidR="00C70DC1" w:rsidRPr="00DF70F3">
        <w:rPr>
          <w:noProof/>
          <w:lang w:val="fr-FR"/>
        </w:rPr>
        <w:t>roduits chimiques, déchets et qualité de l’air</w:t>
      </w:r>
      <w:r w:rsidR="001F28CD" w:rsidRPr="00DF70F3">
        <w:rPr>
          <w:noProof/>
          <w:lang w:val="fr-FR"/>
        </w:rPr>
        <w:t> ;</w:t>
      </w:r>
      <w:r w:rsidR="00C70DC1" w:rsidRPr="00DF70F3">
        <w:rPr>
          <w:noProof/>
          <w:lang w:val="fr-FR"/>
        </w:rPr>
        <w:t xml:space="preserve"> </w:t>
      </w:r>
      <w:r w:rsidR="00FF0208" w:rsidRPr="00DF70F3">
        <w:rPr>
          <w:noProof/>
          <w:lang w:val="fr-FR"/>
        </w:rPr>
        <w:t>ainsi que</w:t>
      </w:r>
      <w:r w:rsidR="00C70DC1" w:rsidRPr="00DF70F3">
        <w:rPr>
          <w:noProof/>
          <w:lang w:val="fr-FR"/>
        </w:rPr>
        <w:t xml:space="preserve"> l’unique réalisation escomptée</w:t>
      </w:r>
      <w:r w:rsidR="006D6D6A" w:rsidRPr="00DF70F3">
        <w:rPr>
          <w:noProof/>
          <w:vertAlign w:val="superscript"/>
          <w:lang w:val="fr-FR"/>
        </w:rPr>
        <w:footnoteReference w:id="8"/>
      </w:r>
      <w:r w:rsidR="006D6D6A" w:rsidRPr="00DF70F3">
        <w:rPr>
          <w:noProof/>
          <w:lang w:val="fr-FR"/>
        </w:rPr>
        <w:t xml:space="preserve"> </w:t>
      </w:r>
      <w:r w:rsidR="00C70DC1" w:rsidRPr="00DF70F3">
        <w:rPr>
          <w:noProof/>
          <w:lang w:val="fr-FR"/>
        </w:rPr>
        <w:t>du sous-programme </w:t>
      </w:r>
      <w:r w:rsidR="009C7E58" w:rsidRPr="00DF70F3">
        <w:rPr>
          <w:noProof/>
          <w:lang w:val="fr-FR"/>
        </w:rPr>
        <w:t>7</w:t>
      </w:r>
      <w:r w:rsidR="00BF7002" w:rsidRPr="00DF70F3">
        <w:rPr>
          <w:noProof/>
          <w:lang w:val="fr-FR"/>
        </w:rPr>
        <w:t>, Surveillance de l</w:t>
      </w:r>
      <w:r w:rsidR="001426DD" w:rsidRPr="00DF70F3">
        <w:rPr>
          <w:noProof/>
          <w:lang w:val="fr-FR"/>
        </w:rPr>
        <w:t>’</w:t>
      </w:r>
      <w:r w:rsidR="00C70DC1" w:rsidRPr="00DF70F3">
        <w:rPr>
          <w:noProof/>
          <w:lang w:val="fr-FR"/>
        </w:rPr>
        <w:t>environnement</w:t>
      </w:r>
      <w:r w:rsidR="00596A25" w:rsidRPr="00DF70F3">
        <w:rPr>
          <w:noProof/>
          <w:lang w:val="fr-FR"/>
        </w:rPr>
        <w:t xml:space="preserve">. </w:t>
      </w:r>
      <w:r w:rsidR="00737750" w:rsidRPr="00DF70F3">
        <w:rPr>
          <w:noProof/>
          <w:lang w:val="fr-FR"/>
        </w:rPr>
        <w:t>Ces activités</w:t>
      </w:r>
      <w:r w:rsidR="00CE78BA" w:rsidRPr="00DF70F3">
        <w:rPr>
          <w:noProof/>
          <w:lang w:val="fr-FR"/>
        </w:rPr>
        <w:t xml:space="preserve"> </w:t>
      </w:r>
      <w:r w:rsidR="00737750" w:rsidRPr="00DF70F3">
        <w:rPr>
          <w:noProof/>
          <w:lang w:val="fr-FR"/>
        </w:rPr>
        <w:t>relèvent principalement du projet n° </w:t>
      </w:r>
      <w:r w:rsidR="00596A25" w:rsidRPr="00DF70F3">
        <w:rPr>
          <w:noProof/>
          <w:lang w:val="fr-FR"/>
        </w:rPr>
        <w:t>522.4</w:t>
      </w:r>
      <w:r w:rsidR="00737750" w:rsidRPr="00DF70F3">
        <w:rPr>
          <w:noProof/>
          <w:lang w:val="fr-FR"/>
        </w:rPr>
        <w:t xml:space="preserve"> du programme de travail</w:t>
      </w:r>
      <w:r w:rsidR="000B0B2C" w:rsidRPr="00DF70F3">
        <w:rPr>
          <w:noProof/>
          <w:lang w:val="fr-FR"/>
        </w:rPr>
        <w:t>,</w:t>
      </w:r>
      <w:r w:rsidR="00596A25" w:rsidRPr="00DF70F3">
        <w:rPr>
          <w:noProof/>
          <w:lang w:val="fr-FR"/>
        </w:rPr>
        <w:t xml:space="preserve"> </w:t>
      </w:r>
      <w:r w:rsidR="00737750" w:rsidRPr="00DF70F3">
        <w:rPr>
          <w:noProof/>
          <w:lang w:val="fr-FR"/>
        </w:rPr>
        <w:t>intitulé</w:t>
      </w:r>
      <w:r w:rsidR="00596A25" w:rsidRPr="00DF70F3">
        <w:rPr>
          <w:noProof/>
          <w:lang w:val="fr-FR"/>
        </w:rPr>
        <w:t xml:space="preserve"> </w:t>
      </w:r>
      <w:r w:rsidR="00737750" w:rsidRPr="00DF70F3">
        <w:rPr>
          <w:noProof/>
          <w:lang w:val="fr-FR"/>
        </w:rPr>
        <w:t>« </w:t>
      </w:r>
      <w:r w:rsidR="00596A25" w:rsidRPr="00DF70F3">
        <w:rPr>
          <w:noProof/>
          <w:lang w:val="fr-FR"/>
        </w:rPr>
        <w:t xml:space="preserve">Protecting the Marine </w:t>
      </w:r>
      <w:r w:rsidR="00596A25" w:rsidRPr="00DF70F3">
        <w:rPr>
          <w:noProof/>
          <w:lang w:val="fr-FR"/>
        </w:rPr>
        <w:lastRenderedPageBreak/>
        <w:t>Environment from Land-Based Pollution through Strengthened Coordination of Global Action</w:t>
      </w:r>
      <w:r w:rsidR="00737750" w:rsidRPr="00DF70F3">
        <w:rPr>
          <w:noProof/>
          <w:lang w:val="fr-FR"/>
        </w:rPr>
        <w:t> » (« Protéger le milieu marin contre la pollution due aux activités terrestres par une coordination renforcée de l’action mondiale »)</w:t>
      </w:r>
      <w:r w:rsidR="00596A25" w:rsidRPr="00DF70F3">
        <w:rPr>
          <w:noProof/>
          <w:lang w:val="fr-FR"/>
        </w:rPr>
        <w:t xml:space="preserve">. </w:t>
      </w:r>
      <w:r w:rsidR="00DB630C" w:rsidRPr="00DF70F3">
        <w:rPr>
          <w:noProof/>
          <w:lang w:val="fr-FR"/>
        </w:rPr>
        <w:t xml:space="preserve">Plusieurs activités ont été menées au niveau mondial, </w:t>
      </w:r>
      <w:r w:rsidR="000F5CA1" w:rsidRPr="00DF70F3">
        <w:rPr>
          <w:noProof/>
          <w:lang w:val="fr-FR"/>
        </w:rPr>
        <w:t>dans le cadre d’une collaboration étroite et d’une mobilisation de l’ensemble des régions des Nations Unies et des conventions et plans d’action</w:t>
      </w:r>
      <w:r w:rsidR="00596A25" w:rsidRPr="00DF70F3">
        <w:rPr>
          <w:noProof/>
          <w:lang w:val="fr-FR"/>
        </w:rPr>
        <w:t xml:space="preserve"> </w:t>
      </w:r>
      <w:r w:rsidR="000F5CA1" w:rsidRPr="00DF70F3">
        <w:rPr>
          <w:noProof/>
          <w:lang w:val="fr-FR"/>
        </w:rPr>
        <w:t>concernant les mers régionales, dans les domaines de travail examinés ci-après</w:t>
      </w:r>
      <w:r w:rsidR="00596A25" w:rsidRPr="00DF70F3">
        <w:rPr>
          <w:noProof/>
          <w:lang w:val="fr-FR"/>
        </w:rPr>
        <w:t>.</w:t>
      </w:r>
    </w:p>
    <w:p w14:paraId="658F6B55" w14:textId="5DCC44E7" w:rsidR="00596A25" w:rsidRPr="00DF70F3" w:rsidRDefault="00B61505" w:rsidP="00B61505">
      <w:pPr>
        <w:pStyle w:val="CH3"/>
        <w:rPr>
          <w:rFonts w:eastAsia="MS Mincho"/>
          <w:noProof/>
          <w:lang w:val="fr-FR"/>
        </w:rPr>
      </w:pPr>
      <w:r w:rsidRPr="00DF70F3">
        <w:rPr>
          <w:noProof/>
          <w:lang w:val="fr-FR"/>
        </w:rPr>
        <w:tab/>
        <w:t>1.</w:t>
      </w:r>
      <w:r w:rsidRPr="00DF70F3">
        <w:rPr>
          <w:noProof/>
          <w:lang w:val="fr-FR"/>
        </w:rPr>
        <w:tab/>
      </w:r>
      <w:r w:rsidR="00827F8C" w:rsidRPr="00DF70F3">
        <w:rPr>
          <w:noProof/>
          <w:lang w:val="fr-FR"/>
        </w:rPr>
        <w:t>Appui à la mise en place et au renforcement de cadres de gouvernance</w:t>
      </w:r>
      <w:r w:rsidR="00596A25" w:rsidRPr="00DF70F3">
        <w:rPr>
          <w:noProof/>
          <w:lang w:val="fr-FR"/>
        </w:rPr>
        <w:t xml:space="preserve"> </w:t>
      </w:r>
      <w:r w:rsidR="00827F8C" w:rsidRPr="00DF70F3">
        <w:rPr>
          <w:noProof/>
          <w:lang w:val="fr-FR"/>
        </w:rPr>
        <w:t>pour lutter contre les</w:t>
      </w:r>
      <w:r w:rsidR="00AF0255" w:rsidRPr="00DF70F3">
        <w:rPr>
          <w:noProof/>
          <w:lang w:val="fr-FR"/>
        </w:rPr>
        <w:t> </w:t>
      </w:r>
      <w:r w:rsidR="00827F8C" w:rsidRPr="00DF70F3">
        <w:rPr>
          <w:noProof/>
          <w:lang w:val="fr-FR"/>
        </w:rPr>
        <w:t>déchets et les microplastiques dans le milieu marin</w:t>
      </w:r>
      <w:r w:rsidR="00596A25" w:rsidRPr="00DF70F3">
        <w:rPr>
          <w:noProof/>
          <w:lang w:val="fr-FR"/>
        </w:rPr>
        <w:t xml:space="preserve"> </w:t>
      </w:r>
    </w:p>
    <w:p w14:paraId="29F5CCF2" w14:textId="534072CF" w:rsidR="00D45EFE" w:rsidRPr="00DF70F3" w:rsidRDefault="00827F8C" w:rsidP="00DD79A5">
      <w:pPr>
        <w:pStyle w:val="Normalnumber"/>
        <w:ind w:left="1276" w:firstLine="0"/>
        <w:rPr>
          <w:rFonts w:eastAsia="MS Mincho"/>
          <w:noProof/>
          <w:lang w:val="fr-FR"/>
        </w:rPr>
      </w:pPr>
      <w:r w:rsidRPr="00DF70F3">
        <w:rPr>
          <w:noProof/>
          <w:lang w:val="fr-FR"/>
        </w:rPr>
        <w:t>Ce domaine de travail comprend la communication d’informations et</w:t>
      </w:r>
      <w:r w:rsidR="00596A25" w:rsidRPr="00DF70F3">
        <w:rPr>
          <w:noProof/>
          <w:lang w:val="fr-FR"/>
        </w:rPr>
        <w:t xml:space="preserve"> </w:t>
      </w:r>
      <w:r w:rsidR="00D6696F" w:rsidRPr="00DF70F3">
        <w:rPr>
          <w:noProof/>
          <w:lang w:val="fr-FR"/>
        </w:rPr>
        <w:t>la mise en place d’arrangements mondiaux et régionaux en matière de gouvernance pour</w:t>
      </w:r>
      <w:r w:rsidR="00596A25" w:rsidRPr="00DF70F3">
        <w:rPr>
          <w:noProof/>
          <w:lang w:val="fr-FR"/>
        </w:rPr>
        <w:t xml:space="preserve"> </w:t>
      </w:r>
      <w:r w:rsidR="00D6696F" w:rsidRPr="00DF70F3">
        <w:rPr>
          <w:noProof/>
          <w:lang w:val="fr-FR"/>
        </w:rPr>
        <w:t>traiter de la question des</w:t>
      </w:r>
      <w:r w:rsidR="000B0B2C" w:rsidRPr="00DF70F3">
        <w:rPr>
          <w:noProof/>
          <w:lang w:val="fr-FR"/>
        </w:rPr>
        <w:t xml:space="preserve"> </w:t>
      </w:r>
      <w:r w:rsidR="00634DA2" w:rsidRPr="00DF70F3">
        <w:rPr>
          <w:noProof/>
          <w:lang w:val="fr-FR"/>
        </w:rPr>
        <w:t>déchets et des microplastiques dans le milieu marin</w:t>
      </w:r>
      <w:r w:rsidR="00596A25" w:rsidRPr="00DF70F3">
        <w:rPr>
          <w:noProof/>
          <w:lang w:val="fr-FR"/>
        </w:rPr>
        <w:t>.</w:t>
      </w:r>
      <w:r w:rsidR="00634DA2" w:rsidRPr="00DF70F3">
        <w:rPr>
          <w:noProof/>
          <w:lang w:val="fr-FR"/>
        </w:rPr>
        <w:t xml:space="preserve"> Il s’agit notamment d’appuyer le</w:t>
      </w:r>
      <w:r w:rsidR="00596A25" w:rsidRPr="00DF70F3">
        <w:rPr>
          <w:noProof/>
          <w:lang w:val="fr-FR"/>
        </w:rPr>
        <w:t xml:space="preserve"> </w:t>
      </w:r>
      <w:r w:rsidR="00634DA2" w:rsidRPr="00DF70F3">
        <w:rPr>
          <w:noProof/>
          <w:lang w:val="fr-FR"/>
        </w:rPr>
        <w:t xml:space="preserve">Groupe spécial d’experts à composition non limitée sur les déchets et les microplastiques dans le milieu marin et de faciliter une participation multipartite </w:t>
      </w:r>
      <w:r w:rsidR="00056C12" w:rsidRPr="00DF70F3">
        <w:rPr>
          <w:noProof/>
          <w:lang w:val="fr-FR"/>
        </w:rPr>
        <w:t>dans</w:t>
      </w:r>
      <w:r w:rsidR="00634DA2" w:rsidRPr="00DF70F3">
        <w:rPr>
          <w:noProof/>
          <w:lang w:val="fr-FR"/>
        </w:rPr>
        <w:t xml:space="preserve"> l’ensemble des régions dans le cadre de diverses activités</w:t>
      </w:r>
      <w:r w:rsidR="00596A25" w:rsidRPr="00DF70F3">
        <w:rPr>
          <w:noProof/>
          <w:lang w:val="fr-FR"/>
        </w:rPr>
        <w:t xml:space="preserve">. </w:t>
      </w:r>
    </w:p>
    <w:p w14:paraId="0591495B" w14:textId="30E7F795" w:rsidR="00596A25" w:rsidRPr="00DF70F3" w:rsidRDefault="007B2570" w:rsidP="00DD79A5">
      <w:pPr>
        <w:pStyle w:val="Normalnumber"/>
        <w:ind w:left="1276" w:firstLine="0"/>
        <w:rPr>
          <w:rFonts w:eastAsia="MS Mincho"/>
          <w:noProof/>
          <w:lang w:val="fr-FR"/>
        </w:rPr>
      </w:pPr>
      <w:r w:rsidRPr="00DF70F3">
        <w:rPr>
          <w:noProof/>
          <w:lang w:val="fr-FR"/>
        </w:rPr>
        <w:t>Dans ce domaine de travail</w:t>
      </w:r>
      <w:r w:rsidR="00D45EFE" w:rsidRPr="00DF70F3">
        <w:rPr>
          <w:noProof/>
          <w:lang w:val="fr-FR"/>
        </w:rPr>
        <w:t>,</w:t>
      </w:r>
      <w:r w:rsidRPr="00DF70F3">
        <w:rPr>
          <w:noProof/>
          <w:lang w:val="fr-FR"/>
        </w:rPr>
        <w:t xml:space="preserve"> le PNUE appuie l’élaboration de plans d’action régionaux concernant les déchets marins</w:t>
      </w:r>
      <w:r w:rsidR="00D45EFE" w:rsidRPr="00DF70F3">
        <w:rPr>
          <w:noProof/>
          <w:lang w:val="fr-FR"/>
        </w:rPr>
        <w:t>.</w:t>
      </w:r>
      <w:r w:rsidRPr="00DF70F3">
        <w:rPr>
          <w:noProof/>
          <w:lang w:val="fr-FR"/>
        </w:rPr>
        <w:t xml:space="preserve"> Au total, 12 plans d’action régionaux concernant les déchets marins sont en place à ce jour, les plus récents ayant été adoptés en Afrique</w:t>
      </w:r>
      <w:r w:rsidR="00D45EFE" w:rsidRPr="00DF70F3">
        <w:rPr>
          <w:noProof/>
          <w:lang w:val="fr-FR"/>
        </w:rPr>
        <w:t xml:space="preserve"> </w:t>
      </w:r>
      <w:r w:rsidR="00B8182C" w:rsidRPr="00DF70F3">
        <w:rPr>
          <w:noProof/>
          <w:lang w:val="fr-FR"/>
        </w:rPr>
        <w:t>orientale et en Asie du Sud-Est. En outre, quatre plans d’action supplémentaires sont en cours d’élaboration pour le Pacifique Nord</w:t>
      </w:r>
      <w:r w:rsidR="00B8182C" w:rsidRPr="00DF70F3">
        <w:rPr>
          <w:noProof/>
          <w:lang w:val="fr-FR"/>
        </w:rPr>
        <w:noBreakHyphen/>
        <w:t>Est ainsi que pour l’Afrique occidentale, centrale et australe, plusieurs ateliers régionaux et sous-régionaux ayant été organisés à cet effet</w:t>
      </w:r>
      <w:r w:rsidR="00596A25" w:rsidRPr="00DF70F3">
        <w:rPr>
          <w:noProof/>
          <w:lang w:val="fr-FR"/>
        </w:rPr>
        <w:t>.</w:t>
      </w:r>
      <w:r w:rsidR="00B8182C" w:rsidRPr="00DF70F3">
        <w:rPr>
          <w:noProof/>
          <w:lang w:val="fr-FR"/>
        </w:rPr>
        <w:t xml:space="preserve"> Un appui à la mise en œuvre a été fourni pour les plans d’action du Pacifique, de la région des Caraïbes, de la Méditerranée, de l’Afrique orientale, du</w:t>
      </w:r>
      <w:r w:rsidR="00596A25" w:rsidRPr="00DF70F3">
        <w:rPr>
          <w:noProof/>
          <w:lang w:val="fr-FR"/>
        </w:rPr>
        <w:t xml:space="preserve"> </w:t>
      </w:r>
      <w:r w:rsidR="00B8182C" w:rsidRPr="00DF70F3">
        <w:rPr>
          <w:noProof/>
          <w:lang w:val="fr-FR"/>
        </w:rPr>
        <w:t>Pacifique Nord</w:t>
      </w:r>
      <w:r w:rsidR="00B8182C" w:rsidRPr="00DF70F3">
        <w:rPr>
          <w:noProof/>
          <w:lang w:val="fr-FR"/>
        </w:rPr>
        <w:noBreakHyphen/>
      </w:r>
      <w:r w:rsidR="002E1497" w:rsidRPr="00DF70F3">
        <w:rPr>
          <w:noProof/>
          <w:lang w:val="fr-FR"/>
        </w:rPr>
        <w:t>Oue</w:t>
      </w:r>
      <w:r w:rsidR="00B8182C" w:rsidRPr="00DF70F3">
        <w:rPr>
          <w:noProof/>
          <w:lang w:val="fr-FR"/>
        </w:rPr>
        <w:t>st, de la mer Rouge et du golfe d’Aden</w:t>
      </w:r>
      <w:r w:rsidR="00596A25" w:rsidRPr="00DF70F3">
        <w:rPr>
          <w:noProof/>
          <w:lang w:val="fr-FR"/>
        </w:rPr>
        <w:t>,</w:t>
      </w:r>
      <w:r w:rsidR="003A1475" w:rsidRPr="00DF70F3">
        <w:rPr>
          <w:noProof/>
          <w:lang w:val="fr-FR"/>
        </w:rPr>
        <w:t xml:space="preserve"> de l’Asie du Sud</w:t>
      </w:r>
      <w:r w:rsidR="003A1475" w:rsidRPr="00DF70F3">
        <w:rPr>
          <w:noProof/>
          <w:lang w:val="fr-FR"/>
        </w:rPr>
        <w:noBreakHyphen/>
        <w:t>Est et de l’Asie du Sud</w:t>
      </w:r>
      <w:r w:rsidR="00662C0C" w:rsidRPr="00DF70F3">
        <w:rPr>
          <w:noProof/>
          <w:lang w:val="fr-FR"/>
        </w:rPr>
        <w:t>.</w:t>
      </w:r>
      <w:r w:rsidR="003A1475" w:rsidRPr="00DF70F3">
        <w:rPr>
          <w:noProof/>
          <w:lang w:val="fr-FR"/>
        </w:rPr>
        <w:t xml:space="preserve"> De plus, cinq centres régionaux du</w:t>
      </w:r>
      <w:r w:rsidR="00662C0C" w:rsidRPr="00DF70F3">
        <w:rPr>
          <w:noProof/>
          <w:lang w:val="fr-FR"/>
        </w:rPr>
        <w:t xml:space="preserve"> </w:t>
      </w:r>
      <w:r w:rsidR="003A1475" w:rsidRPr="00DF70F3">
        <w:rPr>
          <w:noProof/>
          <w:lang w:val="fr-FR"/>
        </w:rPr>
        <w:t>Partenariat mondial sur les déchets marins sont en place et un est en cours de mise en place</w:t>
      </w:r>
      <w:r w:rsidR="00596A25" w:rsidRPr="00DF70F3">
        <w:rPr>
          <w:noProof/>
          <w:lang w:val="fr-FR"/>
        </w:rPr>
        <w:t>.</w:t>
      </w:r>
      <w:r w:rsidR="003A1475" w:rsidRPr="00DF70F3">
        <w:rPr>
          <w:noProof/>
          <w:lang w:val="fr-FR"/>
        </w:rPr>
        <w:t xml:space="preserve"> Le Comité directeur du Partenariat a adopté </w:t>
      </w:r>
      <w:r w:rsidR="008934BF" w:rsidRPr="00DF70F3">
        <w:rPr>
          <w:noProof/>
          <w:lang w:val="fr-FR"/>
        </w:rPr>
        <w:t>le mandat pour les centres régionaux</w:t>
      </w:r>
      <w:r w:rsidR="00596A25" w:rsidRPr="00DF70F3">
        <w:rPr>
          <w:rStyle w:val="FootnoteReference"/>
          <w:noProof/>
          <w:lang w:val="fr-FR"/>
        </w:rPr>
        <w:footnoteReference w:id="9"/>
      </w:r>
      <w:r w:rsidR="00596A25" w:rsidRPr="00DF70F3">
        <w:rPr>
          <w:noProof/>
          <w:color w:val="0563C1"/>
          <w:u w:val="single"/>
          <w:vertAlign w:val="superscript"/>
          <w:lang w:val="fr-FR"/>
        </w:rPr>
        <w:t xml:space="preserve"> </w:t>
      </w:r>
      <w:r w:rsidR="008934BF" w:rsidRPr="00DF70F3">
        <w:rPr>
          <w:noProof/>
          <w:lang w:val="fr-FR"/>
        </w:rPr>
        <w:t>et le PNUE a élaboré des documents d’orientation sur l’établissement de plans d’action régionaux</w:t>
      </w:r>
      <w:r w:rsidR="00596A25" w:rsidRPr="00DF70F3">
        <w:rPr>
          <w:rStyle w:val="FootnoteReference"/>
          <w:noProof/>
          <w:lang w:val="fr-FR"/>
        </w:rPr>
        <w:footnoteReference w:id="10"/>
      </w:r>
      <w:r w:rsidR="008934BF" w:rsidRPr="00DF70F3">
        <w:rPr>
          <w:noProof/>
          <w:lang w:val="fr-FR"/>
        </w:rPr>
        <w:t>.</w:t>
      </w:r>
    </w:p>
    <w:p w14:paraId="7497F026" w14:textId="6693B7D3" w:rsidR="00596A25" w:rsidRPr="00DF70F3" w:rsidRDefault="00B61505" w:rsidP="00B61505">
      <w:pPr>
        <w:pStyle w:val="CH3"/>
        <w:rPr>
          <w:rFonts w:eastAsia="MS Mincho"/>
          <w:noProof/>
          <w:lang w:val="fr-FR"/>
        </w:rPr>
      </w:pPr>
      <w:r w:rsidRPr="00DF70F3">
        <w:rPr>
          <w:noProof/>
          <w:lang w:val="fr-FR"/>
        </w:rPr>
        <w:tab/>
        <w:t>2.</w:t>
      </w:r>
      <w:r w:rsidRPr="00DF70F3">
        <w:rPr>
          <w:noProof/>
          <w:lang w:val="fr-FR"/>
        </w:rPr>
        <w:tab/>
      </w:r>
      <w:r w:rsidR="008934BF" w:rsidRPr="00DF70F3">
        <w:rPr>
          <w:noProof/>
          <w:lang w:val="fr-FR"/>
        </w:rPr>
        <w:t>Appui à une gestion renforcée des déchets et des microplastiques dans le milieu marin afin de</w:t>
      </w:r>
      <w:r w:rsidR="004A1DBB" w:rsidRPr="00DF70F3">
        <w:rPr>
          <w:noProof/>
          <w:lang w:val="fr-FR"/>
        </w:rPr>
        <w:t> </w:t>
      </w:r>
      <w:r w:rsidR="008934BF" w:rsidRPr="00DF70F3">
        <w:rPr>
          <w:noProof/>
          <w:lang w:val="fr-FR"/>
        </w:rPr>
        <w:t>réduire la pollution marine dans des régions clés</w:t>
      </w:r>
      <w:r w:rsidR="00596A25" w:rsidRPr="00DF70F3">
        <w:rPr>
          <w:noProof/>
          <w:lang w:val="fr-FR"/>
        </w:rPr>
        <w:t xml:space="preserve"> </w:t>
      </w:r>
    </w:p>
    <w:p w14:paraId="734D4F34" w14:textId="4170E8BE" w:rsidR="009A2892" w:rsidRPr="00DF70F3" w:rsidRDefault="004C4B89" w:rsidP="00DD79A5">
      <w:pPr>
        <w:pStyle w:val="Normalnumber"/>
        <w:ind w:left="1276" w:firstLine="0"/>
        <w:rPr>
          <w:rFonts w:eastAsia="MS Mincho"/>
          <w:noProof/>
          <w:lang w:val="fr-FR"/>
        </w:rPr>
      </w:pPr>
      <w:r w:rsidRPr="00DF70F3">
        <w:rPr>
          <w:noProof/>
          <w:lang w:val="fr-FR"/>
        </w:rPr>
        <w:t xml:space="preserve">Ce domaine de travail </w:t>
      </w:r>
      <w:r w:rsidR="00805035" w:rsidRPr="00DF70F3">
        <w:rPr>
          <w:noProof/>
          <w:lang w:val="fr-FR"/>
        </w:rPr>
        <w:t>permet d’</w:t>
      </w:r>
      <w:r w:rsidRPr="00DF70F3">
        <w:rPr>
          <w:noProof/>
          <w:lang w:val="fr-FR"/>
        </w:rPr>
        <w:t xml:space="preserve">éclairer les interventions prioritaires liées aux sources, aux flux, aux </w:t>
      </w:r>
      <w:r w:rsidR="001D1DD2" w:rsidRPr="00DF70F3">
        <w:rPr>
          <w:noProof/>
          <w:lang w:val="fr-FR"/>
        </w:rPr>
        <w:t>modes de déplacement</w:t>
      </w:r>
      <w:r w:rsidRPr="00DF70F3">
        <w:rPr>
          <w:noProof/>
          <w:lang w:val="fr-FR"/>
        </w:rPr>
        <w:t>, aux incidences et aux réponses prioritaires connexes et contribue à la mise en place</w:t>
      </w:r>
      <w:r w:rsidR="00805035" w:rsidRPr="00DF70F3">
        <w:rPr>
          <w:noProof/>
          <w:lang w:val="fr-FR"/>
        </w:rPr>
        <w:t xml:space="preserve"> d’un cadre politique mieux défini pour une réponse mondiale coordonnée au problème</w:t>
      </w:r>
      <w:r w:rsidR="00596A25" w:rsidRPr="00DF70F3">
        <w:rPr>
          <w:noProof/>
          <w:lang w:val="fr-FR"/>
        </w:rPr>
        <w:t>.</w:t>
      </w:r>
      <w:r w:rsidR="00805035" w:rsidRPr="00DF70F3">
        <w:rPr>
          <w:noProof/>
          <w:lang w:val="fr-FR"/>
        </w:rPr>
        <w:t xml:space="preserve"> En outre, il vise et contribue à renforcer les capacités par l’application d’outils et des meilleures pratiques </w:t>
      </w:r>
      <w:r w:rsidR="00CE4642" w:rsidRPr="00DF70F3">
        <w:rPr>
          <w:noProof/>
          <w:lang w:val="fr-FR"/>
        </w:rPr>
        <w:t>sur le</w:t>
      </w:r>
      <w:r w:rsidR="00805035" w:rsidRPr="00DF70F3">
        <w:rPr>
          <w:noProof/>
          <w:lang w:val="fr-FR"/>
        </w:rPr>
        <w:t xml:space="preserve"> terrain</w:t>
      </w:r>
      <w:r w:rsidR="00596A25" w:rsidRPr="00DF70F3">
        <w:rPr>
          <w:noProof/>
          <w:lang w:val="fr-FR"/>
        </w:rPr>
        <w:t xml:space="preserve">. </w:t>
      </w:r>
    </w:p>
    <w:p w14:paraId="771D150A" w14:textId="75168D18" w:rsidR="00596A25" w:rsidRPr="00DF70F3" w:rsidRDefault="00CE4642" w:rsidP="00DD79A5">
      <w:pPr>
        <w:pStyle w:val="Normalnumber"/>
        <w:ind w:left="1276" w:firstLine="0"/>
        <w:rPr>
          <w:rFonts w:eastAsia="MS Mincho"/>
          <w:noProof/>
          <w:lang w:val="fr-FR"/>
        </w:rPr>
      </w:pPr>
      <w:r w:rsidRPr="00DF70F3">
        <w:rPr>
          <w:noProof/>
          <w:lang w:val="fr-FR"/>
        </w:rPr>
        <w:t xml:space="preserve">Parmi les activités clés figure la création d’un modèle des flux de plastiques à l’échelle mondiale permettant de simuler les flux de plastiques </w:t>
      </w:r>
      <w:r w:rsidR="00FC1D6E" w:rsidRPr="00DF70F3">
        <w:rPr>
          <w:noProof/>
          <w:lang w:val="fr-FR"/>
        </w:rPr>
        <w:t>sur la base</w:t>
      </w:r>
      <w:r w:rsidRPr="00DF70F3">
        <w:rPr>
          <w:noProof/>
          <w:lang w:val="fr-FR"/>
        </w:rPr>
        <w:t xml:space="preserve"> </w:t>
      </w:r>
      <w:r w:rsidR="00FC1D6E" w:rsidRPr="00DF70F3">
        <w:rPr>
          <w:noProof/>
          <w:lang w:val="fr-FR"/>
        </w:rPr>
        <w:t>de résultats de modèles</w:t>
      </w:r>
      <w:r w:rsidR="00596A25" w:rsidRPr="00DF70F3">
        <w:rPr>
          <w:noProof/>
          <w:lang w:val="fr-FR"/>
        </w:rPr>
        <w:t xml:space="preserve"> </w:t>
      </w:r>
      <w:r w:rsidR="00FC1D6E" w:rsidRPr="00DF70F3">
        <w:rPr>
          <w:noProof/>
          <w:lang w:val="fr-FR"/>
        </w:rPr>
        <w:t>de circulation océanique</w:t>
      </w:r>
      <w:r w:rsidR="00596A25" w:rsidRPr="00DF70F3">
        <w:rPr>
          <w:noProof/>
          <w:lang w:val="fr-FR"/>
        </w:rPr>
        <w:t>.</w:t>
      </w:r>
      <w:r w:rsidR="00FC1D6E" w:rsidRPr="00DF70F3">
        <w:rPr>
          <w:noProof/>
          <w:lang w:val="fr-FR"/>
        </w:rPr>
        <w:t xml:space="preserve"> Le modèle peut être utilisé pour déterminer vers où se dirigent les plastiques marins rejetés dans l’océan par un pays et d’où proviennent les plastiques marins trouvés sur le littoral d’un pays</w:t>
      </w:r>
      <w:r w:rsidR="00380DAD" w:rsidRPr="00DF70F3">
        <w:rPr>
          <w:noProof/>
          <w:lang w:val="fr-FR"/>
        </w:rPr>
        <w:t>.</w:t>
      </w:r>
      <w:r w:rsidR="00FC1D6E" w:rsidRPr="00DF70F3">
        <w:rPr>
          <w:noProof/>
          <w:lang w:val="fr-FR"/>
        </w:rPr>
        <w:t xml:space="preserve"> Le</w:t>
      </w:r>
      <w:r w:rsidR="005110F7" w:rsidRPr="00DF70F3">
        <w:rPr>
          <w:noProof/>
          <w:lang w:val="fr-FR"/>
        </w:rPr>
        <w:t> </w:t>
      </w:r>
      <w:r w:rsidR="00FC1D6E" w:rsidRPr="00DF70F3">
        <w:rPr>
          <w:noProof/>
          <w:lang w:val="fr-FR"/>
        </w:rPr>
        <w:t xml:space="preserve">PNUE a également contribué à l’élaboration d’approches pour </w:t>
      </w:r>
      <w:r w:rsidR="00C20F3C" w:rsidRPr="00DF70F3">
        <w:rPr>
          <w:noProof/>
          <w:lang w:val="fr-FR"/>
        </w:rPr>
        <w:t>repérer les points chauds, notamment une méthode pour l’évaluation des points chauds de déchets marins élaborée en partenariat avec</w:t>
      </w:r>
      <w:r w:rsidR="00596A25" w:rsidRPr="00DF70F3">
        <w:rPr>
          <w:noProof/>
          <w:lang w:val="fr-FR"/>
        </w:rPr>
        <w:t xml:space="preserve"> </w:t>
      </w:r>
      <w:r w:rsidR="00C20F3C" w:rsidRPr="00DF70F3">
        <w:rPr>
          <w:noProof/>
          <w:lang w:val="fr-FR"/>
        </w:rPr>
        <w:t>l’Université normale de la Chine de l’Est</w:t>
      </w:r>
      <w:r w:rsidR="00596A25" w:rsidRPr="00DF70F3">
        <w:rPr>
          <w:noProof/>
          <w:lang w:val="fr-FR"/>
        </w:rPr>
        <w:t>.</w:t>
      </w:r>
      <w:r w:rsidR="00C20F3C" w:rsidRPr="00DF70F3">
        <w:rPr>
          <w:noProof/>
          <w:lang w:val="fr-FR"/>
        </w:rPr>
        <w:t xml:space="preserve"> La méthode, qui s’appuie sur la modélisation ainsi que</w:t>
      </w:r>
      <w:r w:rsidR="0086576B" w:rsidRPr="00DF70F3">
        <w:rPr>
          <w:noProof/>
          <w:lang w:val="fr-FR"/>
        </w:rPr>
        <w:t xml:space="preserve"> l’avis d’experts de sorte que son application peut être ajustée au contexte et à la disponibilité de données, sera utilisée dans des pays d’Asie du Sud-Est au cours de l’année </w:t>
      </w:r>
      <w:r w:rsidR="00596A25" w:rsidRPr="00DF70F3">
        <w:rPr>
          <w:noProof/>
          <w:lang w:val="fr-FR"/>
        </w:rPr>
        <w:t>2021.</w:t>
      </w:r>
      <w:r w:rsidR="0086576B" w:rsidRPr="00DF70F3">
        <w:rPr>
          <w:noProof/>
          <w:lang w:val="fr-FR"/>
        </w:rPr>
        <w:t xml:space="preserve"> Le PNUE a également réalisé une modélisation de système d’information géographique au niveau municipal en partenariat avec le</w:t>
      </w:r>
      <w:r w:rsidR="003D421F" w:rsidRPr="00DF70F3">
        <w:rPr>
          <w:noProof/>
          <w:lang w:val="fr-FR"/>
        </w:rPr>
        <w:t xml:space="preserve"> </w:t>
      </w:r>
      <w:r w:rsidR="0086576B" w:rsidRPr="00DF70F3">
        <w:rPr>
          <w:noProof/>
          <w:lang w:val="fr-FR"/>
        </w:rPr>
        <w:t xml:space="preserve">Programme des Nations Unies pour les établissements humains </w:t>
      </w:r>
      <w:r w:rsidR="003D421F" w:rsidRPr="00DF70F3">
        <w:rPr>
          <w:noProof/>
          <w:lang w:val="fr-FR"/>
        </w:rPr>
        <w:t>(</w:t>
      </w:r>
      <w:r w:rsidR="0086576B" w:rsidRPr="00DF70F3">
        <w:rPr>
          <w:noProof/>
          <w:lang w:val="fr-FR"/>
        </w:rPr>
        <w:t>ONU</w:t>
      </w:r>
      <w:r w:rsidR="003D421F" w:rsidRPr="00DF70F3">
        <w:rPr>
          <w:noProof/>
          <w:lang w:val="fr-FR"/>
        </w:rPr>
        <w:t xml:space="preserve">-Habitat) </w:t>
      </w:r>
      <w:r w:rsidR="0086576B" w:rsidRPr="00DF70F3">
        <w:rPr>
          <w:noProof/>
          <w:lang w:val="fr-FR"/>
        </w:rPr>
        <w:t>et</w:t>
      </w:r>
      <w:r w:rsidR="003D421F" w:rsidRPr="00DF70F3">
        <w:rPr>
          <w:noProof/>
          <w:lang w:val="fr-FR"/>
        </w:rPr>
        <w:t xml:space="preserve"> </w:t>
      </w:r>
      <w:r w:rsidR="0086576B" w:rsidRPr="00DF70F3">
        <w:rPr>
          <w:noProof/>
          <w:lang w:val="fr-FR"/>
        </w:rPr>
        <w:t>l’Université de</w:t>
      </w:r>
      <w:r w:rsidR="003D421F" w:rsidRPr="00DF70F3">
        <w:rPr>
          <w:noProof/>
          <w:lang w:val="fr-FR"/>
        </w:rPr>
        <w:t xml:space="preserve"> Leeds </w:t>
      </w:r>
      <w:r w:rsidR="0086576B" w:rsidRPr="00DF70F3">
        <w:rPr>
          <w:noProof/>
          <w:lang w:val="fr-FR"/>
        </w:rPr>
        <w:t>permettant de déterminer les</w:t>
      </w:r>
      <w:r w:rsidR="00540177" w:rsidRPr="00DF70F3">
        <w:rPr>
          <w:noProof/>
          <w:lang w:val="fr-FR"/>
        </w:rPr>
        <w:t xml:space="preserve"> points chauds de sources terrestres ponctuelles</w:t>
      </w:r>
      <w:r w:rsidR="00596A25" w:rsidRPr="00DF70F3">
        <w:rPr>
          <w:noProof/>
          <w:lang w:val="fr-FR"/>
        </w:rPr>
        <w:t xml:space="preserve"> </w:t>
      </w:r>
      <w:r w:rsidR="00540177" w:rsidRPr="00DF70F3">
        <w:rPr>
          <w:noProof/>
          <w:lang w:val="fr-FR"/>
        </w:rPr>
        <w:t>en Afrique et en Asie du Sud</w:t>
      </w:r>
      <w:r w:rsidR="00596A25" w:rsidRPr="00DF70F3">
        <w:rPr>
          <w:noProof/>
          <w:lang w:val="fr-FR"/>
        </w:rPr>
        <w:t>,</w:t>
      </w:r>
      <w:r w:rsidR="00540177" w:rsidRPr="00DF70F3">
        <w:rPr>
          <w:noProof/>
          <w:lang w:val="fr-FR"/>
        </w:rPr>
        <w:t xml:space="preserve"> à l’aide de données relatives à la gestion des déchets</w:t>
      </w:r>
      <w:r w:rsidR="00596A25" w:rsidRPr="00DF70F3">
        <w:rPr>
          <w:noProof/>
          <w:lang w:val="fr-FR"/>
        </w:rPr>
        <w:t xml:space="preserve"> </w:t>
      </w:r>
      <w:r w:rsidR="00376464" w:rsidRPr="00DF70F3">
        <w:rPr>
          <w:noProof/>
          <w:lang w:val="fr-FR"/>
        </w:rPr>
        <w:t>(</w:t>
      </w:r>
      <w:r w:rsidR="00540177" w:rsidRPr="00DF70F3">
        <w:rPr>
          <w:noProof/>
          <w:lang w:val="fr-FR"/>
        </w:rPr>
        <w:t>par exemple</w:t>
      </w:r>
      <w:r w:rsidR="00376464" w:rsidRPr="00DF70F3">
        <w:rPr>
          <w:noProof/>
          <w:lang w:val="fr-FR"/>
        </w:rPr>
        <w:t>,</w:t>
      </w:r>
      <w:r w:rsidR="00540177" w:rsidRPr="00DF70F3">
        <w:rPr>
          <w:noProof/>
          <w:lang w:val="fr-FR"/>
        </w:rPr>
        <w:t xml:space="preserve"> concernant la production de déchets et</w:t>
      </w:r>
      <w:r w:rsidR="00376464" w:rsidRPr="00DF70F3">
        <w:rPr>
          <w:noProof/>
          <w:lang w:val="fr-FR"/>
        </w:rPr>
        <w:t xml:space="preserve"> </w:t>
      </w:r>
      <w:r w:rsidR="00540177" w:rsidRPr="00DF70F3">
        <w:rPr>
          <w:noProof/>
          <w:lang w:val="fr-FR"/>
        </w:rPr>
        <w:t>l’emplacement de décharges</w:t>
      </w:r>
      <w:r w:rsidR="00376464" w:rsidRPr="00DF70F3">
        <w:rPr>
          <w:noProof/>
          <w:lang w:val="fr-FR"/>
        </w:rPr>
        <w:t>)</w:t>
      </w:r>
      <w:r w:rsidR="00596A25" w:rsidRPr="00DF70F3">
        <w:rPr>
          <w:noProof/>
          <w:lang w:val="fr-FR"/>
        </w:rPr>
        <w:t>,</w:t>
      </w:r>
      <w:r w:rsidR="00540177" w:rsidRPr="00DF70F3">
        <w:rPr>
          <w:noProof/>
          <w:lang w:val="fr-FR"/>
        </w:rPr>
        <w:t xml:space="preserve"> de données géographiques et météorologiques, notamment concernant les voies fluviales, les terrains ainsi que les systèmes</w:t>
      </w:r>
      <w:r w:rsidR="00FD52FB" w:rsidRPr="00DF70F3">
        <w:rPr>
          <w:noProof/>
          <w:lang w:val="fr-FR"/>
        </w:rPr>
        <w:t xml:space="preserve"> d’écoulement et de drainage des eaux de surface</w:t>
      </w:r>
      <w:r w:rsidR="00596A25" w:rsidRPr="00DF70F3">
        <w:rPr>
          <w:noProof/>
          <w:lang w:val="fr-FR"/>
        </w:rPr>
        <w:t>,</w:t>
      </w:r>
      <w:r w:rsidR="00FD52FB" w:rsidRPr="00DF70F3">
        <w:rPr>
          <w:noProof/>
          <w:lang w:val="fr-FR"/>
        </w:rPr>
        <w:t xml:space="preserve"> et de données</w:t>
      </w:r>
      <w:r w:rsidR="00596A25" w:rsidRPr="00DF70F3">
        <w:rPr>
          <w:noProof/>
          <w:lang w:val="fr-FR"/>
        </w:rPr>
        <w:t xml:space="preserve"> </w:t>
      </w:r>
      <w:r w:rsidR="00FD52FB" w:rsidRPr="00DF70F3">
        <w:rPr>
          <w:noProof/>
          <w:lang w:val="fr-FR"/>
        </w:rPr>
        <w:t>comportementales et socioéconomiques telles que le PIB par habitant</w:t>
      </w:r>
      <w:r w:rsidR="00596A25" w:rsidRPr="00DF70F3">
        <w:rPr>
          <w:noProof/>
          <w:lang w:val="fr-FR"/>
        </w:rPr>
        <w:t xml:space="preserve">. </w:t>
      </w:r>
    </w:p>
    <w:p w14:paraId="6F7AD72D" w14:textId="3D50C140" w:rsidR="00B61505" w:rsidRPr="00DF70F3" w:rsidRDefault="00B61505" w:rsidP="00B61505">
      <w:pPr>
        <w:pStyle w:val="CH3"/>
        <w:rPr>
          <w:noProof/>
          <w:lang w:val="fr-FR"/>
        </w:rPr>
      </w:pPr>
      <w:r w:rsidRPr="00DF70F3">
        <w:rPr>
          <w:bCs/>
          <w:noProof/>
          <w:lang w:val="fr-FR"/>
        </w:rPr>
        <w:lastRenderedPageBreak/>
        <w:tab/>
        <w:t>3.</w:t>
      </w:r>
      <w:r w:rsidRPr="00DF70F3">
        <w:rPr>
          <w:bCs/>
          <w:noProof/>
          <w:lang w:val="fr-FR"/>
        </w:rPr>
        <w:tab/>
      </w:r>
      <w:r w:rsidR="007E19CC" w:rsidRPr="00DF70F3">
        <w:rPr>
          <w:bCs/>
          <w:noProof/>
          <w:lang w:val="fr-FR"/>
        </w:rPr>
        <w:t>Renforcement des capacités nationales et régionales pour l’évaluation et la surveillance des</w:t>
      </w:r>
      <w:r w:rsidR="00EC521F" w:rsidRPr="00DF70F3">
        <w:rPr>
          <w:bCs/>
          <w:noProof/>
          <w:lang w:val="fr-FR"/>
        </w:rPr>
        <w:t> </w:t>
      </w:r>
      <w:r w:rsidR="007E19CC" w:rsidRPr="00DF70F3">
        <w:rPr>
          <w:bCs/>
          <w:noProof/>
          <w:lang w:val="fr-FR"/>
        </w:rPr>
        <w:t xml:space="preserve">déchets et </w:t>
      </w:r>
      <w:r w:rsidR="00357C47" w:rsidRPr="00DF70F3">
        <w:rPr>
          <w:bCs/>
          <w:noProof/>
          <w:lang w:val="fr-FR"/>
        </w:rPr>
        <w:t xml:space="preserve">des </w:t>
      </w:r>
      <w:r w:rsidR="007E19CC" w:rsidRPr="00DF70F3">
        <w:rPr>
          <w:bCs/>
          <w:noProof/>
          <w:lang w:val="fr-FR"/>
        </w:rPr>
        <w:t>microplastiques dans le milieu marin</w:t>
      </w:r>
      <w:r w:rsidR="002C7E41" w:rsidRPr="00DF70F3">
        <w:rPr>
          <w:bCs/>
          <w:noProof/>
          <w:lang w:val="fr-FR"/>
        </w:rPr>
        <w:t xml:space="preserve"> </w:t>
      </w:r>
    </w:p>
    <w:p w14:paraId="0C88877B" w14:textId="7B2D2335" w:rsidR="00C03698" w:rsidRPr="00DF70F3" w:rsidRDefault="005C0684" w:rsidP="00DD79A5">
      <w:pPr>
        <w:pStyle w:val="Normalnumber"/>
        <w:ind w:left="1276" w:firstLine="0"/>
        <w:rPr>
          <w:rFonts w:eastAsia="MS Mincho"/>
          <w:noProof/>
          <w:lang w:val="fr-FR"/>
        </w:rPr>
      </w:pPr>
      <w:r w:rsidRPr="00DF70F3">
        <w:rPr>
          <w:noProof/>
          <w:lang w:val="fr-FR"/>
        </w:rPr>
        <w:t xml:space="preserve">Au niveau mondial, le PNUE </w:t>
      </w:r>
      <w:r w:rsidR="003E3238" w:rsidRPr="00DF70F3">
        <w:rPr>
          <w:noProof/>
          <w:lang w:val="fr-FR"/>
        </w:rPr>
        <w:t xml:space="preserve">s’emploie à </w:t>
      </w:r>
      <w:r w:rsidRPr="00DF70F3">
        <w:rPr>
          <w:noProof/>
          <w:lang w:val="fr-FR"/>
        </w:rPr>
        <w:t>harmoniser les efforts d’évaluation liés aux déchets et aux microplastiques dans le milieu marin dans le cadre des objectifs de développement durable, notamment mais pas exclusivement la cible </w:t>
      </w:r>
      <w:r w:rsidR="005C1CA5" w:rsidRPr="00DF70F3">
        <w:rPr>
          <w:noProof/>
          <w:lang w:val="fr-FR"/>
        </w:rPr>
        <w:t>14.1.</w:t>
      </w:r>
      <w:r w:rsidR="00FC65EB" w:rsidRPr="00DF70F3">
        <w:rPr>
          <w:noProof/>
          <w:lang w:val="fr-FR"/>
        </w:rPr>
        <w:t xml:space="preserve"> </w:t>
      </w:r>
    </w:p>
    <w:p w14:paraId="3EE98BC4" w14:textId="5E37C338" w:rsidR="00596A25" w:rsidRPr="00DF70F3" w:rsidRDefault="00DB5C1E" w:rsidP="00DD79A5">
      <w:pPr>
        <w:pStyle w:val="Normalnumber"/>
        <w:ind w:left="1276" w:firstLine="0"/>
        <w:rPr>
          <w:rFonts w:eastAsia="MS Mincho"/>
          <w:noProof/>
          <w:lang w:val="fr-FR"/>
        </w:rPr>
      </w:pPr>
      <w:r w:rsidRPr="00DF70F3">
        <w:rPr>
          <w:noProof/>
          <w:lang w:val="fr-FR"/>
        </w:rPr>
        <w:t xml:space="preserve">Au niveau national, le PNUE aide les États Membres à renforcer </w:t>
      </w:r>
      <w:r w:rsidR="00BF09AF" w:rsidRPr="00DF70F3">
        <w:rPr>
          <w:noProof/>
          <w:lang w:val="fr-FR"/>
        </w:rPr>
        <w:t>les capacités nationales permettant d’atteindre la cible</w:t>
      </w:r>
      <w:r w:rsidR="00C03698" w:rsidRPr="00DF70F3">
        <w:rPr>
          <w:noProof/>
          <w:lang w:val="fr-FR"/>
        </w:rPr>
        <w:t>.</w:t>
      </w:r>
      <w:r w:rsidR="00BF09AF" w:rsidRPr="00DF70F3">
        <w:rPr>
          <w:noProof/>
          <w:lang w:val="fr-FR"/>
        </w:rPr>
        <w:t xml:space="preserve"> À cette fin, il aide les pays à rassembler des données scientifiques, à</w:t>
      </w:r>
      <w:r w:rsidR="00380D2E" w:rsidRPr="00DF70F3">
        <w:rPr>
          <w:noProof/>
          <w:lang w:val="fr-FR"/>
        </w:rPr>
        <w:t> </w:t>
      </w:r>
      <w:r w:rsidR="00BF09AF" w:rsidRPr="00DF70F3">
        <w:rPr>
          <w:noProof/>
          <w:lang w:val="fr-FR"/>
        </w:rPr>
        <w:t>renforcer la base de données factuelles et de connaissances scientifiques pour la prise de mesures, à</w:t>
      </w:r>
      <w:r w:rsidR="00380D2E" w:rsidRPr="00DF70F3">
        <w:rPr>
          <w:noProof/>
          <w:lang w:val="fr-FR"/>
        </w:rPr>
        <w:t> </w:t>
      </w:r>
      <w:r w:rsidR="00BF09AF" w:rsidRPr="00DF70F3">
        <w:rPr>
          <w:noProof/>
          <w:lang w:val="fr-FR"/>
        </w:rPr>
        <w:t>définir les interventions prioritaires, à choisir les</w:t>
      </w:r>
      <w:r w:rsidR="00C61F19" w:rsidRPr="00DF70F3">
        <w:rPr>
          <w:noProof/>
          <w:lang w:val="fr-FR"/>
        </w:rPr>
        <w:t xml:space="preserve"> mesures</w:t>
      </w:r>
      <w:r w:rsidR="00BF09AF" w:rsidRPr="00DF70F3">
        <w:rPr>
          <w:noProof/>
          <w:lang w:val="fr-FR"/>
        </w:rPr>
        <w:t xml:space="preserve"> </w:t>
      </w:r>
      <w:r w:rsidR="00C61F19" w:rsidRPr="00DF70F3">
        <w:rPr>
          <w:noProof/>
          <w:lang w:val="fr-FR"/>
        </w:rPr>
        <w:t>les plus écologiquement rationnelles et du meilleur rapport coût-efficacité</w:t>
      </w:r>
      <w:r w:rsidR="00BF09AF" w:rsidRPr="00DF70F3">
        <w:rPr>
          <w:noProof/>
          <w:lang w:val="fr-FR"/>
        </w:rPr>
        <w:t xml:space="preserve"> ainsi qu’à encourager la mobilisation</w:t>
      </w:r>
      <w:r w:rsidR="00FC65EB" w:rsidRPr="00DF70F3">
        <w:rPr>
          <w:noProof/>
          <w:lang w:val="fr-FR"/>
        </w:rPr>
        <w:t xml:space="preserve">. </w:t>
      </w:r>
    </w:p>
    <w:p w14:paraId="20A3B9C5" w14:textId="3A6724DD" w:rsidR="00596A25" w:rsidRPr="00DF70F3" w:rsidRDefault="00B9630B" w:rsidP="00DD79A5">
      <w:pPr>
        <w:pStyle w:val="Normalnumber"/>
        <w:ind w:left="1276" w:firstLine="0"/>
        <w:rPr>
          <w:noProof/>
          <w:lang w:val="fr-FR"/>
        </w:rPr>
      </w:pPr>
      <w:r w:rsidRPr="00DF70F3">
        <w:rPr>
          <w:noProof/>
          <w:lang w:val="fr-FR"/>
        </w:rPr>
        <w:t>Toutes les divisions du PNUE</w:t>
      </w:r>
      <w:r w:rsidR="003C1A50" w:rsidRPr="00DF70F3">
        <w:rPr>
          <w:noProof/>
          <w:lang w:val="fr-FR"/>
        </w:rPr>
        <w:t xml:space="preserve"> </w:t>
      </w:r>
      <w:r w:rsidRPr="00DF70F3">
        <w:rPr>
          <w:noProof/>
          <w:lang w:val="fr-FR"/>
        </w:rPr>
        <w:t xml:space="preserve">ont </w:t>
      </w:r>
      <w:r w:rsidR="00357C47" w:rsidRPr="00DF70F3">
        <w:rPr>
          <w:noProof/>
          <w:lang w:val="fr-FR"/>
        </w:rPr>
        <w:t>participé</w:t>
      </w:r>
      <w:r w:rsidRPr="00DF70F3">
        <w:rPr>
          <w:noProof/>
          <w:lang w:val="fr-FR"/>
        </w:rPr>
        <w:t xml:space="preserve"> au développement du concept d’« inventaires de sources nationales » pour les déchets et les microplastiques dans le milieu marin </w:t>
      </w:r>
      <w:r w:rsidR="00357C47" w:rsidRPr="00DF70F3">
        <w:rPr>
          <w:noProof/>
          <w:lang w:val="fr-FR"/>
        </w:rPr>
        <w:t>en vue d’</w:t>
      </w:r>
      <w:r w:rsidRPr="00DF70F3">
        <w:rPr>
          <w:noProof/>
          <w:lang w:val="fr-FR"/>
        </w:rPr>
        <w:t>orienter l’élaboration de plans d’action nationaux concernant les déchets marins</w:t>
      </w:r>
      <w:r w:rsidR="00596A25" w:rsidRPr="00DF70F3">
        <w:rPr>
          <w:noProof/>
          <w:lang w:val="fr-FR"/>
        </w:rPr>
        <w:t>.</w:t>
      </w:r>
      <w:r w:rsidR="00540C12" w:rsidRPr="00DF70F3">
        <w:rPr>
          <w:noProof/>
          <w:lang w:val="fr-FR"/>
        </w:rPr>
        <w:t xml:space="preserve"> Encore dans la phase pilote, un inventaire des sources nationales consiste en une évaluation exhaustive des sources</w:t>
      </w:r>
      <w:r w:rsidR="00596A25" w:rsidRPr="00DF70F3">
        <w:rPr>
          <w:noProof/>
          <w:lang w:val="fr-FR"/>
        </w:rPr>
        <w:t xml:space="preserve">, </w:t>
      </w:r>
      <w:r w:rsidR="00540C12" w:rsidRPr="00DF70F3">
        <w:rPr>
          <w:noProof/>
          <w:lang w:val="fr-FR"/>
        </w:rPr>
        <w:t xml:space="preserve">des </w:t>
      </w:r>
      <w:r w:rsidR="001D1DD2" w:rsidRPr="00DF70F3">
        <w:rPr>
          <w:noProof/>
          <w:lang w:val="fr-FR"/>
        </w:rPr>
        <w:t>modes de déplacement</w:t>
      </w:r>
      <w:r w:rsidR="00596A25" w:rsidRPr="00DF70F3">
        <w:rPr>
          <w:noProof/>
          <w:lang w:val="fr-FR"/>
        </w:rPr>
        <w:t xml:space="preserve"> </w:t>
      </w:r>
      <w:r w:rsidR="00540C12" w:rsidRPr="00DF70F3">
        <w:rPr>
          <w:noProof/>
          <w:lang w:val="fr-FR"/>
        </w:rPr>
        <w:t>et des zones d’</w:t>
      </w:r>
      <w:r w:rsidR="00596A25" w:rsidRPr="00DF70F3">
        <w:rPr>
          <w:noProof/>
          <w:lang w:val="fr-FR"/>
        </w:rPr>
        <w:t>accumulation</w:t>
      </w:r>
      <w:r w:rsidR="00540C12" w:rsidRPr="00DF70F3">
        <w:rPr>
          <w:noProof/>
          <w:lang w:val="fr-FR"/>
        </w:rPr>
        <w:t xml:space="preserve"> des déchets marins dans les limites de la juridiction nationale d’un pays</w:t>
      </w:r>
      <w:r w:rsidR="0054357F" w:rsidRPr="00DF70F3">
        <w:rPr>
          <w:noProof/>
          <w:lang w:val="fr-FR"/>
        </w:rPr>
        <w:t xml:space="preserve">. </w:t>
      </w:r>
      <w:r w:rsidR="00540C12" w:rsidRPr="00DF70F3">
        <w:rPr>
          <w:noProof/>
          <w:lang w:val="fr-FR"/>
        </w:rPr>
        <w:t>L’inventaire prend en compte des données en amont jusqu’à la production et l’importation de produits plastiques ainsi que les quantités approximatives de plastique sur le marché</w:t>
      </w:r>
      <w:r w:rsidR="00596A25" w:rsidRPr="00DF70F3">
        <w:rPr>
          <w:noProof/>
          <w:lang w:val="fr-FR"/>
        </w:rPr>
        <w:t xml:space="preserve"> </w:t>
      </w:r>
      <w:r w:rsidR="00540C12" w:rsidRPr="00DF70F3">
        <w:rPr>
          <w:noProof/>
          <w:lang w:val="fr-FR"/>
        </w:rPr>
        <w:t>intérieur, au moyen d’une méthode de</w:t>
      </w:r>
      <w:r w:rsidR="00596A25" w:rsidRPr="00DF70F3">
        <w:rPr>
          <w:noProof/>
          <w:lang w:val="fr-FR"/>
        </w:rPr>
        <w:t xml:space="preserve"> </w:t>
      </w:r>
      <w:r w:rsidR="00540C12" w:rsidRPr="00DF70F3">
        <w:rPr>
          <w:noProof/>
          <w:lang w:val="fr-FR"/>
        </w:rPr>
        <w:t>comptabilité des flux de matières</w:t>
      </w:r>
      <w:r w:rsidR="0054357F" w:rsidRPr="00DF70F3">
        <w:rPr>
          <w:noProof/>
          <w:lang w:val="fr-FR"/>
        </w:rPr>
        <w:t>.</w:t>
      </w:r>
      <w:r w:rsidR="008948AF" w:rsidRPr="00DF70F3">
        <w:rPr>
          <w:noProof/>
          <w:lang w:val="fr-FR"/>
        </w:rPr>
        <w:t xml:space="preserve"> Il évalue le système de gestion des déchets dans le pays et sa vulnérabilité aux </w:t>
      </w:r>
      <w:r w:rsidR="009556C8" w:rsidRPr="00DF70F3">
        <w:rPr>
          <w:noProof/>
          <w:lang w:val="fr-FR"/>
        </w:rPr>
        <w:t>fuites</w:t>
      </w:r>
      <w:r w:rsidR="008948AF" w:rsidRPr="00DF70F3">
        <w:rPr>
          <w:noProof/>
          <w:lang w:val="fr-FR"/>
        </w:rPr>
        <w:t xml:space="preserve"> de déchets dans l’environnement</w:t>
      </w:r>
      <w:r w:rsidR="00596A25" w:rsidRPr="00DF70F3">
        <w:rPr>
          <w:noProof/>
          <w:lang w:val="fr-FR"/>
        </w:rPr>
        <w:t>.</w:t>
      </w:r>
      <w:r w:rsidR="008948AF" w:rsidRPr="00DF70F3">
        <w:rPr>
          <w:noProof/>
          <w:lang w:val="fr-FR"/>
        </w:rPr>
        <w:t xml:space="preserve"> Cette approche permet de déterminer avec précision les points d’intervention clés pour réduire de telles </w:t>
      </w:r>
      <w:r w:rsidR="009556C8" w:rsidRPr="00DF70F3">
        <w:rPr>
          <w:noProof/>
          <w:lang w:val="fr-FR"/>
        </w:rPr>
        <w:t>fuites</w:t>
      </w:r>
      <w:r w:rsidR="008948AF" w:rsidRPr="00DF70F3">
        <w:rPr>
          <w:noProof/>
          <w:lang w:val="fr-FR"/>
        </w:rPr>
        <w:t xml:space="preserve"> et ainsi empêcher les déchets marins d’atteindre les océans</w:t>
      </w:r>
      <w:r w:rsidR="00596A25" w:rsidRPr="00DF70F3">
        <w:rPr>
          <w:noProof/>
          <w:lang w:val="fr-FR"/>
        </w:rPr>
        <w:t>.</w:t>
      </w:r>
      <w:r w:rsidR="008948AF" w:rsidRPr="00DF70F3">
        <w:rPr>
          <w:noProof/>
          <w:lang w:val="fr-FR"/>
        </w:rPr>
        <w:t xml:space="preserve"> Les inventaires, associés à des </w:t>
      </w:r>
      <w:r w:rsidR="00103E18" w:rsidRPr="00DF70F3">
        <w:rPr>
          <w:noProof/>
          <w:lang w:val="fr-FR"/>
        </w:rPr>
        <w:t>méthodes</w:t>
      </w:r>
      <w:r w:rsidR="00583AA8" w:rsidRPr="00DF70F3">
        <w:rPr>
          <w:noProof/>
          <w:lang w:val="fr-FR"/>
        </w:rPr>
        <w:t xml:space="preserve"> définies par le</w:t>
      </w:r>
      <w:r w:rsidR="0054357F" w:rsidRPr="00DF70F3">
        <w:rPr>
          <w:noProof/>
          <w:lang w:val="fr-FR"/>
        </w:rPr>
        <w:t xml:space="preserve"> </w:t>
      </w:r>
      <w:r w:rsidR="00583AA8" w:rsidRPr="00DF70F3">
        <w:rPr>
          <w:noProof/>
          <w:lang w:val="fr-FR"/>
        </w:rPr>
        <w:t xml:space="preserve">Groupe mixte d’experts chargé d’étudier les aspects scientifiques de la protection de l’environnement marin </w:t>
      </w:r>
      <w:r w:rsidR="0054357F" w:rsidRPr="00DF70F3">
        <w:rPr>
          <w:noProof/>
          <w:lang w:val="fr-FR"/>
        </w:rPr>
        <w:t>(GESAMP), contribu</w:t>
      </w:r>
      <w:r w:rsidR="00583AA8" w:rsidRPr="00DF70F3">
        <w:rPr>
          <w:noProof/>
          <w:lang w:val="fr-FR"/>
        </w:rPr>
        <w:t xml:space="preserve">ent à la collecte de données pertinentes tout au long du cycle de vie des plastiques, de la source jusqu’à la mer, </w:t>
      </w:r>
      <w:r w:rsidR="000E0055" w:rsidRPr="00DF70F3">
        <w:rPr>
          <w:noProof/>
          <w:lang w:val="fr-FR"/>
        </w:rPr>
        <w:t>en relation avec d’autres cibles pertinentes</w:t>
      </w:r>
      <w:r w:rsidR="0054357F" w:rsidRPr="00DF70F3">
        <w:rPr>
          <w:noProof/>
          <w:lang w:val="fr-FR"/>
        </w:rPr>
        <w:t xml:space="preserve"> </w:t>
      </w:r>
      <w:r w:rsidR="00103E18" w:rsidRPr="00DF70F3">
        <w:rPr>
          <w:noProof/>
          <w:lang w:val="fr-FR"/>
        </w:rPr>
        <w:t>des objectifs de développement durable</w:t>
      </w:r>
      <w:r w:rsidR="0054357F" w:rsidRPr="00DF70F3">
        <w:rPr>
          <w:noProof/>
          <w:lang w:val="fr-FR"/>
        </w:rPr>
        <w:t>.</w:t>
      </w:r>
      <w:r w:rsidR="002C7E41" w:rsidRPr="00DF70F3">
        <w:rPr>
          <w:noProof/>
          <w:lang w:val="fr-FR"/>
        </w:rPr>
        <w:t xml:space="preserve"> </w:t>
      </w:r>
    </w:p>
    <w:p w14:paraId="0C0B98ED" w14:textId="31C1F8C4" w:rsidR="00B61505" w:rsidRPr="00DF70F3" w:rsidRDefault="00103E18" w:rsidP="00DD79A5">
      <w:pPr>
        <w:pStyle w:val="Normalnumber"/>
        <w:ind w:left="1276" w:firstLine="0"/>
        <w:rPr>
          <w:rFonts w:eastAsia="Calibri"/>
          <w:noProof/>
          <w:lang w:val="fr-FR"/>
        </w:rPr>
      </w:pPr>
      <w:r w:rsidRPr="00DF70F3">
        <w:rPr>
          <w:noProof/>
          <w:lang w:val="fr-FR"/>
        </w:rPr>
        <w:t>Le PNUE</w:t>
      </w:r>
      <w:r w:rsidR="00F93ADA" w:rsidRPr="00DF70F3">
        <w:rPr>
          <w:noProof/>
          <w:lang w:val="fr-FR"/>
        </w:rPr>
        <w:t xml:space="preserve"> </w:t>
      </w:r>
      <w:r w:rsidRPr="00DF70F3">
        <w:rPr>
          <w:noProof/>
          <w:lang w:val="fr-FR"/>
        </w:rPr>
        <w:t xml:space="preserve">s’est également concentré sur l’application d’outils et de méthodes </w:t>
      </w:r>
      <w:r w:rsidR="009D1A84" w:rsidRPr="00DF70F3">
        <w:rPr>
          <w:noProof/>
          <w:lang w:val="fr-FR"/>
        </w:rPr>
        <w:t>de renforcement de</w:t>
      </w:r>
      <w:r w:rsidRPr="00DF70F3">
        <w:rPr>
          <w:noProof/>
          <w:lang w:val="fr-FR"/>
        </w:rPr>
        <w:t>s capacités permettant d’adopter des approches de surveillance et d’évaluation</w:t>
      </w:r>
      <w:r w:rsidR="00F93ADA" w:rsidRPr="00DF70F3">
        <w:rPr>
          <w:noProof/>
          <w:lang w:val="fr-FR"/>
        </w:rPr>
        <w:t xml:space="preserve"> </w:t>
      </w:r>
      <w:r w:rsidRPr="00DF70F3">
        <w:rPr>
          <w:noProof/>
          <w:lang w:val="fr-FR"/>
        </w:rPr>
        <w:t>innovantes dans les pays en développement</w:t>
      </w:r>
      <w:r w:rsidR="00596A25" w:rsidRPr="00DF70F3">
        <w:rPr>
          <w:noProof/>
          <w:lang w:val="fr-FR"/>
        </w:rPr>
        <w:t>.</w:t>
      </w:r>
      <w:r w:rsidR="009D1A84" w:rsidRPr="00DF70F3">
        <w:rPr>
          <w:noProof/>
          <w:lang w:val="fr-FR"/>
        </w:rPr>
        <w:t xml:space="preserve"> Le PNUE a élaboré une approche pour appliquer certaines des méthodes définies dans les </w:t>
      </w:r>
      <w:r w:rsidR="00D37A06" w:rsidRPr="00DF70F3">
        <w:rPr>
          <w:noProof/>
          <w:lang w:val="fr-FR"/>
        </w:rPr>
        <w:t>« Guidelines for the monitoring and assessment of plastic litter in the ocean » (« P</w:t>
      </w:r>
      <w:r w:rsidR="00FC7CA9" w:rsidRPr="00DF70F3">
        <w:rPr>
          <w:noProof/>
          <w:lang w:val="fr-FR"/>
        </w:rPr>
        <w:t xml:space="preserve">rincipes directeurs </w:t>
      </w:r>
      <w:r w:rsidR="008D1CDE" w:rsidRPr="00DF70F3">
        <w:rPr>
          <w:noProof/>
          <w:lang w:val="fr-FR"/>
        </w:rPr>
        <w:t xml:space="preserve">sur </w:t>
      </w:r>
      <w:r w:rsidR="00FC7CA9" w:rsidRPr="00DF70F3">
        <w:rPr>
          <w:noProof/>
          <w:lang w:val="fr-FR"/>
        </w:rPr>
        <w:t>la surveillance et l’évaluation des déchets plastiques dans les océans</w:t>
      </w:r>
      <w:r w:rsidR="00D37A06" w:rsidRPr="00DF70F3">
        <w:rPr>
          <w:noProof/>
          <w:lang w:val="fr-FR"/>
        </w:rPr>
        <w:t> »)</w:t>
      </w:r>
      <w:r w:rsidR="00FC7CA9" w:rsidRPr="00DF70F3">
        <w:rPr>
          <w:noProof/>
          <w:lang w:val="fr-FR"/>
        </w:rPr>
        <w:t xml:space="preserve"> </w:t>
      </w:r>
      <w:r w:rsidR="00270E04" w:rsidRPr="00DF70F3">
        <w:rPr>
          <w:noProof/>
          <w:lang w:val="fr-FR"/>
        </w:rPr>
        <w:t>du</w:t>
      </w:r>
      <w:r w:rsidR="00981833" w:rsidRPr="00DF70F3">
        <w:rPr>
          <w:noProof/>
          <w:lang w:val="fr-FR"/>
        </w:rPr>
        <w:t> </w:t>
      </w:r>
      <w:r w:rsidR="00596A25" w:rsidRPr="00DF70F3">
        <w:rPr>
          <w:noProof/>
          <w:lang w:val="fr-FR"/>
        </w:rPr>
        <w:t>GESAMP</w:t>
      </w:r>
      <w:r w:rsidR="00F76714" w:rsidRPr="00DF70F3">
        <w:rPr>
          <w:rStyle w:val="FootnoteReference"/>
          <w:noProof/>
          <w:lang w:val="fr-FR"/>
        </w:rPr>
        <w:footnoteReference w:id="11"/>
      </w:r>
      <w:r w:rsidR="002608B9" w:rsidRPr="00DF70F3">
        <w:rPr>
          <w:noProof/>
          <w:lang w:val="fr-FR"/>
        </w:rPr>
        <w:t xml:space="preserve"> </w:t>
      </w:r>
      <w:r w:rsidR="00270E04" w:rsidRPr="00DF70F3">
        <w:rPr>
          <w:noProof/>
          <w:lang w:val="fr-FR"/>
        </w:rPr>
        <w:t xml:space="preserve">et testé l’approche dans le cadre de projets pilotes au </w:t>
      </w:r>
      <w:r w:rsidR="00596A25" w:rsidRPr="00DF70F3">
        <w:rPr>
          <w:noProof/>
          <w:lang w:val="fr-FR"/>
        </w:rPr>
        <w:t xml:space="preserve">Kenya </w:t>
      </w:r>
      <w:r w:rsidR="00270E04" w:rsidRPr="00DF70F3">
        <w:rPr>
          <w:noProof/>
          <w:lang w:val="fr-FR"/>
        </w:rPr>
        <w:t xml:space="preserve">et </w:t>
      </w:r>
      <w:r w:rsidR="00CB020C" w:rsidRPr="00DF70F3">
        <w:rPr>
          <w:noProof/>
          <w:lang w:val="fr-FR"/>
        </w:rPr>
        <w:t>aux</w:t>
      </w:r>
      <w:r w:rsidR="00596A25" w:rsidRPr="00DF70F3">
        <w:rPr>
          <w:noProof/>
          <w:lang w:val="fr-FR"/>
        </w:rPr>
        <w:t xml:space="preserve"> Seychelles.</w:t>
      </w:r>
      <w:r w:rsidR="00282C10" w:rsidRPr="00DF70F3">
        <w:rPr>
          <w:noProof/>
          <w:lang w:val="fr-FR"/>
        </w:rPr>
        <w:t xml:space="preserve"> Une</w:t>
      </w:r>
      <w:r w:rsidR="00981833" w:rsidRPr="00DF70F3">
        <w:rPr>
          <w:noProof/>
          <w:lang w:val="fr-FR"/>
        </w:rPr>
        <w:t> </w:t>
      </w:r>
      <w:r w:rsidR="00282C10" w:rsidRPr="00DF70F3">
        <w:rPr>
          <w:noProof/>
          <w:lang w:val="fr-FR"/>
        </w:rPr>
        <w:t>surveillance i</w:t>
      </w:r>
      <w:r w:rsidR="00596A25" w:rsidRPr="00DF70F3">
        <w:rPr>
          <w:noProof/>
          <w:lang w:val="fr-FR"/>
        </w:rPr>
        <w:t xml:space="preserve">n-situ </w:t>
      </w:r>
      <w:r w:rsidR="00282C10" w:rsidRPr="00DF70F3">
        <w:rPr>
          <w:noProof/>
          <w:lang w:val="fr-FR"/>
        </w:rPr>
        <w:t xml:space="preserve">a été mise en œuvre grâce à la formation de 50 personnes à l’établissement de données de référence et des centres nationaux et régionaux compétents ont été </w:t>
      </w:r>
      <w:r w:rsidR="00DD19C8" w:rsidRPr="00DF70F3">
        <w:rPr>
          <w:noProof/>
          <w:lang w:val="fr-FR"/>
        </w:rPr>
        <w:t>désignés pour appuyer les efforts de surveillance dans la région</w:t>
      </w:r>
      <w:r w:rsidR="00596A25" w:rsidRPr="00DF70F3">
        <w:rPr>
          <w:noProof/>
          <w:lang w:val="fr-FR"/>
        </w:rPr>
        <w:t>.</w:t>
      </w:r>
      <w:r w:rsidR="001B3508" w:rsidRPr="00DF70F3">
        <w:rPr>
          <w:noProof/>
          <w:lang w:val="fr-FR"/>
        </w:rPr>
        <w:t xml:space="preserve"> </w:t>
      </w:r>
      <w:r w:rsidR="00DD19C8" w:rsidRPr="00DF70F3">
        <w:rPr>
          <w:noProof/>
          <w:lang w:val="fr-FR"/>
        </w:rPr>
        <w:t>Sur la base de cette expérience, cinq à 10 projets pilotes supplémentaires sont prévus pour l’Asie du Sud-Est et les Caraïbes</w:t>
      </w:r>
      <w:r w:rsidR="00F15AAE" w:rsidRPr="00DF70F3">
        <w:rPr>
          <w:noProof/>
          <w:lang w:val="fr-FR"/>
        </w:rPr>
        <w:t>.</w:t>
      </w:r>
      <w:r w:rsidR="00DD19C8" w:rsidRPr="00DF70F3">
        <w:rPr>
          <w:noProof/>
          <w:lang w:val="fr-FR"/>
        </w:rPr>
        <w:t xml:space="preserve"> Un atelier intitulé</w:t>
      </w:r>
      <w:r w:rsidR="00D37A06" w:rsidRPr="00DF70F3">
        <w:rPr>
          <w:noProof/>
          <w:lang w:val="fr-FR"/>
        </w:rPr>
        <w:t xml:space="preserve"> « Training of Trainers on Monitoring and Assessment of Marine Plastic Litter and Microplastics »</w:t>
      </w:r>
      <w:r w:rsidR="00294795" w:rsidRPr="00DF70F3">
        <w:rPr>
          <w:noProof/>
          <w:lang w:val="fr-FR"/>
        </w:rPr>
        <w:t xml:space="preserve"> </w:t>
      </w:r>
      <w:r w:rsidR="00D37A06" w:rsidRPr="00DF70F3">
        <w:rPr>
          <w:noProof/>
          <w:lang w:val="fr-FR"/>
        </w:rPr>
        <w:t>(</w:t>
      </w:r>
      <w:r w:rsidR="00294795" w:rsidRPr="00DF70F3">
        <w:rPr>
          <w:noProof/>
          <w:lang w:val="fr-FR"/>
        </w:rPr>
        <w:t>« </w:t>
      </w:r>
      <w:r w:rsidR="00294795" w:rsidRPr="00DF70F3">
        <w:rPr>
          <w:rFonts w:eastAsia="Calibri"/>
          <w:noProof/>
          <w:lang w:val="fr-FR"/>
        </w:rPr>
        <w:t>Formation des formateurs concernant la surveillance et l’évaluation des déchets plastiques et des microplastiques dans le milieu marin »</w:t>
      </w:r>
      <w:r w:rsidR="00D37A06" w:rsidRPr="00DF70F3">
        <w:rPr>
          <w:rFonts w:eastAsia="Calibri"/>
          <w:noProof/>
          <w:lang w:val="fr-FR"/>
        </w:rPr>
        <w:t>)</w:t>
      </w:r>
      <w:r w:rsidR="00294795" w:rsidRPr="00DF70F3">
        <w:rPr>
          <w:rFonts w:eastAsia="Calibri"/>
          <w:noProof/>
          <w:lang w:val="fr-FR"/>
        </w:rPr>
        <w:t>, s’appuyant sur les principes directeurs, a été organisé en 2019 pour des pays d’Afrique orientale et d’Asie du Sud-Est</w:t>
      </w:r>
      <w:r w:rsidR="00F76714" w:rsidRPr="00DF70F3">
        <w:rPr>
          <w:rFonts w:eastAsia="Calibri"/>
          <w:noProof/>
          <w:vertAlign w:val="superscript"/>
          <w:lang w:val="fr-FR"/>
        </w:rPr>
        <w:footnoteReference w:id="12"/>
      </w:r>
      <w:r w:rsidR="00294795" w:rsidRPr="00DF70F3">
        <w:rPr>
          <w:rFonts w:eastAsia="Calibri"/>
          <w:noProof/>
          <w:lang w:val="fr-FR"/>
        </w:rPr>
        <w:t>, d’autres activités de formation étant prévues aux niveaux régional et national</w:t>
      </w:r>
      <w:r w:rsidR="00F76714" w:rsidRPr="00DF70F3">
        <w:rPr>
          <w:noProof/>
          <w:lang w:val="fr-FR"/>
        </w:rPr>
        <w:t>.</w:t>
      </w:r>
      <w:r w:rsidR="002608B9" w:rsidRPr="00DF70F3">
        <w:rPr>
          <w:noProof/>
          <w:lang w:val="fr-FR"/>
        </w:rPr>
        <w:t xml:space="preserve"> </w:t>
      </w:r>
    </w:p>
    <w:p w14:paraId="4C5D562A" w14:textId="2620F24E" w:rsidR="00596A25" w:rsidRPr="00DF70F3" w:rsidRDefault="00337EE3" w:rsidP="00DD79A5">
      <w:pPr>
        <w:pStyle w:val="Normalnumber"/>
        <w:ind w:left="1276" w:firstLine="0"/>
        <w:rPr>
          <w:noProof/>
          <w:lang w:val="fr-FR"/>
        </w:rPr>
      </w:pPr>
      <w:r w:rsidRPr="00DF70F3">
        <w:rPr>
          <w:noProof/>
          <w:lang w:val="fr-FR"/>
        </w:rPr>
        <w:t>Le PNUE élabore deux méthodes supplémentaires pour évaluer les déchets et les microplastiques dans le milieu marin</w:t>
      </w:r>
      <w:r w:rsidR="004C53A5" w:rsidRPr="00DF70F3">
        <w:rPr>
          <w:noProof/>
          <w:lang w:val="fr-FR"/>
        </w:rPr>
        <w:t>, y compris les plastiques,</w:t>
      </w:r>
      <w:r w:rsidR="00916B86" w:rsidRPr="00DF70F3">
        <w:rPr>
          <w:noProof/>
          <w:lang w:val="fr-FR"/>
        </w:rPr>
        <w:t xml:space="preserve"> </w:t>
      </w:r>
      <w:r w:rsidR="004C53A5" w:rsidRPr="00DF70F3">
        <w:rPr>
          <w:noProof/>
          <w:lang w:val="fr-FR"/>
        </w:rPr>
        <w:t>provenant de systèmes terrestres et d’eau douce </w:t>
      </w:r>
      <w:r w:rsidR="00B61385" w:rsidRPr="00DF70F3">
        <w:rPr>
          <w:noProof/>
          <w:lang w:val="fr-FR"/>
        </w:rPr>
        <w:t xml:space="preserve">: </w:t>
      </w:r>
      <w:r w:rsidR="00A82D57" w:rsidRPr="00DF70F3">
        <w:rPr>
          <w:noProof/>
          <w:lang w:val="fr-FR"/>
        </w:rPr>
        <w:t>a</w:t>
      </w:r>
      <w:r w:rsidR="00B61385" w:rsidRPr="00DF70F3">
        <w:rPr>
          <w:noProof/>
          <w:lang w:val="fr-FR"/>
        </w:rPr>
        <w:t>)</w:t>
      </w:r>
      <w:r w:rsidR="006444EA" w:rsidRPr="00DF70F3">
        <w:rPr>
          <w:noProof/>
          <w:lang w:val="fr-FR"/>
        </w:rPr>
        <w:t> </w:t>
      </w:r>
      <w:r w:rsidR="001D03F5" w:rsidRPr="00DF70F3">
        <w:rPr>
          <w:noProof/>
          <w:lang w:val="fr-FR"/>
        </w:rPr>
        <w:t>P</w:t>
      </w:r>
      <w:r w:rsidR="00596A25" w:rsidRPr="00DF70F3">
        <w:rPr>
          <w:noProof/>
          <w:lang w:val="fr-FR"/>
        </w:rPr>
        <w:t>lasti</w:t>
      </w:r>
      <w:r w:rsidR="004C53A5" w:rsidRPr="00DF70F3">
        <w:rPr>
          <w:noProof/>
          <w:lang w:val="fr-FR"/>
        </w:rPr>
        <w:t>ques</w:t>
      </w:r>
      <w:r w:rsidR="00596A25" w:rsidRPr="00DF70F3">
        <w:rPr>
          <w:noProof/>
          <w:lang w:val="fr-FR"/>
        </w:rPr>
        <w:t xml:space="preserve">, </w:t>
      </w:r>
      <w:r w:rsidR="004C53A5" w:rsidRPr="00DF70F3">
        <w:rPr>
          <w:noProof/>
          <w:lang w:val="fr-FR"/>
        </w:rPr>
        <w:t>m</w:t>
      </w:r>
      <w:r w:rsidR="00596A25" w:rsidRPr="00DF70F3">
        <w:rPr>
          <w:noProof/>
          <w:lang w:val="fr-FR"/>
        </w:rPr>
        <w:t>icroplasti</w:t>
      </w:r>
      <w:r w:rsidR="004C53A5" w:rsidRPr="00DF70F3">
        <w:rPr>
          <w:noProof/>
          <w:lang w:val="fr-FR"/>
        </w:rPr>
        <w:t>que</w:t>
      </w:r>
      <w:r w:rsidR="00596A25" w:rsidRPr="00DF70F3">
        <w:rPr>
          <w:noProof/>
          <w:lang w:val="fr-FR"/>
        </w:rPr>
        <w:t xml:space="preserve">s </w:t>
      </w:r>
      <w:r w:rsidR="004C53A5" w:rsidRPr="00DF70F3">
        <w:rPr>
          <w:noProof/>
          <w:lang w:val="fr-FR"/>
        </w:rPr>
        <w:t>et microfibres dans</w:t>
      </w:r>
      <w:r w:rsidR="00596A25" w:rsidRPr="00DF70F3">
        <w:rPr>
          <w:noProof/>
          <w:lang w:val="fr-FR"/>
        </w:rPr>
        <w:t xml:space="preserve"> </w:t>
      </w:r>
      <w:r w:rsidR="004C53A5" w:rsidRPr="00DF70F3">
        <w:rPr>
          <w:noProof/>
          <w:lang w:val="fr-FR"/>
        </w:rPr>
        <w:t>les eaux usées </w:t>
      </w:r>
      <w:r w:rsidR="00596A25" w:rsidRPr="00DF70F3">
        <w:rPr>
          <w:noProof/>
          <w:lang w:val="fr-FR"/>
        </w:rPr>
        <w:t xml:space="preserve">: </w:t>
      </w:r>
      <w:r w:rsidR="004C53A5" w:rsidRPr="00DF70F3">
        <w:rPr>
          <w:noProof/>
          <w:lang w:val="fr-FR"/>
        </w:rPr>
        <w:t>une évaluation de la présence de plastiques, de microplastiques et de microfibres dans les eaux usées et les</w:t>
      </w:r>
      <w:r w:rsidR="00254822" w:rsidRPr="00DF70F3">
        <w:rPr>
          <w:noProof/>
          <w:lang w:val="fr-FR"/>
        </w:rPr>
        <w:t xml:space="preserve"> boues, accompagnée d’un guide/catalogue des options pour l’élimination de ces polluants et </w:t>
      </w:r>
      <w:r w:rsidR="00A82D57" w:rsidRPr="00DF70F3">
        <w:rPr>
          <w:noProof/>
          <w:lang w:val="fr-FR"/>
        </w:rPr>
        <w:t>b</w:t>
      </w:r>
      <w:r w:rsidR="00B61385" w:rsidRPr="00DF70F3">
        <w:rPr>
          <w:noProof/>
          <w:lang w:val="fr-FR"/>
        </w:rPr>
        <w:t>)</w:t>
      </w:r>
      <w:r w:rsidR="006444EA" w:rsidRPr="00DF70F3">
        <w:rPr>
          <w:noProof/>
          <w:lang w:val="fr-FR"/>
        </w:rPr>
        <w:t> </w:t>
      </w:r>
      <w:r w:rsidR="00254822" w:rsidRPr="00DF70F3">
        <w:rPr>
          <w:noProof/>
          <w:lang w:val="fr-FR"/>
        </w:rPr>
        <w:t>Directives pour l’harmonisation des</w:t>
      </w:r>
      <w:r w:rsidR="00596A25" w:rsidRPr="00DF70F3">
        <w:rPr>
          <w:noProof/>
          <w:lang w:val="fr-FR"/>
        </w:rPr>
        <w:t xml:space="preserve"> </w:t>
      </w:r>
      <w:r w:rsidR="00254822" w:rsidRPr="00DF70F3">
        <w:rPr>
          <w:noProof/>
          <w:lang w:val="fr-FR"/>
        </w:rPr>
        <w:t>méthodes de surveillance des macroplastiques et des microplastiques</w:t>
      </w:r>
      <w:r w:rsidR="00596A25" w:rsidRPr="00DF70F3">
        <w:rPr>
          <w:noProof/>
          <w:lang w:val="fr-FR"/>
        </w:rPr>
        <w:t xml:space="preserve"> </w:t>
      </w:r>
      <w:r w:rsidR="00254822" w:rsidRPr="00DF70F3">
        <w:rPr>
          <w:noProof/>
          <w:lang w:val="fr-FR"/>
        </w:rPr>
        <w:t>dans les cours d’eau et les lacs</w:t>
      </w:r>
      <w:r w:rsidR="00596A25" w:rsidRPr="00DF70F3">
        <w:rPr>
          <w:noProof/>
          <w:vertAlign w:val="superscript"/>
          <w:lang w:val="fr-FR"/>
        </w:rPr>
        <w:footnoteReference w:id="13"/>
      </w:r>
      <w:r w:rsidR="00254822" w:rsidRPr="00DF70F3">
        <w:rPr>
          <w:noProof/>
          <w:lang w:val="fr-FR"/>
        </w:rPr>
        <w:t>. Ces directives</w:t>
      </w:r>
      <w:r w:rsidR="00F87947" w:rsidRPr="00DF70F3">
        <w:rPr>
          <w:noProof/>
          <w:lang w:val="fr-FR"/>
        </w:rPr>
        <w:t xml:space="preserve"> aideront à élaborer et à mettre en œuvre des programmes de surveillance des cours d’eau, des lacs, des réservoirs et des installations de traitement des eaux usées et contribueront à renforcer les capacités nationales permettant de communiquer des informations concernant les cibles </w:t>
      </w:r>
      <w:r w:rsidR="00596A25" w:rsidRPr="00DF70F3">
        <w:rPr>
          <w:noProof/>
          <w:lang w:val="fr-FR"/>
        </w:rPr>
        <w:t xml:space="preserve">6.3 </w:t>
      </w:r>
      <w:r w:rsidR="005632D3" w:rsidRPr="00DF70F3">
        <w:rPr>
          <w:noProof/>
          <w:lang w:val="fr-FR"/>
        </w:rPr>
        <w:t>(</w:t>
      </w:r>
      <w:r w:rsidR="00F87947" w:rsidRPr="00DF70F3">
        <w:rPr>
          <w:noProof/>
          <w:lang w:val="fr-FR"/>
        </w:rPr>
        <w:t>qualité de l’eau</w:t>
      </w:r>
      <w:r w:rsidR="005632D3" w:rsidRPr="00DF70F3">
        <w:rPr>
          <w:noProof/>
          <w:lang w:val="fr-FR"/>
        </w:rPr>
        <w:t>)</w:t>
      </w:r>
      <w:r w:rsidR="00596A25" w:rsidRPr="00DF70F3">
        <w:rPr>
          <w:noProof/>
          <w:lang w:val="fr-FR"/>
        </w:rPr>
        <w:t xml:space="preserve"> </w:t>
      </w:r>
      <w:r w:rsidR="00F87947" w:rsidRPr="00DF70F3">
        <w:rPr>
          <w:noProof/>
          <w:lang w:val="fr-FR"/>
        </w:rPr>
        <w:t>et</w:t>
      </w:r>
      <w:r w:rsidR="00596A25" w:rsidRPr="00DF70F3">
        <w:rPr>
          <w:noProof/>
          <w:lang w:val="fr-FR"/>
        </w:rPr>
        <w:t xml:space="preserve"> </w:t>
      </w:r>
      <w:r w:rsidR="00D05CA0" w:rsidRPr="00DF70F3">
        <w:rPr>
          <w:noProof/>
          <w:lang w:val="fr-FR"/>
        </w:rPr>
        <w:t xml:space="preserve">14.1 </w:t>
      </w:r>
      <w:r w:rsidR="005632D3" w:rsidRPr="00DF70F3">
        <w:rPr>
          <w:noProof/>
          <w:lang w:val="fr-FR"/>
        </w:rPr>
        <w:t>(</w:t>
      </w:r>
      <w:r w:rsidR="00596A25" w:rsidRPr="00DF70F3">
        <w:rPr>
          <w:noProof/>
          <w:lang w:val="fr-FR"/>
        </w:rPr>
        <w:t>pollution</w:t>
      </w:r>
      <w:r w:rsidR="00F87947" w:rsidRPr="00DF70F3">
        <w:rPr>
          <w:noProof/>
          <w:lang w:val="fr-FR"/>
        </w:rPr>
        <w:t xml:space="preserve"> marine</w:t>
      </w:r>
      <w:r w:rsidR="005632D3" w:rsidRPr="00DF70F3">
        <w:rPr>
          <w:noProof/>
          <w:lang w:val="fr-FR"/>
        </w:rPr>
        <w:t>)</w:t>
      </w:r>
      <w:r w:rsidR="00F87947" w:rsidRPr="00DF70F3">
        <w:rPr>
          <w:noProof/>
          <w:lang w:val="fr-FR"/>
        </w:rPr>
        <w:t xml:space="preserve"> des objectifs de développement durable</w:t>
      </w:r>
      <w:r w:rsidR="00596A25" w:rsidRPr="00DF70F3">
        <w:rPr>
          <w:noProof/>
          <w:lang w:val="fr-FR"/>
        </w:rPr>
        <w:t>.</w:t>
      </w:r>
      <w:r w:rsidR="001B3508" w:rsidRPr="00DF70F3">
        <w:rPr>
          <w:noProof/>
          <w:lang w:val="fr-FR"/>
        </w:rPr>
        <w:t xml:space="preserve"> </w:t>
      </w:r>
      <w:r w:rsidR="00F87947" w:rsidRPr="00DF70F3">
        <w:rPr>
          <w:noProof/>
          <w:lang w:val="fr-FR"/>
        </w:rPr>
        <w:t>Le PNUE incorporera également les directives dans ses programmes de formation des formateurs et dans sa formation en ligne ouverte à tous concernant les déchets marins qui, à ce jour,</w:t>
      </w:r>
      <w:r w:rsidR="00521335" w:rsidRPr="00DF70F3">
        <w:rPr>
          <w:noProof/>
          <w:lang w:val="fr-FR"/>
        </w:rPr>
        <w:t xml:space="preserve"> </w:t>
      </w:r>
      <w:r w:rsidR="00B03FC2" w:rsidRPr="00DF70F3">
        <w:rPr>
          <w:noProof/>
          <w:lang w:val="fr-FR"/>
        </w:rPr>
        <w:t xml:space="preserve">a enregistré plus de </w:t>
      </w:r>
      <w:r w:rsidR="00521335" w:rsidRPr="00DF70F3">
        <w:rPr>
          <w:noProof/>
          <w:lang w:val="fr-FR"/>
        </w:rPr>
        <w:t>30</w:t>
      </w:r>
      <w:r w:rsidR="00B03FC2" w:rsidRPr="00DF70F3">
        <w:rPr>
          <w:noProof/>
          <w:lang w:val="fr-FR"/>
        </w:rPr>
        <w:t> </w:t>
      </w:r>
      <w:r w:rsidR="00521335" w:rsidRPr="00DF70F3">
        <w:rPr>
          <w:noProof/>
          <w:lang w:val="fr-FR"/>
        </w:rPr>
        <w:t>000</w:t>
      </w:r>
      <w:r w:rsidR="00B03FC2" w:rsidRPr="00DF70F3">
        <w:rPr>
          <w:noProof/>
          <w:lang w:val="fr-FR"/>
        </w:rPr>
        <w:t> </w:t>
      </w:r>
      <w:r w:rsidR="00521335" w:rsidRPr="00DF70F3">
        <w:rPr>
          <w:noProof/>
          <w:lang w:val="fr-FR"/>
        </w:rPr>
        <w:t>participants</w:t>
      </w:r>
      <w:r w:rsidR="00B03FC2" w:rsidRPr="00DF70F3">
        <w:rPr>
          <w:noProof/>
          <w:lang w:val="fr-FR"/>
        </w:rPr>
        <w:t xml:space="preserve"> inscrits</w:t>
      </w:r>
      <w:r w:rsidR="00596A25" w:rsidRPr="00DF70F3">
        <w:rPr>
          <w:noProof/>
          <w:lang w:val="fr-FR"/>
        </w:rPr>
        <w:t>.</w:t>
      </w:r>
      <w:r w:rsidR="00B03FC2" w:rsidRPr="00DF70F3">
        <w:rPr>
          <w:noProof/>
          <w:lang w:val="fr-FR"/>
        </w:rPr>
        <w:t xml:space="preserve"> Il est prévu que des projets pilotes appliquent ces nouvelles méthodes de surveillance à d’importants systèmes fluviaux du monde entier </w:t>
      </w:r>
      <w:r w:rsidR="00B03FC2" w:rsidRPr="00DF70F3">
        <w:rPr>
          <w:noProof/>
          <w:lang w:val="fr-FR"/>
        </w:rPr>
        <w:lastRenderedPageBreak/>
        <w:t xml:space="preserve">en coordination avec d’autres entités compétentes travaillant sur les cours d’eau en tant que </w:t>
      </w:r>
      <w:r w:rsidR="00E41A21" w:rsidRPr="00DF70F3">
        <w:rPr>
          <w:noProof/>
          <w:lang w:val="fr-FR"/>
        </w:rPr>
        <w:t>modes</w:t>
      </w:r>
      <w:r w:rsidR="00B03FC2" w:rsidRPr="00DF70F3">
        <w:rPr>
          <w:noProof/>
          <w:lang w:val="fr-FR"/>
        </w:rPr>
        <w:t xml:space="preserve"> de </w:t>
      </w:r>
      <w:r w:rsidR="001274FC" w:rsidRPr="00DF70F3">
        <w:rPr>
          <w:noProof/>
          <w:lang w:val="fr-FR"/>
        </w:rPr>
        <w:t>déplacement</w:t>
      </w:r>
      <w:r w:rsidR="00B03FC2" w:rsidRPr="00DF70F3">
        <w:rPr>
          <w:noProof/>
          <w:lang w:val="fr-FR"/>
        </w:rPr>
        <w:t xml:space="preserve"> des polluants</w:t>
      </w:r>
      <w:r w:rsidR="00596A25" w:rsidRPr="00DF70F3">
        <w:rPr>
          <w:noProof/>
          <w:lang w:val="fr-FR"/>
        </w:rPr>
        <w:t xml:space="preserve">. </w:t>
      </w:r>
    </w:p>
    <w:p w14:paraId="51ED34DF" w14:textId="57215F46" w:rsidR="00596A25" w:rsidRPr="00DF70F3" w:rsidRDefault="00B03FC2" w:rsidP="00DD79A5">
      <w:pPr>
        <w:pStyle w:val="Normalnumber"/>
        <w:ind w:left="1276" w:firstLine="0"/>
        <w:rPr>
          <w:rFonts w:eastAsia="Calibri"/>
          <w:noProof/>
          <w:lang w:val="fr-FR"/>
        </w:rPr>
      </w:pPr>
      <w:r w:rsidRPr="00DF70F3">
        <w:rPr>
          <w:noProof/>
          <w:lang w:val="fr-FR"/>
        </w:rPr>
        <w:t>Des données pour l’indicateur </w:t>
      </w:r>
      <w:r w:rsidR="00596A25" w:rsidRPr="00DF70F3">
        <w:rPr>
          <w:noProof/>
          <w:lang w:val="fr-FR"/>
        </w:rPr>
        <w:t>11.6.1</w:t>
      </w:r>
      <w:r w:rsidR="00596A25" w:rsidRPr="00DF70F3">
        <w:rPr>
          <w:rStyle w:val="FootnoteReference"/>
          <w:noProof/>
          <w:lang w:val="fr-FR"/>
        </w:rPr>
        <w:footnoteReference w:id="14"/>
      </w:r>
      <w:r w:rsidR="00596A25" w:rsidRPr="00DF70F3">
        <w:rPr>
          <w:noProof/>
          <w:lang w:val="fr-FR"/>
        </w:rPr>
        <w:t xml:space="preserve"> </w:t>
      </w:r>
      <w:r w:rsidR="00AE01FB" w:rsidRPr="00DF70F3">
        <w:rPr>
          <w:noProof/>
          <w:lang w:val="fr-FR"/>
        </w:rPr>
        <w:t>des objectifs de développement durable ont également été collectées</w:t>
      </w:r>
      <w:r w:rsidR="00AD389B" w:rsidRPr="00DF70F3">
        <w:rPr>
          <w:noProof/>
          <w:lang w:val="fr-FR"/>
        </w:rPr>
        <w:t xml:space="preserve"> par ONU</w:t>
      </w:r>
      <w:r w:rsidR="0036268D" w:rsidRPr="00DF70F3">
        <w:rPr>
          <w:noProof/>
          <w:lang w:val="fr-FR"/>
        </w:rPr>
        <w:t xml:space="preserve">-Habitat </w:t>
      </w:r>
      <w:r w:rsidR="00AD389B" w:rsidRPr="00DF70F3">
        <w:rPr>
          <w:noProof/>
          <w:lang w:val="fr-FR"/>
        </w:rPr>
        <w:t>au</w:t>
      </w:r>
      <w:r w:rsidR="00596A25" w:rsidRPr="00DF70F3">
        <w:rPr>
          <w:noProof/>
          <w:lang w:val="fr-FR"/>
        </w:rPr>
        <w:t xml:space="preserve"> Kenya </w:t>
      </w:r>
      <w:r w:rsidR="00AD389B" w:rsidRPr="00DF70F3">
        <w:rPr>
          <w:noProof/>
          <w:lang w:val="fr-FR"/>
        </w:rPr>
        <w:t xml:space="preserve">et </w:t>
      </w:r>
      <w:r w:rsidR="00CB020C" w:rsidRPr="00DF70F3">
        <w:rPr>
          <w:noProof/>
          <w:lang w:val="fr-FR"/>
        </w:rPr>
        <w:t>aux</w:t>
      </w:r>
      <w:r w:rsidR="00596A25" w:rsidRPr="00DF70F3">
        <w:rPr>
          <w:noProof/>
          <w:lang w:val="fr-FR"/>
        </w:rPr>
        <w:t xml:space="preserve"> Seychelles.</w:t>
      </w:r>
      <w:r w:rsidR="00AD389B" w:rsidRPr="00DF70F3">
        <w:rPr>
          <w:noProof/>
          <w:lang w:val="fr-FR"/>
        </w:rPr>
        <w:t xml:space="preserve"> Les enquêtes et les ateliers réunissant les parties prenantes ont </w:t>
      </w:r>
      <w:r w:rsidR="00735013" w:rsidRPr="00DF70F3">
        <w:rPr>
          <w:noProof/>
          <w:lang w:val="fr-FR"/>
        </w:rPr>
        <w:t xml:space="preserve">permis de recenser des projets clés d’infrastructure de gestion des déchets visant à réduire les déchets </w:t>
      </w:r>
      <w:r w:rsidR="009556C8" w:rsidRPr="00DF70F3">
        <w:rPr>
          <w:noProof/>
          <w:lang w:val="fr-FR"/>
        </w:rPr>
        <w:t>plastiques dans le milieu marin</w:t>
      </w:r>
      <w:r w:rsidR="00596A25" w:rsidRPr="00DF70F3">
        <w:rPr>
          <w:noProof/>
          <w:lang w:val="fr-FR"/>
        </w:rPr>
        <w:t>.</w:t>
      </w:r>
      <w:r w:rsidR="009556C8" w:rsidRPr="00DF70F3">
        <w:rPr>
          <w:noProof/>
          <w:lang w:val="fr-FR"/>
        </w:rPr>
        <w:t xml:space="preserve"> L’exercice de collecte de données a également contribué à l’élaboration d’un modèle concernant les fuites de plastiques pour les villes et d’un sous-indicateur de l’indicateur </w:t>
      </w:r>
      <w:r w:rsidR="00596A25" w:rsidRPr="00DF70F3">
        <w:rPr>
          <w:noProof/>
          <w:lang w:val="fr-FR"/>
        </w:rPr>
        <w:t>11.6.1</w:t>
      </w:r>
      <w:r w:rsidR="007B3894" w:rsidRPr="00DF70F3">
        <w:rPr>
          <w:noProof/>
          <w:lang w:val="fr-FR"/>
        </w:rPr>
        <w:t xml:space="preserve"> </w:t>
      </w:r>
      <w:r w:rsidR="009556C8" w:rsidRPr="00DF70F3">
        <w:rPr>
          <w:noProof/>
          <w:lang w:val="fr-FR"/>
        </w:rPr>
        <w:t>relatif au potentiel de fuites de plastiques dans les villes, qui fera partie des inventaires des sources nationales</w:t>
      </w:r>
      <w:r w:rsidR="003C1A50" w:rsidRPr="00DF70F3">
        <w:rPr>
          <w:noProof/>
          <w:lang w:val="fr-FR"/>
        </w:rPr>
        <w:t>,</w:t>
      </w:r>
      <w:r w:rsidR="009556C8" w:rsidRPr="00DF70F3">
        <w:rPr>
          <w:noProof/>
          <w:lang w:val="fr-FR"/>
        </w:rPr>
        <w:t xml:space="preserve"> ainsi que les indicateurs</w:t>
      </w:r>
      <w:r w:rsidR="0039160F" w:rsidRPr="00DF70F3">
        <w:rPr>
          <w:noProof/>
          <w:lang w:val="fr-FR"/>
        </w:rPr>
        <w:t xml:space="preserve"> pour la cible 6.3 des objectifs de développement durable</w:t>
      </w:r>
      <w:r w:rsidR="00596A25" w:rsidRPr="00DF70F3">
        <w:rPr>
          <w:noProof/>
          <w:lang w:val="fr-FR"/>
        </w:rPr>
        <w:t>.</w:t>
      </w:r>
      <w:r w:rsidR="0039160F" w:rsidRPr="00DF70F3">
        <w:rPr>
          <w:noProof/>
          <w:lang w:val="fr-FR"/>
        </w:rPr>
        <w:t xml:space="preserve"> Au total, 12 autres évaluations des villes sont prévues, à l’instar d’un projet appuyé par le Fonds pour l’environnement mondial dans quatre pays </w:t>
      </w:r>
      <w:r w:rsidR="00E00DBF" w:rsidRPr="00DF70F3">
        <w:rPr>
          <w:noProof/>
          <w:lang w:val="fr-FR"/>
        </w:rPr>
        <w:t xml:space="preserve">visant </w:t>
      </w:r>
      <w:r w:rsidR="00CB020C" w:rsidRPr="00DF70F3">
        <w:rPr>
          <w:noProof/>
          <w:lang w:val="fr-FR"/>
        </w:rPr>
        <w:t>à appliquer</w:t>
      </w:r>
      <w:r w:rsidR="0039160F" w:rsidRPr="00DF70F3">
        <w:rPr>
          <w:noProof/>
          <w:lang w:val="fr-FR"/>
        </w:rPr>
        <w:t xml:space="preserve"> au niveau des villes d</w:t>
      </w:r>
      <w:r w:rsidR="00CB020C" w:rsidRPr="00DF70F3">
        <w:rPr>
          <w:noProof/>
          <w:lang w:val="fr-FR"/>
        </w:rPr>
        <w:t xml:space="preserve">es </w:t>
      </w:r>
      <w:r w:rsidR="0039160F" w:rsidRPr="00DF70F3">
        <w:rPr>
          <w:noProof/>
          <w:lang w:val="fr-FR"/>
        </w:rPr>
        <w:t xml:space="preserve">approches circulaires </w:t>
      </w:r>
      <w:r w:rsidR="00E00DBF" w:rsidRPr="00DF70F3">
        <w:rPr>
          <w:noProof/>
          <w:lang w:val="fr-FR"/>
        </w:rPr>
        <w:t>pour</w:t>
      </w:r>
      <w:r w:rsidR="0039160F" w:rsidRPr="00DF70F3">
        <w:rPr>
          <w:noProof/>
          <w:lang w:val="fr-FR"/>
        </w:rPr>
        <w:t xml:space="preserve"> éviter les déchets plastiques dans le milieu marin</w:t>
      </w:r>
      <w:r w:rsidR="00596A25" w:rsidRPr="00DF70F3">
        <w:rPr>
          <w:noProof/>
          <w:lang w:val="fr-FR"/>
        </w:rPr>
        <w:t>.</w:t>
      </w:r>
    </w:p>
    <w:p w14:paraId="5066573B" w14:textId="1CF0A3D6" w:rsidR="00B61505" w:rsidRPr="00DF70F3" w:rsidRDefault="00B61505" w:rsidP="00B61505">
      <w:pPr>
        <w:pStyle w:val="CH3"/>
        <w:rPr>
          <w:bCs/>
          <w:noProof/>
          <w:lang w:val="fr-FR"/>
        </w:rPr>
      </w:pPr>
      <w:r w:rsidRPr="00DF70F3">
        <w:rPr>
          <w:bCs/>
          <w:noProof/>
          <w:lang w:val="fr-FR"/>
        </w:rPr>
        <w:tab/>
        <w:t>4.</w:t>
      </w:r>
      <w:r w:rsidRPr="00DF70F3">
        <w:rPr>
          <w:bCs/>
          <w:noProof/>
          <w:lang w:val="fr-FR"/>
        </w:rPr>
        <w:tab/>
      </w:r>
      <w:r w:rsidR="0013441B" w:rsidRPr="00DF70F3">
        <w:rPr>
          <w:bCs/>
          <w:noProof/>
          <w:lang w:val="fr-FR"/>
        </w:rPr>
        <w:t>Produits de connaissance et de communication et plateforme</w:t>
      </w:r>
      <w:r w:rsidR="00596A25" w:rsidRPr="00DF70F3">
        <w:rPr>
          <w:bCs/>
          <w:noProof/>
          <w:lang w:val="fr-FR"/>
        </w:rPr>
        <w:t xml:space="preserve"> </w:t>
      </w:r>
      <w:r w:rsidR="00E96F33" w:rsidRPr="00DF70F3">
        <w:rPr>
          <w:bCs/>
          <w:noProof/>
          <w:lang w:val="fr-FR"/>
        </w:rPr>
        <w:t>de diffusion</w:t>
      </w:r>
    </w:p>
    <w:p w14:paraId="197670B2" w14:textId="0282AB93" w:rsidR="00596A25" w:rsidRPr="00DF70F3" w:rsidRDefault="00E96F33" w:rsidP="00DD79A5">
      <w:pPr>
        <w:pStyle w:val="Normalnumber"/>
        <w:ind w:left="1276" w:firstLine="0"/>
        <w:rPr>
          <w:rFonts w:eastAsia="Calibri"/>
          <w:noProof/>
          <w:lang w:val="fr-FR"/>
        </w:rPr>
      </w:pPr>
      <w:r w:rsidRPr="00DF70F3">
        <w:rPr>
          <w:noProof/>
          <w:lang w:val="fr-FR"/>
        </w:rPr>
        <w:t>Ce domaine de travail vise à améliorer l’élaboration et la portée de produits de connaissance pour les parties prenantes</w:t>
      </w:r>
      <w:r w:rsidR="00596A25" w:rsidRPr="00DF70F3">
        <w:rPr>
          <w:noProof/>
          <w:lang w:val="fr-FR"/>
        </w:rPr>
        <w:t xml:space="preserve"> </w:t>
      </w:r>
      <w:r w:rsidRPr="00DF70F3">
        <w:rPr>
          <w:noProof/>
          <w:lang w:val="fr-FR"/>
        </w:rPr>
        <w:t>afin d’éclairer la prise de décisions et de mesures au travers des multiples médias, outils et méthodes d’apprentissage disponibles</w:t>
      </w:r>
      <w:r w:rsidR="00596A25" w:rsidRPr="00DF70F3">
        <w:rPr>
          <w:noProof/>
          <w:lang w:val="fr-FR"/>
        </w:rPr>
        <w:t xml:space="preserve">. </w:t>
      </w:r>
      <w:r w:rsidRPr="00DF70F3">
        <w:rPr>
          <w:noProof/>
          <w:lang w:val="fr-FR"/>
        </w:rPr>
        <w:t xml:space="preserve">Il </w:t>
      </w:r>
      <w:r w:rsidR="00F16647" w:rsidRPr="00DF70F3">
        <w:rPr>
          <w:noProof/>
          <w:lang w:val="fr-FR"/>
        </w:rPr>
        <w:t>a permis d’appuyer</w:t>
      </w:r>
      <w:r w:rsidRPr="00DF70F3">
        <w:rPr>
          <w:noProof/>
          <w:lang w:val="fr-FR"/>
        </w:rPr>
        <w:t> </w:t>
      </w:r>
      <w:r w:rsidR="00596A25" w:rsidRPr="00DF70F3">
        <w:rPr>
          <w:noProof/>
          <w:lang w:val="fr-FR"/>
        </w:rPr>
        <w:t>:</w:t>
      </w:r>
    </w:p>
    <w:p w14:paraId="6FCE18FB" w14:textId="0E3DA937" w:rsidR="00596A25" w:rsidRPr="00DF70F3" w:rsidRDefault="006F1F93" w:rsidP="00DD79A5">
      <w:pPr>
        <w:pStyle w:val="Normalnumber"/>
        <w:numPr>
          <w:ilvl w:val="1"/>
          <w:numId w:val="4"/>
        </w:numPr>
        <w:ind w:left="1276" w:firstLine="567"/>
        <w:rPr>
          <w:rFonts w:eastAsia="MS Mincho"/>
          <w:noProof/>
          <w:lang w:val="fr-FR"/>
        </w:rPr>
      </w:pPr>
      <w:r w:rsidRPr="00DF70F3">
        <w:rPr>
          <w:noProof/>
          <w:lang w:val="fr-FR"/>
        </w:rPr>
        <w:t>L’élaboration d’un</w:t>
      </w:r>
      <w:r w:rsidR="00250EFA" w:rsidRPr="00DF70F3">
        <w:rPr>
          <w:noProof/>
          <w:lang w:val="fr-FR"/>
        </w:rPr>
        <w:t xml:space="preserve"> guide législatif sur la réglementation des</w:t>
      </w:r>
      <w:r w:rsidRPr="00DF70F3">
        <w:rPr>
          <w:noProof/>
          <w:lang w:val="fr-FR"/>
        </w:rPr>
        <w:t xml:space="preserve"> </w:t>
      </w:r>
      <w:r w:rsidR="00250EFA" w:rsidRPr="00DF70F3">
        <w:rPr>
          <w:noProof/>
          <w:lang w:val="fr-FR"/>
        </w:rPr>
        <w:t>produits en plastique à usage unique, une panoplie plus large d’outils politiques étant prévue dans le cadre de la Plateforme</w:t>
      </w:r>
      <w:r w:rsidR="00596A25" w:rsidRPr="00DF70F3">
        <w:rPr>
          <w:noProof/>
          <w:lang w:val="fr-FR"/>
        </w:rPr>
        <w:t xml:space="preserve"> </w:t>
      </w:r>
      <w:r w:rsidR="00250EFA" w:rsidRPr="00DF70F3">
        <w:rPr>
          <w:noProof/>
          <w:lang w:val="fr-FR"/>
        </w:rPr>
        <w:t>d’assistance</w:t>
      </w:r>
      <w:r w:rsidR="006C2F2F" w:rsidRPr="00DF70F3">
        <w:rPr>
          <w:noProof/>
          <w:lang w:val="fr-FR"/>
        </w:rPr>
        <w:t xml:space="preserve"> en matière de droit et d’environnement</w:t>
      </w:r>
      <w:r w:rsidR="00596A25" w:rsidRPr="00DF70F3">
        <w:rPr>
          <w:noProof/>
          <w:vertAlign w:val="superscript"/>
          <w:lang w:val="fr-FR"/>
        </w:rPr>
        <w:footnoteReference w:id="15"/>
      </w:r>
      <w:r w:rsidR="006C2F2F" w:rsidRPr="00DF70F3">
        <w:rPr>
          <w:noProof/>
          <w:lang w:val="fr-FR"/>
        </w:rPr>
        <w:t> ;</w:t>
      </w:r>
      <w:r w:rsidR="00596A25" w:rsidRPr="00DF70F3">
        <w:rPr>
          <w:noProof/>
          <w:lang w:val="fr-FR"/>
        </w:rPr>
        <w:t xml:space="preserve"> </w:t>
      </w:r>
    </w:p>
    <w:p w14:paraId="50A1377D" w14:textId="79C1C47B" w:rsidR="00596A25" w:rsidRPr="00DF70F3" w:rsidRDefault="006C2F2F" w:rsidP="00DD79A5">
      <w:pPr>
        <w:pStyle w:val="Normalnumber"/>
        <w:numPr>
          <w:ilvl w:val="1"/>
          <w:numId w:val="4"/>
        </w:numPr>
        <w:ind w:left="1276" w:firstLine="567"/>
        <w:rPr>
          <w:rFonts w:eastAsia="MS Mincho"/>
          <w:noProof/>
          <w:lang w:val="fr-FR"/>
        </w:rPr>
      </w:pPr>
      <w:r w:rsidRPr="00DF70F3">
        <w:rPr>
          <w:noProof/>
          <w:lang w:val="fr-FR"/>
        </w:rPr>
        <w:t>La sensibilisation aux questions relatives à la justice environnementale, aux déchets marins et aux plastiques</w:t>
      </w:r>
      <w:r w:rsidR="00596A25" w:rsidRPr="00DF70F3">
        <w:rPr>
          <w:noProof/>
          <w:vertAlign w:val="superscript"/>
          <w:lang w:val="fr-FR"/>
        </w:rPr>
        <w:footnoteReference w:id="16"/>
      </w:r>
      <w:r w:rsidRPr="00DF70F3">
        <w:rPr>
          <w:noProof/>
          <w:lang w:val="fr-FR"/>
        </w:rPr>
        <w:t> ;</w:t>
      </w:r>
      <w:r w:rsidR="00596A25" w:rsidRPr="00DF70F3">
        <w:rPr>
          <w:noProof/>
          <w:lang w:val="fr-FR"/>
        </w:rPr>
        <w:t xml:space="preserve"> </w:t>
      </w:r>
    </w:p>
    <w:p w14:paraId="53DA9C3D" w14:textId="20E1EC98" w:rsidR="00596A25" w:rsidRPr="00DF70F3" w:rsidRDefault="006C2F2F" w:rsidP="00DD79A5">
      <w:pPr>
        <w:pStyle w:val="Normalnumber"/>
        <w:numPr>
          <w:ilvl w:val="1"/>
          <w:numId w:val="4"/>
        </w:numPr>
        <w:ind w:left="1276" w:firstLine="567"/>
        <w:rPr>
          <w:rFonts w:eastAsia="MS Mincho"/>
          <w:noProof/>
          <w:lang w:val="fr-FR"/>
        </w:rPr>
      </w:pPr>
      <w:r w:rsidRPr="00DF70F3">
        <w:rPr>
          <w:noProof/>
          <w:lang w:val="fr-FR"/>
        </w:rPr>
        <w:t>L’e</w:t>
      </w:r>
      <w:r w:rsidR="00596A25" w:rsidRPr="00DF70F3">
        <w:rPr>
          <w:noProof/>
          <w:lang w:val="fr-FR"/>
        </w:rPr>
        <w:t xml:space="preserve">xpansion </w:t>
      </w:r>
      <w:r w:rsidRPr="00DF70F3">
        <w:rPr>
          <w:noProof/>
          <w:lang w:val="fr-FR"/>
        </w:rPr>
        <w:t>de la base de connaissances concernant l’évaluation des risques</w:t>
      </w:r>
      <w:r w:rsidR="00596A25" w:rsidRPr="00DF70F3">
        <w:rPr>
          <w:noProof/>
          <w:lang w:val="fr-FR"/>
        </w:rPr>
        <w:t xml:space="preserve"> </w:t>
      </w:r>
      <w:r w:rsidRPr="00DF70F3">
        <w:rPr>
          <w:noProof/>
          <w:lang w:val="fr-FR"/>
        </w:rPr>
        <w:t>de la source jusqu’au devenir des déchets marins, notamment les nouveaux polluants, les nano-plastiques et</w:t>
      </w:r>
      <w:r w:rsidR="00596A25" w:rsidRPr="00DF70F3">
        <w:rPr>
          <w:noProof/>
          <w:lang w:val="fr-FR"/>
        </w:rPr>
        <w:t xml:space="preserve"> </w:t>
      </w:r>
      <w:r w:rsidRPr="00DF70F3">
        <w:rPr>
          <w:noProof/>
          <w:lang w:val="fr-FR"/>
        </w:rPr>
        <w:t xml:space="preserve">les plastiques en tant que vecteurs, grâce aux travaux d’entités telles que le </w:t>
      </w:r>
      <w:r w:rsidR="00596A25" w:rsidRPr="00DF70F3">
        <w:rPr>
          <w:noProof/>
          <w:lang w:val="fr-FR"/>
        </w:rPr>
        <w:t>GESAMP</w:t>
      </w:r>
      <w:r w:rsidR="00596A25" w:rsidRPr="00DF70F3">
        <w:rPr>
          <w:rStyle w:val="FootnoteReference"/>
          <w:noProof/>
          <w:lang w:val="fr-FR"/>
        </w:rPr>
        <w:footnoteReference w:id="17"/>
      </w:r>
      <w:r w:rsidRPr="00DF70F3">
        <w:rPr>
          <w:noProof/>
          <w:lang w:val="fr-FR"/>
        </w:rPr>
        <w:t> ;</w:t>
      </w:r>
    </w:p>
    <w:p w14:paraId="04A8A43C" w14:textId="4B372EAB" w:rsidR="00596A25" w:rsidRPr="00DF70F3" w:rsidRDefault="006C2F2F" w:rsidP="00DD79A5">
      <w:pPr>
        <w:pStyle w:val="Normalnumber"/>
        <w:numPr>
          <w:ilvl w:val="1"/>
          <w:numId w:val="4"/>
        </w:numPr>
        <w:ind w:left="1276" w:firstLine="567"/>
        <w:rPr>
          <w:rFonts w:eastAsia="MS Mincho"/>
          <w:noProof/>
          <w:lang w:val="fr-FR"/>
        </w:rPr>
      </w:pPr>
      <w:r w:rsidRPr="00DF70F3">
        <w:rPr>
          <w:noProof/>
          <w:lang w:val="fr-FR"/>
        </w:rPr>
        <w:t xml:space="preserve">L’examen de l’état actuel des connaissances et des lacunes </w:t>
      </w:r>
      <w:r w:rsidR="00686C34" w:rsidRPr="00DF70F3">
        <w:rPr>
          <w:noProof/>
          <w:lang w:val="fr-FR"/>
        </w:rPr>
        <w:t>concernant le rôle des produits chimiques dans les plastiques ainsi que de leur incidence sur l’environnement et la santé </w:t>
      </w:r>
      <w:r w:rsidR="00596A25" w:rsidRPr="00DF70F3">
        <w:rPr>
          <w:noProof/>
          <w:lang w:val="fr-FR"/>
        </w:rPr>
        <w:t>;</w:t>
      </w:r>
    </w:p>
    <w:p w14:paraId="54B13DA1" w14:textId="3692DFC1" w:rsidR="00596A25" w:rsidRPr="00DF70F3" w:rsidRDefault="00686C34" w:rsidP="00DD79A5">
      <w:pPr>
        <w:pStyle w:val="Normalnumber"/>
        <w:numPr>
          <w:ilvl w:val="1"/>
          <w:numId w:val="4"/>
        </w:numPr>
        <w:ind w:left="1276" w:firstLine="567"/>
        <w:rPr>
          <w:rFonts w:eastAsia="MS Mincho"/>
          <w:noProof/>
          <w:lang w:val="fr-FR"/>
        </w:rPr>
      </w:pPr>
      <w:r w:rsidRPr="00DF70F3">
        <w:rPr>
          <w:noProof/>
          <w:lang w:val="fr-FR"/>
        </w:rPr>
        <w:t>La</w:t>
      </w:r>
      <w:r w:rsidR="00632690" w:rsidRPr="00DF70F3">
        <w:rPr>
          <w:noProof/>
          <w:lang w:val="fr-FR"/>
        </w:rPr>
        <w:t xml:space="preserve"> publication </w:t>
      </w:r>
      <w:r w:rsidRPr="00DF70F3">
        <w:rPr>
          <w:noProof/>
          <w:lang w:val="fr-FR"/>
        </w:rPr>
        <w:t>« </w:t>
      </w:r>
      <w:r w:rsidR="007B3894" w:rsidRPr="00DF70F3">
        <w:rPr>
          <w:i/>
          <w:iCs/>
          <w:noProof/>
          <w:lang w:val="fr-FR"/>
        </w:rPr>
        <w:t>S</w:t>
      </w:r>
      <w:r w:rsidR="00596A25" w:rsidRPr="00DF70F3">
        <w:rPr>
          <w:i/>
          <w:iCs/>
          <w:noProof/>
          <w:lang w:val="fr-FR"/>
        </w:rPr>
        <w:t>ingle-</w:t>
      </w:r>
      <w:r w:rsidR="003E1E49" w:rsidRPr="00DF70F3">
        <w:rPr>
          <w:i/>
          <w:iCs/>
          <w:noProof/>
          <w:lang w:val="fr-FR"/>
        </w:rPr>
        <w:t>U</w:t>
      </w:r>
      <w:r w:rsidR="00596A25" w:rsidRPr="00DF70F3">
        <w:rPr>
          <w:i/>
          <w:iCs/>
          <w:noProof/>
          <w:lang w:val="fr-FR"/>
        </w:rPr>
        <w:t xml:space="preserve">se </w:t>
      </w:r>
      <w:r w:rsidR="003E1E49" w:rsidRPr="00DF70F3">
        <w:rPr>
          <w:i/>
          <w:iCs/>
          <w:noProof/>
          <w:lang w:val="fr-FR"/>
        </w:rPr>
        <w:t>P</w:t>
      </w:r>
      <w:r w:rsidR="00596A25" w:rsidRPr="00DF70F3">
        <w:rPr>
          <w:i/>
          <w:iCs/>
          <w:noProof/>
          <w:lang w:val="fr-FR"/>
        </w:rPr>
        <w:t xml:space="preserve">lastic </w:t>
      </w:r>
      <w:r w:rsidR="003E1E49" w:rsidRPr="00DF70F3">
        <w:rPr>
          <w:i/>
          <w:iCs/>
          <w:noProof/>
          <w:lang w:val="fr-FR"/>
        </w:rPr>
        <w:t>B</w:t>
      </w:r>
      <w:r w:rsidR="00596A25" w:rsidRPr="00DF70F3">
        <w:rPr>
          <w:i/>
          <w:iCs/>
          <w:noProof/>
          <w:lang w:val="fr-FR"/>
        </w:rPr>
        <w:t xml:space="preserve">ags and </w:t>
      </w:r>
      <w:r w:rsidR="003E1E49" w:rsidRPr="00DF70F3">
        <w:rPr>
          <w:i/>
          <w:iCs/>
          <w:noProof/>
          <w:lang w:val="fr-FR"/>
        </w:rPr>
        <w:t>T</w:t>
      </w:r>
      <w:r w:rsidR="00596A25" w:rsidRPr="00DF70F3">
        <w:rPr>
          <w:i/>
          <w:iCs/>
          <w:noProof/>
          <w:lang w:val="fr-FR"/>
        </w:rPr>
        <w:t xml:space="preserve">heir </w:t>
      </w:r>
      <w:r w:rsidR="003E1E49" w:rsidRPr="00DF70F3">
        <w:rPr>
          <w:i/>
          <w:iCs/>
          <w:noProof/>
          <w:lang w:val="fr-FR"/>
        </w:rPr>
        <w:t>A</w:t>
      </w:r>
      <w:r w:rsidR="00596A25" w:rsidRPr="00DF70F3">
        <w:rPr>
          <w:i/>
          <w:iCs/>
          <w:noProof/>
          <w:lang w:val="fr-FR"/>
        </w:rPr>
        <w:t>lternatives</w:t>
      </w:r>
      <w:r w:rsidR="00632690" w:rsidRPr="00DF70F3">
        <w:rPr>
          <w:i/>
          <w:iCs/>
          <w:noProof/>
          <w:lang w:val="fr-FR"/>
        </w:rPr>
        <w:t>:</w:t>
      </w:r>
      <w:r w:rsidR="00596A25" w:rsidRPr="00DF70F3">
        <w:rPr>
          <w:i/>
          <w:iCs/>
          <w:noProof/>
          <w:lang w:val="fr-FR"/>
        </w:rPr>
        <w:t xml:space="preserve"> Recommendations from Life Cycle Assessments</w:t>
      </w:r>
      <w:r w:rsidRPr="00DF70F3">
        <w:rPr>
          <w:i/>
          <w:iCs/>
          <w:noProof/>
          <w:lang w:val="fr-FR"/>
        </w:rPr>
        <w:t> » (« Les sacs en plastique à usage unique et leurs solutions de remplacement : recommandations issues d’évaluations du cycle de vie ») </w:t>
      </w:r>
      <w:r w:rsidR="00596A25" w:rsidRPr="00DF70F3">
        <w:rPr>
          <w:noProof/>
          <w:lang w:val="fr-FR"/>
        </w:rPr>
        <w:t>;</w:t>
      </w:r>
    </w:p>
    <w:p w14:paraId="2E962D4B" w14:textId="7A28BC5F" w:rsidR="00596A25" w:rsidRPr="00DF70F3" w:rsidRDefault="007C0EC7" w:rsidP="00DD79A5">
      <w:pPr>
        <w:pStyle w:val="Normalnumber"/>
        <w:numPr>
          <w:ilvl w:val="1"/>
          <w:numId w:val="4"/>
        </w:numPr>
        <w:ind w:left="1276" w:firstLine="567"/>
        <w:rPr>
          <w:rFonts w:eastAsia="MS Mincho"/>
          <w:noProof/>
          <w:lang w:val="fr-FR"/>
        </w:rPr>
      </w:pPr>
      <w:r w:rsidRPr="00DF70F3">
        <w:rPr>
          <w:noProof/>
          <w:lang w:val="fr-FR"/>
        </w:rPr>
        <w:t>Les activités</w:t>
      </w:r>
      <w:r w:rsidR="00B91A18" w:rsidRPr="00DF70F3">
        <w:rPr>
          <w:noProof/>
          <w:lang w:val="fr-FR"/>
        </w:rPr>
        <w:t xml:space="preserve"> de plaidoyer, les matériels pédagogiques et la mobilisation des jeunes, notamment par le biais de cours en ligne ainsi que</w:t>
      </w:r>
      <w:r w:rsidR="00A014AD" w:rsidRPr="00DF70F3">
        <w:rPr>
          <w:noProof/>
          <w:lang w:val="fr-FR"/>
        </w:rPr>
        <w:t xml:space="preserve"> </w:t>
      </w:r>
      <w:r w:rsidR="00F16647" w:rsidRPr="00DF70F3">
        <w:rPr>
          <w:noProof/>
          <w:lang w:val="fr-FR"/>
        </w:rPr>
        <w:t>d</w:t>
      </w:r>
      <w:r w:rsidR="00A71A53" w:rsidRPr="00DF70F3">
        <w:rPr>
          <w:noProof/>
          <w:lang w:val="fr-FR"/>
        </w:rPr>
        <w:t>e l’init</w:t>
      </w:r>
      <w:r w:rsidR="00F14007" w:rsidRPr="00DF70F3">
        <w:rPr>
          <w:noProof/>
          <w:lang w:val="fr-FR"/>
        </w:rPr>
        <w:t xml:space="preserve">iative </w:t>
      </w:r>
      <w:r w:rsidR="00596A25" w:rsidRPr="00DF70F3">
        <w:rPr>
          <w:noProof/>
          <w:lang w:val="fr-FR"/>
        </w:rPr>
        <w:t>Tide Turners Plastic Challenge Badge</w:t>
      </w:r>
      <w:r w:rsidR="00A014AD" w:rsidRPr="00DF70F3">
        <w:rPr>
          <w:noProof/>
          <w:lang w:val="fr-FR"/>
        </w:rPr>
        <w:t xml:space="preserve"> (Badge du défi des inverseurs de tendance concernant le plastique)</w:t>
      </w:r>
      <w:r w:rsidR="007B3894" w:rsidRPr="00DF70F3">
        <w:rPr>
          <w:noProof/>
          <w:lang w:val="fr-FR"/>
        </w:rPr>
        <w:t>,</w:t>
      </w:r>
      <w:r w:rsidR="00A014AD" w:rsidRPr="00DF70F3">
        <w:rPr>
          <w:noProof/>
          <w:lang w:val="fr-FR"/>
        </w:rPr>
        <w:t xml:space="preserve"> qui a mobilisé plus de </w:t>
      </w:r>
      <w:r w:rsidR="00596A25" w:rsidRPr="00DF70F3">
        <w:rPr>
          <w:noProof/>
          <w:lang w:val="fr-FR"/>
        </w:rPr>
        <w:t>30</w:t>
      </w:r>
      <w:r w:rsidR="00A014AD" w:rsidRPr="00DF70F3">
        <w:rPr>
          <w:noProof/>
          <w:lang w:val="fr-FR"/>
        </w:rPr>
        <w:t> </w:t>
      </w:r>
      <w:r w:rsidR="00596A25" w:rsidRPr="00DF70F3">
        <w:rPr>
          <w:noProof/>
          <w:lang w:val="fr-FR"/>
        </w:rPr>
        <w:t>000</w:t>
      </w:r>
      <w:r w:rsidR="00A014AD" w:rsidRPr="00DF70F3">
        <w:rPr>
          <w:noProof/>
          <w:lang w:val="fr-FR"/>
        </w:rPr>
        <w:t> jeunes </w:t>
      </w:r>
      <w:r w:rsidR="00596A25" w:rsidRPr="00DF70F3">
        <w:rPr>
          <w:noProof/>
          <w:lang w:val="fr-FR"/>
        </w:rPr>
        <w:t xml:space="preserve">; </w:t>
      </w:r>
    </w:p>
    <w:p w14:paraId="52546DFD" w14:textId="2DFA2702" w:rsidR="00596A25" w:rsidRPr="00DF70F3" w:rsidRDefault="0073201A" w:rsidP="00DD79A5">
      <w:pPr>
        <w:pStyle w:val="Normalnumber"/>
        <w:numPr>
          <w:ilvl w:val="1"/>
          <w:numId w:val="4"/>
        </w:numPr>
        <w:ind w:left="1276" w:firstLine="567"/>
        <w:rPr>
          <w:rFonts w:eastAsia="MS Mincho"/>
          <w:noProof/>
          <w:lang w:val="fr-FR"/>
        </w:rPr>
      </w:pPr>
      <w:r w:rsidRPr="00DF70F3">
        <w:rPr>
          <w:noProof/>
          <w:lang w:val="fr-FR"/>
        </w:rPr>
        <w:t>Une</w:t>
      </w:r>
      <w:r w:rsidR="007B3894" w:rsidRPr="00DF70F3">
        <w:rPr>
          <w:noProof/>
          <w:lang w:val="fr-FR"/>
        </w:rPr>
        <w:t xml:space="preserve"> </w:t>
      </w:r>
      <w:r w:rsidRPr="00DF70F3">
        <w:rPr>
          <w:noProof/>
          <w:lang w:val="fr-FR"/>
        </w:rPr>
        <w:t>formation en ligne ouverte à tous sur les déchets et les microplastiques dans le milieu marin</w:t>
      </w:r>
      <w:r w:rsidR="00596A25" w:rsidRPr="00DF70F3">
        <w:rPr>
          <w:noProof/>
          <w:lang w:val="fr-FR"/>
        </w:rPr>
        <w:t>,</w:t>
      </w:r>
      <w:r w:rsidRPr="00DF70F3">
        <w:rPr>
          <w:noProof/>
          <w:lang w:val="fr-FR"/>
        </w:rPr>
        <w:t xml:space="preserve"> dont les quatre éditions ont attiré plus de </w:t>
      </w:r>
      <w:r w:rsidR="00596A25" w:rsidRPr="00DF70F3">
        <w:rPr>
          <w:noProof/>
          <w:lang w:val="fr-FR"/>
        </w:rPr>
        <w:t>30</w:t>
      </w:r>
      <w:r w:rsidRPr="00DF70F3">
        <w:rPr>
          <w:noProof/>
          <w:lang w:val="fr-FR"/>
        </w:rPr>
        <w:t> </w:t>
      </w:r>
      <w:r w:rsidR="00596A25" w:rsidRPr="00DF70F3">
        <w:rPr>
          <w:noProof/>
          <w:lang w:val="fr-FR"/>
        </w:rPr>
        <w:t>000</w:t>
      </w:r>
      <w:r w:rsidRPr="00DF70F3">
        <w:rPr>
          <w:noProof/>
          <w:lang w:val="fr-FR"/>
        </w:rPr>
        <w:t> étudiants</w:t>
      </w:r>
      <w:r w:rsidR="00CF644C" w:rsidRPr="00DF70F3">
        <w:rPr>
          <w:noProof/>
          <w:lang w:val="fr-FR"/>
        </w:rPr>
        <w:t xml:space="preserve">, </w:t>
      </w:r>
      <w:r w:rsidR="00731619" w:rsidRPr="00DF70F3">
        <w:rPr>
          <w:noProof/>
          <w:lang w:val="fr-FR"/>
        </w:rPr>
        <w:t>la dernière ayant été lancée en octobre </w:t>
      </w:r>
      <w:r w:rsidR="00596A25" w:rsidRPr="00DF70F3">
        <w:rPr>
          <w:noProof/>
          <w:lang w:val="fr-FR"/>
        </w:rPr>
        <w:t xml:space="preserve">2020 </w:t>
      </w:r>
      <w:r w:rsidR="00731619" w:rsidRPr="00DF70F3">
        <w:rPr>
          <w:noProof/>
          <w:lang w:val="fr-FR"/>
        </w:rPr>
        <w:t>en</w:t>
      </w:r>
      <w:r w:rsidR="00596A25" w:rsidRPr="00DF70F3">
        <w:rPr>
          <w:noProof/>
          <w:lang w:val="fr-FR"/>
        </w:rPr>
        <w:t xml:space="preserve"> 1</w:t>
      </w:r>
      <w:r w:rsidR="00731619" w:rsidRPr="00DF70F3">
        <w:rPr>
          <w:noProof/>
          <w:lang w:val="fr-FR"/>
        </w:rPr>
        <w:t>0 langues et des cours magistraux sur les méthodes de surveillance et les approches politiques devant commencer en 2021 </w:t>
      </w:r>
      <w:r w:rsidR="00596A25" w:rsidRPr="00DF70F3">
        <w:rPr>
          <w:noProof/>
          <w:lang w:val="fr-FR"/>
        </w:rPr>
        <w:t>;</w:t>
      </w:r>
    </w:p>
    <w:p w14:paraId="0C0C514A" w14:textId="7A795D28" w:rsidR="00596A25" w:rsidRPr="00DF70F3" w:rsidRDefault="00BA0E36" w:rsidP="00DD79A5">
      <w:pPr>
        <w:pStyle w:val="Normalnumber"/>
        <w:numPr>
          <w:ilvl w:val="1"/>
          <w:numId w:val="4"/>
        </w:numPr>
        <w:ind w:left="1276" w:firstLine="567"/>
        <w:rPr>
          <w:rFonts w:eastAsia="MS Mincho"/>
          <w:noProof/>
          <w:lang w:val="fr-FR"/>
        </w:rPr>
      </w:pPr>
      <w:r w:rsidRPr="00DF70F3">
        <w:rPr>
          <w:noProof/>
          <w:lang w:val="fr-FR"/>
        </w:rPr>
        <w:t>Un examen des instruments financiers et des mesures, notamment la première étude mondiale du secteur des assurances concernant les risques liés à la pollution plastique, « </w:t>
      </w:r>
      <w:r w:rsidR="00596A25" w:rsidRPr="00DF70F3">
        <w:rPr>
          <w:noProof/>
          <w:lang w:val="fr-FR"/>
        </w:rPr>
        <w:t>Unwrapping the risk of plastic pollution to the insurance industry</w:t>
      </w:r>
      <w:r w:rsidRPr="00DF70F3">
        <w:rPr>
          <w:noProof/>
          <w:lang w:val="fr-FR"/>
        </w:rPr>
        <w:t> » (« </w:t>
      </w:r>
      <w:r w:rsidR="00EE5DA1" w:rsidRPr="00DF70F3">
        <w:rPr>
          <w:noProof/>
          <w:lang w:val="fr-FR"/>
        </w:rPr>
        <w:t>Décoder les risques liés à la pollution plastique pour le secteur des assurances »</w:t>
      </w:r>
      <w:r w:rsidRPr="00DF70F3">
        <w:rPr>
          <w:noProof/>
          <w:lang w:val="fr-FR"/>
        </w:rPr>
        <w:t>)</w:t>
      </w:r>
      <w:r w:rsidR="007B3894" w:rsidRPr="00DF70F3">
        <w:rPr>
          <w:noProof/>
          <w:lang w:val="fr-FR"/>
        </w:rPr>
        <w:t>,</w:t>
      </w:r>
      <w:r w:rsidR="00596A25" w:rsidRPr="00DF70F3">
        <w:rPr>
          <w:noProof/>
          <w:lang w:val="fr-FR"/>
        </w:rPr>
        <w:t xml:space="preserve"> </w:t>
      </w:r>
      <w:r w:rsidR="00EE5DA1" w:rsidRPr="00DF70F3">
        <w:rPr>
          <w:noProof/>
          <w:lang w:val="fr-FR"/>
        </w:rPr>
        <w:t>dirigée par</w:t>
      </w:r>
      <w:r w:rsidR="007B3894" w:rsidRPr="00DF70F3">
        <w:rPr>
          <w:noProof/>
          <w:lang w:val="fr-FR"/>
        </w:rPr>
        <w:t xml:space="preserve"> </w:t>
      </w:r>
      <w:r w:rsidR="00EE5DA1" w:rsidRPr="00DF70F3">
        <w:rPr>
          <w:noProof/>
          <w:lang w:val="fr-FR"/>
        </w:rPr>
        <w:t>l’Initiative de collaboration du Programme des Nations Unies pour l’environnement avec le secteur financier et</w:t>
      </w:r>
      <w:r w:rsidR="00596A25" w:rsidRPr="00DF70F3">
        <w:rPr>
          <w:noProof/>
          <w:lang w:val="fr-FR"/>
        </w:rPr>
        <w:t xml:space="preserve"> </w:t>
      </w:r>
      <w:r w:rsidR="00EE5DA1" w:rsidRPr="00DF70F3">
        <w:rPr>
          <w:noProof/>
          <w:lang w:val="fr-FR"/>
        </w:rPr>
        <w:t>le</w:t>
      </w:r>
      <w:r w:rsidR="000D34FE" w:rsidRPr="00DF70F3">
        <w:rPr>
          <w:noProof/>
          <w:lang w:val="fr-FR"/>
        </w:rPr>
        <w:t xml:space="preserve"> </w:t>
      </w:r>
      <w:r w:rsidR="00EE5DA1" w:rsidRPr="00DF70F3">
        <w:rPr>
          <w:noProof/>
          <w:lang w:val="fr-FR"/>
        </w:rPr>
        <w:t>Partenariat mondial sur les déchets marins</w:t>
      </w:r>
      <w:r w:rsidR="005B1387" w:rsidRPr="00DF70F3">
        <w:rPr>
          <w:noProof/>
          <w:lang w:val="fr-FR"/>
        </w:rPr>
        <w:t>.</w:t>
      </w:r>
      <w:r w:rsidR="00EE5DA1" w:rsidRPr="00DF70F3">
        <w:rPr>
          <w:noProof/>
          <w:lang w:val="fr-FR"/>
        </w:rPr>
        <w:t xml:space="preserve"> </w:t>
      </w:r>
      <w:r w:rsidR="006D60A7" w:rsidRPr="00DF70F3">
        <w:rPr>
          <w:noProof/>
          <w:lang w:val="fr-FR"/>
        </w:rPr>
        <w:t>Il est prévu d’entreprendre des</w:t>
      </w:r>
      <w:r w:rsidR="00EE5DA1" w:rsidRPr="00DF70F3">
        <w:rPr>
          <w:noProof/>
          <w:lang w:val="fr-FR"/>
        </w:rPr>
        <w:t xml:space="preserve"> travaux de suivi tenant compte des résultats de l’enquête sur les ressources et les mécanismes</w:t>
      </w:r>
      <w:r w:rsidR="006D60A7" w:rsidRPr="00DF70F3">
        <w:rPr>
          <w:noProof/>
          <w:lang w:val="fr-FR"/>
        </w:rPr>
        <w:t xml:space="preserve"> financiers</w:t>
      </w:r>
      <w:r w:rsidR="00EE5DA1" w:rsidRPr="00DF70F3">
        <w:rPr>
          <w:noProof/>
          <w:lang w:val="fr-FR"/>
        </w:rPr>
        <w:t xml:space="preserve"> devant être menée conformément à l’alinéa </w:t>
      </w:r>
      <w:r w:rsidR="006D60A7" w:rsidRPr="00DF70F3">
        <w:rPr>
          <w:noProof/>
          <w:lang w:val="fr-FR"/>
        </w:rPr>
        <w:t>b) du paragraphe 7 de la résolution </w:t>
      </w:r>
      <w:r w:rsidR="00596A25" w:rsidRPr="00DF70F3">
        <w:rPr>
          <w:noProof/>
          <w:lang w:val="fr-FR"/>
        </w:rPr>
        <w:t>4/6</w:t>
      </w:r>
      <w:r w:rsidR="006B38A1" w:rsidRPr="00DF70F3">
        <w:rPr>
          <w:noProof/>
          <w:lang w:val="fr-FR"/>
        </w:rPr>
        <w:t> ;</w:t>
      </w:r>
    </w:p>
    <w:p w14:paraId="4F973735" w14:textId="77AC129E" w:rsidR="00596A25" w:rsidRPr="00DF70F3" w:rsidRDefault="00FA01F6" w:rsidP="009B18B2">
      <w:pPr>
        <w:pStyle w:val="Normalnumber"/>
        <w:keepNext/>
        <w:keepLines/>
        <w:numPr>
          <w:ilvl w:val="1"/>
          <w:numId w:val="4"/>
        </w:numPr>
        <w:ind w:left="1282" w:firstLine="562"/>
        <w:rPr>
          <w:rFonts w:eastAsia="MS Mincho"/>
          <w:noProof/>
          <w:lang w:val="fr-FR"/>
        </w:rPr>
      </w:pPr>
      <w:r w:rsidRPr="00DF70F3">
        <w:rPr>
          <w:noProof/>
          <w:lang w:val="fr-FR"/>
        </w:rPr>
        <w:lastRenderedPageBreak/>
        <w:t>L’é</w:t>
      </w:r>
      <w:r w:rsidR="006D60A7" w:rsidRPr="00DF70F3">
        <w:rPr>
          <w:noProof/>
          <w:lang w:val="fr-FR"/>
        </w:rPr>
        <w:t xml:space="preserve">laboration et </w:t>
      </w:r>
      <w:r w:rsidRPr="00DF70F3">
        <w:rPr>
          <w:noProof/>
          <w:lang w:val="fr-FR"/>
        </w:rPr>
        <w:t xml:space="preserve">la </w:t>
      </w:r>
      <w:r w:rsidR="006D60A7" w:rsidRPr="00DF70F3">
        <w:rPr>
          <w:noProof/>
          <w:lang w:val="fr-FR"/>
        </w:rPr>
        <w:t>mise en œuvre de la campagne « Océans propres », à laquelle participent plus de 60 gouvernements, une enquête et un examen à mi-parcours étant réalisés afin</w:t>
      </w:r>
      <w:r w:rsidR="00596A25" w:rsidRPr="00DF70F3">
        <w:rPr>
          <w:noProof/>
          <w:lang w:val="fr-FR"/>
        </w:rPr>
        <w:t xml:space="preserve"> </w:t>
      </w:r>
      <w:r w:rsidR="006D60A7" w:rsidRPr="00DF70F3">
        <w:rPr>
          <w:noProof/>
          <w:lang w:val="fr-FR"/>
        </w:rPr>
        <w:t>d’</w:t>
      </w:r>
      <w:r w:rsidRPr="00DF70F3">
        <w:rPr>
          <w:noProof/>
          <w:lang w:val="fr-FR"/>
        </w:rPr>
        <w:t xml:space="preserve">en </w:t>
      </w:r>
      <w:r w:rsidR="006D60A7" w:rsidRPr="00DF70F3">
        <w:rPr>
          <w:noProof/>
          <w:lang w:val="fr-FR"/>
        </w:rPr>
        <w:t>assurer l’impact et de fournir une contribution à la planification visant à appuyer au mieux l’action à l’horizon </w:t>
      </w:r>
      <w:r w:rsidR="00596A25" w:rsidRPr="00DF70F3">
        <w:rPr>
          <w:noProof/>
          <w:lang w:val="fr-FR"/>
        </w:rPr>
        <w:t>2022.</w:t>
      </w:r>
      <w:r w:rsidR="006D60A7" w:rsidRPr="00DF70F3">
        <w:rPr>
          <w:noProof/>
          <w:lang w:val="fr-FR"/>
        </w:rPr>
        <w:t xml:space="preserve"> </w:t>
      </w:r>
      <w:r w:rsidR="00833476" w:rsidRPr="00DF70F3">
        <w:rPr>
          <w:noProof/>
          <w:lang w:val="fr-FR"/>
        </w:rPr>
        <w:t>D</w:t>
      </w:r>
      <w:r w:rsidR="006D60A7" w:rsidRPr="00DF70F3">
        <w:rPr>
          <w:noProof/>
          <w:lang w:val="fr-FR"/>
        </w:rPr>
        <w:t>es campagnes « Océans propres »</w:t>
      </w:r>
      <w:r w:rsidR="00596A25" w:rsidRPr="00DF70F3">
        <w:rPr>
          <w:noProof/>
          <w:lang w:val="fr-FR"/>
        </w:rPr>
        <w:t xml:space="preserve"> </w:t>
      </w:r>
      <w:r w:rsidR="00833476" w:rsidRPr="00DF70F3">
        <w:rPr>
          <w:noProof/>
          <w:lang w:val="fr-FR"/>
        </w:rPr>
        <w:t xml:space="preserve">régionales ont été lancées dans les Caraïbes et le Pacifique et plusieurs activités ont été mises en œuvre afin de renforcer l’action concernant les déchets et les </w:t>
      </w:r>
      <w:r w:rsidRPr="00DF70F3">
        <w:rPr>
          <w:noProof/>
          <w:lang w:val="fr-FR"/>
        </w:rPr>
        <w:t>micro</w:t>
      </w:r>
      <w:r w:rsidR="00833476" w:rsidRPr="00DF70F3">
        <w:rPr>
          <w:noProof/>
          <w:lang w:val="fr-FR"/>
        </w:rPr>
        <w:t>plastiques dans le milieu marin</w:t>
      </w:r>
      <w:r w:rsidR="00596A25" w:rsidRPr="00DF70F3">
        <w:rPr>
          <w:noProof/>
          <w:lang w:val="fr-FR"/>
        </w:rPr>
        <w:t>.</w:t>
      </w:r>
    </w:p>
    <w:p w14:paraId="3029DE98" w14:textId="485FD933" w:rsidR="00596A25" w:rsidRPr="00DF70F3" w:rsidRDefault="00B61505" w:rsidP="00B712F6">
      <w:pPr>
        <w:pStyle w:val="CH2"/>
        <w:rPr>
          <w:noProof/>
          <w:lang w:val="fr-FR"/>
        </w:rPr>
      </w:pPr>
      <w:r w:rsidRPr="00DF70F3">
        <w:rPr>
          <w:noProof/>
          <w:lang w:val="fr-FR"/>
        </w:rPr>
        <w:tab/>
      </w:r>
      <w:r w:rsidR="00596A25" w:rsidRPr="00DF70F3">
        <w:rPr>
          <w:noProof/>
          <w:lang w:val="fr-FR"/>
        </w:rPr>
        <w:t>B.</w:t>
      </w:r>
      <w:r w:rsidRPr="00DF70F3">
        <w:rPr>
          <w:noProof/>
          <w:lang w:val="fr-FR"/>
        </w:rPr>
        <w:tab/>
      </w:r>
      <w:r w:rsidR="0015588F" w:rsidRPr="00DF70F3">
        <w:rPr>
          <w:noProof/>
          <w:lang w:val="fr-FR"/>
        </w:rPr>
        <w:t>Application du paragraphe 2 de la résolution </w:t>
      </w:r>
      <w:r w:rsidR="00B40D6F" w:rsidRPr="00DF70F3">
        <w:rPr>
          <w:noProof/>
          <w:lang w:val="fr-FR"/>
        </w:rPr>
        <w:t>4/6</w:t>
      </w:r>
      <w:r w:rsidR="0015588F" w:rsidRPr="00DF70F3">
        <w:rPr>
          <w:noProof/>
          <w:lang w:val="fr-FR"/>
        </w:rPr>
        <w:t> </w:t>
      </w:r>
      <w:r w:rsidR="00B004DB" w:rsidRPr="00DF70F3">
        <w:rPr>
          <w:noProof/>
          <w:lang w:val="fr-FR"/>
        </w:rPr>
        <w:t xml:space="preserve">: </w:t>
      </w:r>
      <w:r w:rsidR="0015588F" w:rsidRPr="00DF70F3">
        <w:rPr>
          <w:noProof/>
          <w:lang w:val="fr-FR"/>
        </w:rPr>
        <w:t>renforcer les connaissances scientifiques et technologiques concernant les déchets marins, y compris les déchets plastiques et les microplastiques</w:t>
      </w:r>
      <w:r w:rsidR="00596A25" w:rsidRPr="00DF70F3">
        <w:rPr>
          <w:noProof/>
          <w:lang w:val="fr-FR"/>
        </w:rPr>
        <w:t xml:space="preserve"> </w:t>
      </w:r>
    </w:p>
    <w:p w14:paraId="0AB09D1A" w14:textId="1763DC32" w:rsidR="00596A25" w:rsidRPr="00DF70F3" w:rsidRDefault="0015588F" w:rsidP="00DD79A5">
      <w:pPr>
        <w:pStyle w:val="Normalnumber"/>
        <w:ind w:left="1276" w:firstLine="0"/>
        <w:rPr>
          <w:noProof/>
          <w:lang w:val="fr-FR"/>
        </w:rPr>
      </w:pPr>
      <w:r w:rsidRPr="00DF70F3">
        <w:rPr>
          <w:noProof/>
          <w:lang w:val="fr-FR"/>
        </w:rPr>
        <w:t>La Directrice exécutive du PNUE a convoqué un Comité consultatif scientifique</w:t>
      </w:r>
      <w:r w:rsidR="00596A25" w:rsidRPr="00DF70F3">
        <w:rPr>
          <w:rStyle w:val="FootnoteReference"/>
          <w:noProof/>
          <w:lang w:val="fr-FR"/>
        </w:rPr>
        <w:footnoteReference w:id="18"/>
      </w:r>
      <w:r w:rsidR="00596A25" w:rsidRPr="00DF70F3">
        <w:rPr>
          <w:noProof/>
          <w:lang w:val="fr-FR"/>
        </w:rPr>
        <w:t xml:space="preserve"> </w:t>
      </w:r>
      <w:r w:rsidRPr="00DF70F3">
        <w:rPr>
          <w:noProof/>
          <w:lang w:val="fr-FR"/>
        </w:rPr>
        <w:t>pour guider l’application du paragraphe 2 de la résolution </w:t>
      </w:r>
      <w:r w:rsidR="00596A25" w:rsidRPr="00DF70F3">
        <w:rPr>
          <w:noProof/>
          <w:lang w:val="fr-FR"/>
        </w:rPr>
        <w:t>4/6</w:t>
      </w:r>
      <w:r w:rsidR="002F573D" w:rsidRPr="00DF70F3">
        <w:rPr>
          <w:noProof/>
          <w:lang w:val="fr-FR"/>
        </w:rPr>
        <w:t>,</w:t>
      </w:r>
      <w:r w:rsidR="007E7B9D" w:rsidRPr="00DF70F3">
        <w:rPr>
          <w:noProof/>
          <w:lang w:val="fr-FR"/>
        </w:rPr>
        <w:t xml:space="preserve"> prévoyant la préparation d’une évaluation</w:t>
      </w:r>
      <w:r w:rsidRPr="00DF70F3">
        <w:rPr>
          <w:noProof/>
          <w:lang w:val="fr-FR"/>
        </w:rPr>
        <w:t xml:space="preserve"> </w:t>
      </w:r>
      <w:r w:rsidR="007E7B9D" w:rsidRPr="00DF70F3">
        <w:rPr>
          <w:noProof/>
          <w:lang w:val="fr-FR"/>
        </w:rPr>
        <w:t>des sources et des modes de déplacement des déchets et des risques y associés, y compris la pollution par les déchets plastiques et les microplastiques, conformément à l’alinéa b) du paragraphe 2</w:t>
      </w:r>
      <w:r w:rsidR="00596A25" w:rsidRPr="00DF70F3">
        <w:rPr>
          <w:noProof/>
          <w:lang w:val="fr-FR"/>
        </w:rPr>
        <w:t>.</w:t>
      </w:r>
      <w:r w:rsidR="007E7B9D" w:rsidRPr="00DF70F3">
        <w:rPr>
          <w:noProof/>
          <w:lang w:val="fr-FR"/>
        </w:rPr>
        <w:t xml:space="preserve"> Le PNUE a élaboré l’approche conceptuelle de l’évaluation, a établi des paramètres pour déterminer les domaines dans lesquels davantage de recherches sont nécessaires et s’est généralement appuyé sur le rapport du PNUE de 2016 intitulé « </w:t>
      </w:r>
      <w:r w:rsidR="00596A25" w:rsidRPr="00DF70F3">
        <w:rPr>
          <w:i/>
          <w:iCs/>
          <w:noProof/>
          <w:color w:val="000000" w:themeColor="text1"/>
          <w:lang w:val="fr-FR"/>
        </w:rPr>
        <w:t>Marine plastic debris and microplastics – Global lessons and research to inspire action and guide policy change</w:t>
      </w:r>
      <w:r w:rsidR="007E7B9D" w:rsidRPr="00DF70F3">
        <w:rPr>
          <w:i/>
          <w:iCs/>
          <w:noProof/>
          <w:color w:val="000000" w:themeColor="text1"/>
          <w:lang w:val="fr-FR"/>
        </w:rPr>
        <w:t> » (« Déchets plastiques et microplastiques dans le milieu marin : enseignements et travaux de recherche dans le monde pour inciter à agir et orienter le changement »)</w:t>
      </w:r>
      <w:r w:rsidR="00D16214" w:rsidRPr="00DF70F3">
        <w:rPr>
          <w:noProof/>
          <w:color w:val="000000" w:themeColor="text1"/>
          <w:lang w:val="fr-FR"/>
        </w:rPr>
        <w:t xml:space="preserve"> pour préparer l’évaluation</w:t>
      </w:r>
      <w:r w:rsidR="00CA4B8B" w:rsidRPr="00DF70F3">
        <w:rPr>
          <w:noProof/>
          <w:color w:val="000000" w:themeColor="text1"/>
          <w:lang w:val="fr-FR"/>
        </w:rPr>
        <w:t>.</w:t>
      </w:r>
      <w:r w:rsidR="00596A25" w:rsidRPr="00DF70F3">
        <w:rPr>
          <w:noProof/>
          <w:color w:val="000000" w:themeColor="text1"/>
          <w:lang w:val="fr-FR"/>
        </w:rPr>
        <w:t xml:space="preserve"> </w:t>
      </w:r>
      <w:r w:rsidR="00D16214" w:rsidRPr="00DF70F3">
        <w:rPr>
          <w:noProof/>
          <w:color w:val="000000" w:themeColor="text1"/>
          <w:lang w:val="fr-FR"/>
        </w:rPr>
        <w:t>Sur la base de l’évaluation, le PNUE recommandera également des indicateurs, conformément à la demande formulée à l’alinéa c) du paragraphe 2</w:t>
      </w:r>
      <w:r w:rsidR="00596A25" w:rsidRPr="00DF70F3">
        <w:rPr>
          <w:noProof/>
          <w:color w:val="000000" w:themeColor="text1"/>
          <w:lang w:val="fr-FR"/>
        </w:rPr>
        <w:t>.</w:t>
      </w:r>
      <w:r w:rsidR="00D16214" w:rsidRPr="00DF70F3">
        <w:rPr>
          <w:noProof/>
          <w:color w:val="000000" w:themeColor="text1"/>
          <w:lang w:val="fr-FR"/>
        </w:rPr>
        <w:t xml:space="preserve"> Le</w:t>
      </w:r>
      <w:r w:rsidR="009B18B2" w:rsidRPr="00DF70F3">
        <w:rPr>
          <w:noProof/>
          <w:color w:val="000000" w:themeColor="text1"/>
          <w:lang w:val="fr-FR"/>
        </w:rPr>
        <w:t> </w:t>
      </w:r>
      <w:r w:rsidR="00D16214" w:rsidRPr="00DF70F3">
        <w:rPr>
          <w:noProof/>
          <w:color w:val="000000" w:themeColor="text1"/>
          <w:lang w:val="fr-FR"/>
        </w:rPr>
        <w:t>rapport d’évaluation sera disponible en tant que document d’information pour la cinquième session de l’Assemblée pour l’environnement</w:t>
      </w:r>
      <w:r w:rsidR="00596A25" w:rsidRPr="00DF70F3">
        <w:rPr>
          <w:noProof/>
          <w:lang w:val="fr-FR"/>
        </w:rPr>
        <w:t xml:space="preserve">. </w:t>
      </w:r>
    </w:p>
    <w:p w14:paraId="54023965" w14:textId="2066CD85" w:rsidR="00596A25" w:rsidRPr="00DF70F3" w:rsidRDefault="00B61505" w:rsidP="00E33517">
      <w:pPr>
        <w:pStyle w:val="CH2"/>
        <w:rPr>
          <w:rFonts w:eastAsia="Calibri"/>
          <w:noProof/>
          <w:lang w:val="fr-FR"/>
        </w:rPr>
      </w:pPr>
      <w:bookmarkStart w:id="4" w:name="_Hlk55378917"/>
      <w:r w:rsidRPr="00DF70F3">
        <w:rPr>
          <w:noProof/>
          <w:lang w:val="fr-FR"/>
        </w:rPr>
        <w:tab/>
      </w:r>
      <w:r w:rsidR="00B712F6" w:rsidRPr="00DF70F3">
        <w:rPr>
          <w:noProof/>
          <w:lang w:val="fr-FR"/>
        </w:rPr>
        <w:t>C</w:t>
      </w:r>
      <w:r w:rsidRPr="00DF70F3">
        <w:rPr>
          <w:noProof/>
          <w:lang w:val="fr-FR"/>
        </w:rPr>
        <w:t>.</w:t>
      </w:r>
      <w:r w:rsidRPr="00DF70F3">
        <w:rPr>
          <w:noProof/>
          <w:lang w:val="fr-FR"/>
        </w:rPr>
        <w:tab/>
      </w:r>
      <w:r w:rsidR="00FF4B6D" w:rsidRPr="00DF70F3">
        <w:rPr>
          <w:noProof/>
          <w:lang w:val="fr-FR"/>
        </w:rPr>
        <w:t>Application du paragraphe 3 de la résolution </w:t>
      </w:r>
      <w:r w:rsidR="00B40D6F" w:rsidRPr="00DF70F3">
        <w:rPr>
          <w:noProof/>
          <w:lang w:val="fr-FR"/>
        </w:rPr>
        <w:t>4/6</w:t>
      </w:r>
      <w:r w:rsidR="00FF4B6D" w:rsidRPr="00DF70F3">
        <w:rPr>
          <w:noProof/>
          <w:lang w:val="fr-FR"/>
        </w:rPr>
        <w:t> </w:t>
      </w:r>
      <w:r w:rsidR="00B004DB" w:rsidRPr="00DF70F3">
        <w:rPr>
          <w:noProof/>
          <w:lang w:val="fr-FR"/>
        </w:rPr>
        <w:t xml:space="preserve">: </w:t>
      </w:r>
      <w:r w:rsidR="00FF4B6D" w:rsidRPr="00DF70F3">
        <w:rPr>
          <w:noProof/>
          <w:lang w:val="fr-FR"/>
        </w:rPr>
        <w:t>créer une plateforme numérique multipartite</w:t>
      </w:r>
      <w:r w:rsidR="00596A25" w:rsidRPr="00DF70F3">
        <w:rPr>
          <w:noProof/>
          <w:lang w:val="fr-FR"/>
        </w:rPr>
        <w:t xml:space="preserve"> </w:t>
      </w:r>
      <w:r w:rsidR="00FF4B6D" w:rsidRPr="00DF70F3">
        <w:rPr>
          <w:noProof/>
          <w:lang w:val="fr-FR"/>
        </w:rPr>
        <w:t>pour les déchets et les microplastiques dans le milieu marin</w:t>
      </w:r>
      <w:r w:rsidR="00596A25" w:rsidRPr="00DF70F3">
        <w:rPr>
          <w:noProof/>
          <w:lang w:val="fr-FR"/>
        </w:rPr>
        <w:t xml:space="preserve"> </w:t>
      </w:r>
      <w:bookmarkEnd w:id="4"/>
    </w:p>
    <w:p w14:paraId="3DA9D304" w14:textId="309AE68F" w:rsidR="00596A25" w:rsidRPr="00DF70F3" w:rsidRDefault="00FF4B6D" w:rsidP="00DD79A5">
      <w:pPr>
        <w:pStyle w:val="Normalnumber"/>
        <w:ind w:left="1276" w:firstLine="0"/>
        <w:rPr>
          <w:noProof/>
          <w:color w:val="000000"/>
          <w:lang w:val="fr-FR"/>
        </w:rPr>
      </w:pPr>
      <w:r w:rsidRPr="00DF70F3">
        <w:rPr>
          <w:noProof/>
          <w:lang w:val="fr-FR"/>
        </w:rPr>
        <w:t>Le PNUE</w:t>
      </w:r>
      <w:r w:rsidR="004A0C31" w:rsidRPr="00DF70F3">
        <w:rPr>
          <w:noProof/>
          <w:lang w:val="fr-FR"/>
        </w:rPr>
        <w:t>,</w:t>
      </w:r>
      <w:r w:rsidR="00596A25" w:rsidRPr="00DF70F3">
        <w:rPr>
          <w:noProof/>
          <w:lang w:val="fr-FR"/>
        </w:rPr>
        <w:t xml:space="preserve"> </w:t>
      </w:r>
      <w:r w:rsidRPr="00DF70F3">
        <w:rPr>
          <w:noProof/>
          <w:lang w:val="fr-FR"/>
        </w:rPr>
        <w:t>en</w:t>
      </w:r>
      <w:r w:rsidR="00596A25" w:rsidRPr="00DF70F3">
        <w:rPr>
          <w:noProof/>
          <w:lang w:val="fr-FR"/>
        </w:rPr>
        <w:t xml:space="preserve"> coop</w:t>
      </w:r>
      <w:r w:rsidRPr="00DF70F3">
        <w:rPr>
          <w:noProof/>
          <w:lang w:val="fr-FR"/>
        </w:rPr>
        <w:t>é</w:t>
      </w:r>
      <w:r w:rsidR="00596A25" w:rsidRPr="00DF70F3">
        <w:rPr>
          <w:noProof/>
          <w:lang w:val="fr-FR"/>
        </w:rPr>
        <w:t>ration</w:t>
      </w:r>
      <w:r w:rsidRPr="00DF70F3">
        <w:rPr>
          <w:noProof/>
          <w:lang w:val="fr-FR"/>
        </w:rPr>
        <w:t xml:space="preserve"> avec</w:t>
      </w:r>
      <w:r w:rsidR="00596A25" w:rsidRPr="00DF70F3">
        <w:rPr>
          <w:noProof/>
          <w:lang w:val="fr-FR"/>
        </w:rPr>
        <w:t xml:space="preserve"> </w:t>
      </w:r>
      <w:r w:rsidRPr="00DF70F3">
        <w:rPr>
          <w:noProof/>
          <w:lang w:val="fr-FR"/>
        </w:rPr>
        <w:t>le Forum science-politique-entreprises</w:t>
      </w:r>
      <w:r w:rsidR="00806F41" w:rsidRPr="00DF70F3">
        <w:rPr>
          <w:noProof/>
          <w:lang w:val="fr-FR"/>
        </w:rPr>
        <w:t>, lancera en février 2021 la phase 1 de la plateforme multipartite en tant qu’organe numérique</w:t>
      </w:r>
      <w:r w:rsidR="00596A25" w:rsidRPr="00DF70F3">
        <w:rPr>
          <w:noProof/>
          <w:lang w:val="fr-FR"/>
        </w:rPr>
        <w:t xml:space="preserve"> </w:t>
      </w:r>
      <w:r w:rsidR="00806F41" w:rsidRPr="00DF70F3">
        <w:rPr>
          <w:noProof/>
          <w:lang w:val="fr-FR"/>
        </w:rPr>
        <w:t>du</w:t>
      </w:r>
      <w:r w:rsidR="00596A25" w:rsidRPr="00DF70F3">
        <w:rPr>
          <w:noProof/>
          <w:lang w:val="fr-FR"/>
        </w:rPr>
        <w:t xml:space="preserve"> </w:t>
      </w:r>
      <w:r w:rsidR="00806F41" w:rsidRPr="00DF70F3">
        <w:rPr>
          <w:noProof/>
          <w:lang w:val="fr-FR"/>
        </w:rPr>
        <w:t>Partenariat mondial sur les déchets marins</w:t>
      </w:r>
      <w:r w:rsidR="00596A25" w:rsidRPr="00DF70F3">
        <w:rPr>
          <w:noProof/>
          <w:vertAlign w:val="superscript"/>
          <w:lang w:val="fr-FR"/>
        </w:rPr>
        <w:footnoteReference w:id="19"/>
      </w:r>
      <w:r w:rsidR="00806F41" w:rsidRPr="00DF70F3">
        <w:rPr>
          <w:noProof/>
          <w:lang w:val="fr-FR"/>
        </w:rPr>
        <w:t>. La plateforme facilitera la coordination entre les parties prenantes et visera à intégrer des données et des informations de multiples sources, à établir des connexions entre les parties prenantes, à déterminer les lacunes et aider à définir les mesures prioritaires, à coordonner et orienter l’action sur la base des meilleures connaissances scientifiques et informations disponibles ainsi qu’à faciliter l’établissement de cibles et la mesure des progrès, notamment en vue de la réalisation des objectifs de développement durable et d’autres objectifs, cibles et indicateurs</w:t>
      </w:r>
      <w:r w:rsidR="00596A25" w:rsidRPr="00DF70F3">
        <w:rPr>
          <w:noProof/>
          <w:color w:val="000000"/>
          <w:lang w:val="fr-FR"/>
        </w:rPr>
        <w:t xml:space="preserve">. </w:t>
      </w:r>
    </w:p>
    <w:p w14:paraId="37111FB0" w14:textId="7FD636AF" w:rsidR="00596A25" w:rsidRPr="00DF70F3" w:rsidRDefault="004E02FB" w:rsidP="00DD79A5">
      <w:pPr>
        <w:pStyle w:val="Normalnumber"/>
        <w:ind w:left="1276" w:firstLine="0"/>
        <w:rPr>
          <w:noProof/>
          <w:color w:val="000000"/>
          <w:lang w:val="fr-FR"/>
        </w:rPr>
      </w:pPr>
      <w:r w:rsidRPr="00DF70F3">
        <w:rPr>
          <w:noProof/>
          <w:color w:val="000000"/>
          <w:lang w:val="fr-FR"/>
        </w:rPr>
        <w:t>Une démonstration pilote de la cartographie des données et</w:t>
      </w:r>
      <w:r w:rsidR="00596A25" w:rsidRPr="00DF70F3">
        <w:rPr>
          <w:noProof/>
          <w:color w:val="000000"/>
          <w:lang w:val="fr-FR"/>
        </w:rPr>
        <w:t xml:space="preserve"> </w:t>
      </w:r>
      <w:r w:rsidRPr="00DF70F3">
        <w:rPr>
          <w:noProof/>
          <w:color w:val="000000"/>
          <w:lang w:val="fr-FR"/>
        </w:rPr>
        <w:t xml:space="preserve">de la partie recherche de la plateforme a été </w:t>
      </w:r>
      <w:r w:rsidR="005971C7" w:rsidRPr="00DF70F3">
        <w:rPr>
          <w:noProof/>
          <w:color w:val="000000"/>
          <w:lang w:val="fr-FR"/>
        </w:rPr>
        <w:t>élaborée</w:t>
      </w:r>
      <w:r w:rsidRPr="00DF70F3">
        <w:rPr>
          <w:noProof/>
          <w:color w:val="000000"/>
          <w:lang w:val="fr-FR"/>
        </w:rPr>
        <w:t xml:space="preserve"> en partenariat avec</w:t>
      </w:r>
      <w:r w:rsidR="005971C7" w:rsidRPr="00DF70F3">
        <w:rPr>
          <w:noProof/>
          <w:color w:val="000000"/>
          <w:lang w:val="fr-FR"/>
        </w:rPr>
        <w:t xml:space="preserve"> </w:t>
      </w:r>
      <w:r w:rsidR="003B4BA2" w:rsidRPr="00DF70F3">
        <w:rPr>
          <w:noProof/>
          <w:color w:val="000000"/>
          <w:lang w:val="fr-FR"/>
        </w:rPr>
        <w:t>International Business Machines Corporation (</w:t>
      </w:r>
      <w:r w:rsidR="00596A25" w:rsidRPr="00DF70F3">
        <w:rPr>
          <w:noProof/>
          <w:color w:val="000000"/>
          <w:lang w:val="fr-FR"/>
        </w:rPr>
        <w:t>IBM</w:t>
      </w:r>
      <w:r w:rsidR="003B4BA2" w:rsidRPr="00DF70F3">
        <w:rPr>
          <w:noProof/>
          <w:color w:val="000000"/>
          <w:lang w:val="fr-FR"/>
        </w:rPr>
        <w:t>)</w:t>
      </w:r>
      <w:r w:rsidR="00596A25" w:rsidRPr="00DF70F3">
        <w:rPr>
          <w:noProof/>
          <w:color w:val="000000"/>
          <w:lang w:val="fr-FR"/>
        </w:rPr>
        <w:t xml:space="preserve"> </w:t>
      </w:r>
      <w:r w:rsidR="005971C7" w:rsidRPr="00DF70F3">
        <w:rPr>
          <w:noProof/>
          <w:color w:val="000000"/>
          <w:lang w:val="fr-FR"/>
        </w:rPr>
        <w:t>et finalisée en juin </w:t>
      </w:r>
      <w:r w:rsidR="00596A25" w:rsidRPr="00DF70F3">
        <w:rPr>
          <w:noProof/>
          <w:color w:val="000000"/>
          <w:lang w:val="fr-FR"/>
        </w:rPr>
        <w:t>2020</w:t>
      </w:r>
      <w:r w:rsidR="00596A25" w:rsidRPr="00DF70F3">
        <w:rPr>
          <w:rStyle w:val="FootnoteReference"/>
          <w:noProof/>
          <w:lang w:val="fr-FR"/>
        </w:rPr>
        <w:footnoteReference w:id="20"/>
      </w:r>
      <w:r w:rsidR="005971C7" w:rsidRPr="00DF70F3">
        <w:rPr>
          <w:noProof/>
          <w:color w:val="000000"/>
          <w:lang w:val="fr-FR"/>
        </w:rPr>
        <w:t>. La démonstration</w:t>
      </w:r>
      <w:r w:rsidR="004A23D8" w:rsidRPr="00DF70F3">
        <w:rPr>
          <w:noProof/>
          <w:color w:val="000000"/>
          <w:lang w:val="fr-FR"/>
        </w:rPr>
        <w:t xml:space="preserve"> a mis en évidence l’utilité d’intégrer et d’analyser les données issues des sciences participatives pour </w:t>
      </w:r>
      <w:r w:rsidR="00874108" w:rsidRPr="00DF70F3">
        <w:rPr>
          <w:noProof/>
          <w:color w:val="000000"/>
          <w:lang w:val="fr-FR"/>
        </w:rPr>
        <w:t>pouvoir accomplir</w:t>
      </w:r>
      <w:r w:rsidR="004A23D8" w:rsidRPr="00DF70F3">
        <w:rPr>
          <w:noProof/>
          <w:color w:val="000000"/>
          <w:lang w:val="fr-FR"/>
        </w:rPr>
        <w:t xml:space="preserve"> des progrès en matière de communication des informations en vue de la réalisation du sous-indicateur </w:t>
      </w:r>
      <w:r w:rsidR="00596A25" w:rsidRPr="00DF70F3">
        <w:rPr>
          <w:noProof/>
          <w:color w:val="000000"/>
          <w:lang w:val="fr-FR"/>
        </w:rPr>
        <w:t>14.1.1.b</w:t>
      </w:r>
      <w:r w:rsidR="004A23D8" w:rsidRPr="00DF70F3">
        <w:rPr>
          <w:noProof/>
          <w:color w:val="000000"/>
          <w:lang w:val="fr-FR"/>
        </w:rPr>
        <w:t xml:space="preserve"> des objectifs de développement durable</w:t>
      </w:r>
      <w:r w:rsidR="00874108" w:rsidRPr="00DF70F3">
        <w:rPr>
          <w:noProof/>
          <w:color w:val="000000"/>
          <w:lang w:val="fr-FR"/>
        </w:rPr>
        <w:t xml:space="preserve"> et</w:t>
      </w:r>
      <w:r w:rsidR="00596A25" w:rsidRPr="00DF70F3">
        <w:rPr>
          <w:noProof/>
          <w:color w:val="000000"/>
          <w:lang w:val="fr-FR"/>
        </w:rPr>
        <w:t xml:space="preserve"> </w:t>
      </w:r>
      <w:r w:rsidR="00874108" w:rsidRPr="00DF70F3">
        <w:rPr>
          <w:noProof/>
          <w:color w:val="000000"/>
          <w:lang w:val="fr-FR"/>
        </w:rPr>
        <w:t>permis d’examiner comment un avatar numérique pourrait encourager un engagement émotionnel tout en fournissant un contenu personnalisé</w:t>
      </w:r>
      <w:r w:rsidR="00596A25" w:rsidRPr="00DF70F3">
        <w:rPr>
          <w:noProof/>
          <w:color w:val="000000"/>
          <w:lang w:val="fr-FR"/>
        </w:rPr>
        <w:t>.</w:t>
      </w:r>
      <w:r w:rsidR="00874108" w:rsidRPr="00DF70F3">
        <w:rPr>
          <w:noProof/>
          <w:color w:val="000000"/>
          <w:lang w:val="fr-FR"/>
        </w:rPr>
        <w:t xml:space="preserve"> À la suite de la démonstration pilote lors </w:t>
      </w:r>
      <w:r w:rsidR="00E23F8D" w:rsidRPr="00DF70F3">
        <w:rPr>
          <w:noProof/>
          <w:color w:val="000000"/>
          <w:lang w:val="fr-FR"/>
        </w:rPr>
        <w:t>du</w:t>
      </w:r>
      <w:r w:rsidR="00874108" w:rsidRPr="00DF70F3">
        <w:rPr>
          <w:noProof/>
          <w:color w:val="000000"/>
          <w:lang w:val="fr-FR"/>
        </w:rPr>
        <w:t xml:space="preserve"> forum mondial en ligne </w:t>
      </w:r>
      <w:r w:rsidR="00596A25" w:rsidRPr="00DF70F3">
        <w:rPr>
          <w:noProof/>
          <w:color w:val="000000"/>
          <w:lang w:val="fr-FR"/>
        </w:rPr>
        <w:t>Act#ForNature,</w:t>
      </w:r>
      <w:r w:rsidR="00874108" w:rsidRPr="00DF70F3">
        <w:rPr>
          <w:noProof/>
          <w:color w:val="000000"/>
          <w:lang w:val="fr-FR"/>
        </w:rPr>
        <w:t xml:space="preserve"> une architecture conceptuelle a été créée pour orienter </w:t>
      </w:r>
      <w:r w:rsidR="00334DC6" w:rsidRPr="00DF70F3">
        <w:rPr>
          <w:noProof/>
          <w:color w:val="000000"/>
          <w:lang w:val="fr-FR"/>
        </w:rPr>
        <w:t>plus avant la conception et la mise en place de la plateforme</w:t>
      </w:r>
      <w:r w:rsidR="00596A25" w:rsidRPr="00DF70F3">
        <w:rPr>
          <w:noProof/>
          <w:color w:val="000000"/>
          <w:lang w:val="fr-FR"/>
        </w:rPr>
        <w:t xml:space="preserve">. </w:t>
      </w:r>
    </w:p>
    <w:p w14:paraId="26F9779C" w14:textId="4B23BD4A" w:rsidR="00596A25" w:rsidRPr="00DF70F3" w:rsidRDefault="00D268B0" w:rsidP="00DD79A5">
      <w:pPr>
        <w:pStyle w:val="Normalnumber"/>
        <w:ind w:left="1276" w:firstLine="0"/>
        <w:rPr>
          <w:noProof/>
          <w:color w:val="000000"/>
          <w:lang w:val="fr-FR"/>
        </w:rPr>
      </w:pPr>
      <w:r w:rsidRPr="00DF70F3">
        <w:rPr>
          <w:noProof/>
          <w:color w:val="000000"/>
          <w:lang w:val="fr-FR"/>
        </w:rPr>
        <w:t>Une vaste consultation des parties prenantes a été menée afin d’établir des partenariats stratégiques, technologiques et en matière de données</w:t>
      </w:r>
      <w:r w:rsidR="00596A25" w:rsidRPr="00DF70F3">
        <w:rPr>
          <w:noProof/>
          <w:color w:val="000000"/>
          <w:vertAlign w:val="superscript"/>
          <w:lang w:val="fr-FR"/>
        </w:rPr>
        <w:footnoteReference w:id="21"/>
      </w:r>
      <w:r w:rsidRPr="00DF70F3">
        <w:rPr>
          <w:noProof/>
          <w:color w:val="000000"/>
          <w:lang w:val="fr-FR"/>
        </w:rPr>
        <w:t>. Cette</w:t>
      </w:r>
      <w:r w:rsidR="00596A25" w:rsidRPr="00DF70F3">
        <w:rPr>
          <w:noProof/>
          <w:color w:val="000000"/>
          <w:lang w:val="fr-FR"/>
        </w:rPr>
        <w:t xml:space="preserve"> </w:t>
      </w:r>
      <w:r w:rsidR="007A21E4" w:rsidRPr="00DF70F3">
        <w:rPr>
          <w:noProof/>
          <w:color w:val="000000"/>
          <w:lang w:val="fr-FR"/>
        </w:rPr>
        <w:t xml:space="preserve">consultation </w:t>
      </w:r>
      <w:r w:rsidRPr="00DF70F3">
        <w:rPr>
          <w:noProof/>
          <w:color w:val="000000"/>
          <w:lang w:val="fr-FR"/>
        </w:rPr>
        <w:t xml:space="preserve">a également éclairé l’élaboration de la phase 1 de la plateforme, qui s’appuie sur la démonstration pilote pour fournir un accès aux informations contenues dans </w:t>
      </w:r>
      <w:r w:rsidR="002F5FA8" w:rsidRPr="00DF70F3">
        <w:rPr>
          <w:noProof/>
          <w:color w:val="000000"/>
          <w:lang w:val="fr-FR"/>
        </w:rPr>
        <w:t>d</w:t>
      </w:r>
      <w:r w:rsidRPr="00DF70F3">
        <w:rPr>
          <w:noProof/>
          <w:color w:val="000000"/>
          <w:lang w:val="fr-FR"/>
        </w:rPr>
        <w:t>es bases de données internes et externes</w:t>
      </w:r>
      <w:r w:rsidR="002F5FA8" w:rsidRPr="00DF70F3">
        <w:rPr>
          <w:noProof/>
          <w:color w:val="000000"/>
          <w:lang w:val="fr-FR"/>
        </w:rPr>
        <w:t xml:space="preserve"> par le biais d’un </w:t>
      </w:r>
      <w:r w:rsidR="002F5FA8" w:rsidRPr="00DF70F3">
        <w:rPr>
          <w:noProof/>
          <w:color w:val="000000"/>
          <w:lang w:val="fr-FR"/>
        </w:rPr>
        <w:lastRenderedPageBreak/>
        <w:t>portail unique</w:t>
      </w:r>
      <w:r w:rsidR="00596A25" w:rsidRPr="00DF70F3">
        <w:rPr>
          <w:noProof/>
          <w:color w:val="000000"/>
          <w:lang w:val="fr-FR"/>
        </w:rPr>
        <w:t>.</w:t>
      </w:r>
      <w:r w:rsidR="002F5FA8" w:rsidRPr="00DF70F3">
        <w:rPr>
          <w:noProof/>
          <w:color w:val="000000"/>
          <w:lang w:val="fr-FR"/>
        </w:rPr>
        <w:t xml:space="preserve"> Les parties prenantes, notamment les gouvernements, la communauté scientifique et technique, les entreprises et les organisations non gouvernementales, pourront </w:t>
      </w:r>
      <w:r w:rsidR="00E23F8D" w:rsidRPr="00DF70F3">
        <w:rPr>
          <w:noProof/>
          <w:color w:val="000000"/>
          <w:lang w:val="fr-FR"/>
        </w:rPr>
        <w:t>utiliser</w:t>
      </w:r>
      <w:r w:rsidR="002F5FA8" w:rsidRPr="00DF70F3">
        <w:rPr>
          <w:noProof/>
          <w:color w:val="000000"/>
          <w:lang w:val="fr-FR"/>
        </w:rPr>
        <w:t xml:space="preserve"> la plateforme pour trouver des données et des informations, </w:t>
      </w:r>
      <w:r w:rsidR="00E23F8D" w:rsidRPr="00DF70F3">
        <w:rPr>
          <w:noProof/>
          <w:color w:val="000000"/>
          <w:lang w:val="fr-FR"/>
        </w:rPr>
        <w:t xml:space="preserve">avoir recours à des </w:t>
      </w:r>
      <w:r w:rsidR="002F5FA8" w:rsidRPr="00DF70F3">
        <w:rPr>
          <w:noProof/>
          <w:color w:val="000000"/>
          <w:lang w:val="fr-FR"/>
        </w:rPr>
        <w:t>outils de cartographie et</w:t>
      </w:r>
      <w:r w:rsidR="00045A35" w:rsidRPr="00DF70F3">
        <w:rPr>
          <w:noProof/>
          <w:color w:val="000000"/>
          <w:lang w:val="fr-FR"/>
        </w:rPr>
        <w:t xml:space="preserve"> d’organisation des données en couches et interagir avec d’autres utilisateurs</w:t>
      </w:r>
      <w:r w:rsidR="00596A25" w:rsidRPr="00DF70F3">
        <w:rPr>
          <w:noProof/>
          <w:color w:val="000000"/>
          <w:lang w:val="fr-FR"/>
        </w:rPr>
        <w:t xml:space="preserve">. </w:t>
      </w:r>
    </w:p>
    <w:p w14:paraId="007F7924" w14:textId="69B0B874" w:rsidR="00222565" w:rsidRPr="00DF70F3" w:rsidRDefault="00045A35" w:rsidP="00DD79A5">
      <w:pPr>
        <w:pStyle w:val="Normalnumber"/>
        <w:ind w:left="1276" w:firstLine="0"/>
        <w:rPr>
          <w:noProof/>
          <w:color w:val="000000"/>
          <w:lang w:val="fr-FR"/>
        </w:rPr>
      </w:pPr>
      <w:r w:rsidRPr="00DF70F3">
        <w:rPr>
          <w:noProof/>
          <w:color w:val="000000"/>
          <w:lang w:val="fr-FR"/>
        </w:rPr>
        <w:t>La plateforme contiendra des séries de données et des couches de données, notamment un modèle</w:t>
      </w:r>
      <w:r w:rsidR="00222565" w:rsidRPr="00DF70F3">
        <w:rPr>
          <w:noProof/>
          <w:color w:val="000000"/>
          <w:lang w:val="fr-FR"/>
        </w:rPr>
        <w:t xml:space="preserve"> </w:t>
      </w:r>
      <w:r w:rsidRPr="00DF70F3">
        <w:rPr>
          <w:noProof/>
          <w:color w:val="000000"/>
          <w:lang w:val="fr-FR"/>
        </w:rPr>
        <w:t>des flux de plastiques</w:t>
      </w:r>
      <w:r w:rsidR="00A3360E" w:rsidRPr="00DF70F3">
        <w:rPr>
          <w:rStyle w:val="FootnoteReference"/>
          <w:noProof/>
          <w:lang w:val="fr-FR"/>
        </w:rPr>
        <w:footnoteReference w:id="22"/>
      </w:r>
      <w:r w:rsidR="00596A25" w:rsidRPr="00DF70F3">
        <w:rPr>
          <w:noProof/>
          <w:lang w:val="fr-FR"/>
        </w:rPr>
        <w:t xml:space="preserve"> </w:t>
      </w:r>
      <w:r w:rsidRPr="00DF70F3">
        <w:rPr>
          <w:noProof/>
          <w:lang w:val="fr-FR"/>
        </w:rPr>
        <w:t>évaluant la manière dont les déchets se déplacent</w:t>
      </w:r>
      <w:r w:rsidR="00596A25" w:rsidRPr="00DF70F3">
        <w:rPr>
          <w:noProof/>
          <w:lang w:val="fr-FR"/>
        </w:rPr>
        <w:t xml:space="preserve"> </w:t>
      </w:r>
      <w:r w:rsidRPr="00DF70F3">
        <w:rPr>
          <w:noProof/>
          <w:lang w:val="fr-FR"/>
        </w:rPr>
        <w:t>dans l’environnement</w:t>
      </w:r>
      <w:r w:rsidR="00596A25" w:rsidRPr="00DF70F3">
        <w:rPr>
          <w:noProof/>
          <w:lang w:val="fr-FR"/>
        </w:rPr>
        <w:t xml:space="preserve">, </w:t>
      </w:r>
      <w:r w:rsidRPr="00DF70F3">
        <w:rPr>
          <w:noProof/>
          <w:lang w:val="fr-FR"/>
        </w:rPr>
        <w:t>une panoplie d’outils politiques</w:t>
      </w:r>
      <w:r w:rsidR="00A3360E" w:rsidRPr="00DF70F3">
        <w:rPr>
          <w:rStyle w:val="FootnoteReference"/>
          <w:noProof/>
          <w:lang w:val="fr-FR"/>
        </w:rPr>
        <w:footnoteReference w:id="23"/>
      </w:r>
      <w:r w:rsidR="00596A25" w:rsidRPr="00DF70F3">
        <w:rPr>
          <w:noProof/>
          <w:lang w:val="fr-FR"/>
        </w:rPr>
        <w:t xml:space="preserve"> </w:t>
      </w:r>
      <w:r w:rsidR="003911F6" w:rsidRPr="00DF70F3">
        <w:rPr>
          <w:noProof/>
          <w:lang w:val="fr-FR"/>
        </w:rPr>
        <w:t>accompagnée d’informations sur les législations nationales du monde entier</w:t>
      </w:r>
      <w:r w:rsidR="00596A25" w:rsidRPr="00DF70F3">
        <w:rPr>
          <w:noProof/>
          <w:color w:val="000000"/>
          <w:lang w:val="fr-FR"/>
        </w:rPr>
        <w:t>,</w:t>
      </w:r>
      <w:r w:rsidR="003911F6" w:rsidRPr="00DF70F3">
        <w:rPr>
          <w:noProof/>
          <w:color w:val="000000"/>
          <w:lang w:val="fr-FR"/>
        </w:rPr>
        <w:t xml:space="preserve"> un inventaire technologique des déchets marins</w:t>
      </w:r>
      <w:r w:rsidR="00A3360E" w:rsidRPr="00DF70F3">
        <w:rPr>
          <w:rStyle w:val="FootnoteReference"/>
          <w:noProof/>
          <w:lang w:val="fr-FR"/>
        </w:rPr>
        <w:footnoteReference w:id="24"/>
      </w:r>
      <w:r w:rsidR="00596A25" w:rsidRPr="00DF70F3">
        <w:rPr>
          <w:noProof/>
          <w:lang w:val="fr-FR"/>
        </w:rPr>
        <w:t xml:space="preserve"> </w:t>
      </w:r>
      <w:r w:rsidR="003911F6" w:rsidRPr="00DF70F3">
        <w:rPr>
          <w:noProof/>
          <w:lang w:val="fr-FR"/>
        </w:rPr>
        <w:t>et un</w:t>
      </w:r>
      <w:r w:rsidR="00596A25" w:rsidRPr="00DF70F3">
        <w:rPr>
          <w:noProof/>
          <w:lang w:val="fr-FR"/>
        </w:rPr>
        <w:t xml:space="preserve"> </w:t>
      </w:r>
      <w:r w:rsidR="00E87E79" w:rsidRPr="00DF70F3">
        <w:rPr>
          <w:noProof/>
          <w:lang w:val="fr-FR"/>
        </w:rPr>
        <w:t>répertoire en ligne des activités en cours et des mesures prises pour réduire les plastiques et les microplastiques dans le milieu marin</w:t>
      </w:r>
      <w:r w:rsidR="00A3360E" w:rsidRPr="00DF70F3">
        <w:rPr>
          <w:rStyle w:val="FootnoteReference"/>
          <w:noProof/>
          <w:lang w:val="fr-FR"/>
        </w:rPr>
        <w:footnoteReference w:id="25"/>
      </w:r>
      <w:r w:rsidR="00E40235" w:rsidRPr="00DF70F3">
        <w:rPr>
          <w:noProof/>
          <w:lang w:val="fr-FR"/>
        </w:rPr>
        <w:t xml:space="preserve"> </w:t>
      </w:r>
      <w:r w:rsidR="00E87E79" w:rsidRPr="00DF70F3">
        <w:rPr>
          <w:noProof/>
          <w:lang w:val="fr-FR"/>
        </w:rPr>
        <w:t>ainsi qu’un inventaire des tableaux de bord et des plans d’action visant à lutter contre les déchets marins</w:t>
      </w:r>
      <w:r w:rsidR="00596A25" w:rsidRPr="00DF70F3">
        <w:rPr>
          <w:noProof/>
          <w:lang w:val="fr-FR"/>
        </w:rPr>
        <w:t>.</w:t>
      </w:r>
      <w:r w:rsidR="00E87E79" w:rsidRPr="00DF70F3">
        <w:rPr>
          <w:noProof/>
          <w:lang w:val="fr-FR"/>
        </w:rPr>
        <w:t xml:space="preserve"> </w:t>
      </w:r>
      <w:r w:rsidR="00EE5844" w:rsidRPr="00DF70F3">
        <w:rPr>
          <w:noProof/>
          <w:lang w:val="fr-FR"/>
        </w:rPr>
        <w:t>D’</w:t>
      </w:r>
      <w:r w:rsidR="00E87E79" w:rsidRPr="00DF70F3">
        <w:rPr>
          <w:noProof/>
          <w:lang w:val="fr-FR"/>
        </w:rPr>
        <w:t>autres outils</w:t>
      </w:r>
      <w:r w:rsidR="00EE5844" w:rsidRPr="00DF70F3">
        <w:rPr>
          <w:noProof/>
          <w:lang w:val="fr-FR"/>
        </w:rPr>
        <w:t>,</w:t>
      </w:r>
      <w:r w:rsidR="008A79A6" w:rsidRPr="00DF70F3">
        <w:rPr>
          <w:noProof/>
          <w:lang w:val="fr-FR"/>
        </w:rPr>
        <w:t xml:space="preserve"> </w:t>
      </w:r>
      <w:r w:rsidR="00EE5844" w:rsidRPr="00DF70F3">
        <w:rPr>
          <w:noProof/>
          <w:lang w:val="fr-FR"/>
        </w:rPr>
        <w:t>pour lesquels des</w:t>
      </w:r>
      <w:r w:rsidR="008A79A6" w:rsidRPr="00DF70F3">
        <w:rPr>
          <w:noProof/>
          <w:lang w:val="fr-FR"/>
        </w:rPr>
        <w:t xml:space="preserve"> démonstrations pilotes</w:t>
      </w:r>
      <w:r w:rsidR="00EE5844" w:rsidRPr="00DF70F3">
        <w:rPr>
          <w:noProof/>
          <w:lang w:val="fr-FR"/>
        </w:rPr>
        <w:t xml:space="preserve"> sont prévues,</w:t>
      </w:r>
      <w:r w:rsidR="00E87E79" w:rsidRPr="00DF70F3">
        <w:rPr>
          <w:noProof/>
          <w:lang w:val="fr-FR"/>
        </w:rPr>
        <w:t xml:space="preserve"> </w:t>
      </w:r>
      <w:r w:rsidR="00EE5844" w:rsidRPr="00DF70F3">
        <w:rPr>
          <w:noProof/>
          <w:lang w:val="fr-FR"/>
        </w:rPr>
        <w:t xml:space="preserve">sont </w:t>
      </w:r>
      <w:r w:rsidR="00E87E79" w:rsidRPr="00DF70F3">
        <w:rPr>
          <w:noProof/>
          <w:lang w:val="fr-FR"/>
        </w:rPr>
        <w:t>en cours d’élaboration</w:t>
      </w:r>
      <w:r w:rsidR="00EE5844" w:rsidRPr="00DF70F3">
        <w:rPr>
          <w:noProof/>
          <w:lang w:val="fr-FR"/>
        </w:rPr>
        <w:t xml:space="preserve">, notamment </w:t>
      </w:r>
      <w:r w:rsidR="00E87E79" w:rsidRPr="00DF70F3">
        <w:rPr>
          <w:noProof/>
          <w:lang w:val="fr-FR"/>
        </w:rPr>
        <w:t xml:space="preserve">des interfaces pour des inventaires </w:t>
      </w:r>
      <w:r w:rsidR="008A79A6" w:rsidRPr="00DF70F3">
        <w:rPr>
          <w:noProof/>
          <w:lang w:val="fr-FR"/>
        </w:rPr>
        <w:t>de ressources et mécanismes techniques et financiers, l’interopérabilité entre</w:t>
      </w:r>
      <w:r w:rsidR="00596A25" w:rsidRPr="00DF70F3">
        <w:rPr>
          <w:noProof/>
          <w:lang w:val="fr-FR"/>
        </w:rPr>
        <w:t xml:space="preserve"> </w:t>
      </w:r>
      <w:r w:rsidR="008A79A6" w:rsidRPr="00DF70F3">
        <w:rPr>
          <w:noProof/>
          <w:lang w:val="fr-FR"/>
        </w:rPr>
        <w:t>les modèles ainsi que des fonctionnalités de mise en relation</w:t>
      </w:r>
      <w:r w:rsidR="00596A25" w:rsidRPr="00DF70F3">
        <w:rPr>
          <w:noProof/>
          <w:lang w:val="fr-FR"/>
        </w:rPr>
        <w:t xml:space="preserve">. </w:t>
      </w:r>
    </w:p>
    <w:p w14:paraId="4B6E58E3" w14:textId="4BB74EA8" w:rsidR="00596A25" w:rsidRPr="00DF70F3" w:rsidRDefault="008A79A6" w:rsidP="00DD79A5">
      <w:pPr>
        <w:pStyle w:val="Normalnumber"/>
        <w:ind w:left="1276" w:firstLine="0"/>
        <w:rPr>
          <w:noProof/>
          <w:color w:val="000000"/>
          <w:lang w:val="fr-FR"/>
        </w:rPr>
      </w:pPr>
      <w:r w:rsidRPr="00DF70F3">
        <w:rPr>
          <w:noProof/>
          <w:color w:val="000000"/>
          <w:lang w:val="fr-FR"/>
        </w:rPr>
        <w:t>Des évaluations</w:t>
      </w:r>
      <w:r w:rsidR="007871C5" w:rsidRPr="00DF70F3">
        <w:rPr>
          <w:noProof/>
          <w:color w:val="000000"/>
          <w:lang w:val="fr-FR"/>
        </w:rPr>
        <w:t xml:space="preserve"> supplémentaires de pays partenaires et d’autres groupes d’utilisateurs aideront à confirmer les priorités pour une série de demandes de publications échelonnées commençant début</w:t>
      </w:r>
      <w:r w:rsidR="00A86392" w:rsidRPr="00DF70F3">
        <w:rPr>
          <w:noProof/>
          <w:color w:val="000000"/>
          <w:lang w:val="fr-FR"/>
        </w:rPr>
        <w:t> </w:t>
      </w:r>
      <w:r w:rsidR="007871C5" w:rsidRPr="00DF70F3">
        <w:rPr>
          <w:noProof/>
          <w:color w:val="000000"/>
          <w:lang w:val="fr-FR"/>
        </w:rPr>
        <w:t>2021</w:t>
      </w:r>
      <w:r w:rsidR="00596A25" w:rsidRPr="00DF70F3">
        <w:rPr>
          <w:noProof/>
          <w:color w:val="000000"/>
          <w:lang w:val="fr-FR"/>
        </w:rPr>
        <w:t xml:space="preserve">. </w:t>
      </w:r>
      <w:r w:rsidR="007871C5" w:rsidRPr="00DF70F3">
        <w:rPr>
          <w:noProof/>
          <w:color w:val="000000"/>
          <w:lang w:val="fr-FR"/>
        </w:rPr>
        <w:t>La</w:t>
      </w:r>
      <w:r w:rsidR="00596A25" w:rsidRPr="00DF70F3">
        <w:rPr>
          <w:noProof/>
          <w:color w:val="000000"/>
          <w:lang w:val="fr-FR"/>
        </w:rPr>
        <w:t xml:space="preserve"> coordination </w:t>
      </w:r>
      <w:r w:rsidR="007871C5" w:rsidRPr="00DF70F3">
        <w:rPr>
          <w:noProof/>
          <w:color w:val="000000"/>
          <w:lang w:val="fr-FR"/>
        </w:rPr>
        <w:t>et la poursuite de la mise en place de la plateforme seront appuyées par le</w:t>
      </w:r>
      <w:r w:rsidR="006E26AD" w:rsidRPr="00DF70F3">
        <w:rPr>
          <w:noProof/>
          <w:color w:val="000000"/>
          <w:lang w:val="fr-FR"/>
        </w:rPr>
        <w:t>s « pistes d’action » du</w:t>
      </w:r>
      <w:r w:rsidR="00596A25" w:rsidRPr="00DF70F3">
        <w:rPr>
          <w:noProof/>
          <w:color w:val="000000"/>
          <w:lang w:val="fr-FR"/>
        </w:rPr>
        <w:t xml:space="preserve"> </w:t>
      </w:r>
      <w:r w:rsidR="006E26AD" w:rsidRPr="00DF70F3">
        <w:rPr>
          <w:noProof/>
          <w:color w:val="000000"/>
          <w:lang w:val="fr-FR"/>
        </w:rPr>
        <w:t>Partenariat mondial sur les déchets marins</w:t>
      </w:r>
      <w:r w:rsidR="00596A25" w:rsidRPr="00DF70F3">
        <w:rPr>
          <w:noProof/>
          <w:color w:val="000000"/>
          <w:lang w:val="fr-FR"/>
        </w:rPr>
        <w:t>,</w:t>
      </w:r>
      <w:r w:rsidR="006E26AD" w:rsidRPr="00DF70F3">
        <w:rPr>
          <w:noProof/>
          <w:color w:val="000000"/>
          <w:lang w:val="fr-FR"/>
        </w:rPr>
        <w:t xml:space="preserve"> qui doivent être lancées en février </w:t>
      </w:r>
      <w:r w:rsidR="00596A25" w:rsidRPr="00DF70F3">
        <w:rPr>
          <w:noProof/>
          <w:color w:val="000000"/>
          <w:lang w:val="fr-FR"/>
        </w:rPr>
        <w:t>2021.</w:t>
      </w:r>
    </w:p>
    <w:p w14:paraId="4AFB857F" w14:textId="76B3F697" w:rsidR="00596A25" w:rsidRPr="00DF70F3" w:rsidRDefault="00B61505" w:rsidP="00E33517">
      <w:pPr>
        <w:pStyle w:val="CH2"/>
        <w:rPr>
          <w:noProof/>
          <w:lang w:val="fr-FR"/>
        </w:rPr>
      </w:pPr>
      <w:r w:rsidRPr="00DF70F3">
        <w:rPr>
          <w:noProof/>
          <w:lang w:val="fr-FR"/>
        </w:rPr>
        <w:tab/>
      </w:r>
      <w:r w:rsidR="00547EE1" w:rsidRPr="00DF70F3">
        <w:rPr>
          <w:noProof/>
          <w:lang w:val="fr-FR"/>
        </w:rPr>
        <w:t>D</w:t>
      </w:r>
      <w:r w:rsidRPr="00DF70F3">
        <w:rPr>
          <w:noProof/>
          <w:lang w:val="fr-FR"/>
        </w:rPr>
        <w:t>.</w:t>
      </w:r>
      <w:r w:rsidRPr="00DF70F3">
        <w:rPr>
          <w:noProof/>
          <w:lang w:val="fr-FR"/>
        </w:rPr>
        <w:tab/>
      </w:r>
      <w:r w:rsidR="00FB754E" w:rsidRPr="00DF70F3">
        <w:rPr>
          <w:noProof/>
          <w:lang w:val="fr-FR"/>
        </w:rPr>
        <w:t>Application du paragraphe 5 de la résolution </w:t>
      </w:r>
      <w:r w:rsidR="00ED6C70" w:rsidRPr="00DF70F3">
        <w:rPr>
          <w:noProof/>
          <w:lang w:val="fr-FR"/>
        </w:rPr>
        <w:t>4/6</w:t>
      </w:r>
      <w:r w:rsidR="00FB754E" w:rsidRPr="00DF70F3">
        <w:rPr>
          <w:noProof/>
          <w:lang w:val="fr-FR"/>
        </w:rPr>
        <w:t> </w:t>
      </w:r>
      <w:r w:rsidR="00596A25" w:rsidRPr="00DF70F3">
        <w:rPr>
          <w:noProof/>
          <w:lang w:val="fr-FR"/>
        </w:rPr>
        <w:t xml:space="preserve">: </w:t>
      </w:r>
      <w:r w:rsidR="00FB754E" w:rsidRPr="00DF70F3">
        <w:rPr>
          <w:noProof/>
          <w:lang w:val="fr-FR"/>
        </w:rPr>
        <w:t>directives à l’intention des</w:t>
      </w:r>
      <w:r w:rsidR="00B9632F" w:rsidRPr="00DF70F3">
        <w:rPr>
          <w:noProof/>
          <w:lang w:val="fr-FR"/>
        </w:rPr>
        <w:t> </w:t>
      </w:r>
      <w:r w:rsidR="00FB754E" w:rsidRPr="00DF70F3">
        <w:rPr>
          <w:noProof/>
          <w:lang w:val="fr-FR"/>
        </w:rPr>
        <w:t xml:space="preserve">consommateurs concernant l’utilisation et la production de plastiques </w:t>
      </w:r>
    </w:p>
    <w:p w14:paraId="7CA894B0" w14:textId="32C06457" w:rsidR="00596A25" w:rsidRPr="00DF70F3" w:rsidRDefault="00A56318" w:rsidP="00DD79A5">
      <w:pPr>
        <w:pStyle w:val="Normalnumber"/>
        <w:ind w:left="1276" w:firstLine="0"/>
        <w:rPr>
          <w:noProof/>
          <w:lang w:val="fr-FR"/>
        </w:rPr>
      </w:pPr>
      <w:r w:rsidRPr="00DF70F3">
        <w:rPr>
          <w:noProof/>
          <w:lang w:val="fr-FR"/>
        </w:rPr>
        <w:t>L’élaboration des directives concernant l’utilisation et la production de plastiques</w:t>
      </w:r>
      <w:r w:rsidR="00D870F2" w:rsidRPr="00DF70F3">
        <w:rPr>
          <w:noProof/>
          <w:lang w:val="fr-FR"/>
        </w:rPr>
        <w:t xml:space="preserve"> </w:t>
      </w:r>
      <w:r w:rsidRPr="00DF70F3">
        <w:rPr>
          <w:noProof/>
          <w:lang w:val="fr-FR"/>
        </w:rPr>
        <w:t>afin de communiquer des informations aux consommateurs a été coordonnée par le Cadre décennal de programmation concernant les modes de consommation et de production durables</w:t>
      </w:r>
      <w:r w:rsidR="00D870F2" w:rsidRPr="00DF70F3">
        <w:rPr>
          <w:noProof/>
          <w:lang w:val="fr-FR"/>
        </w:rPr>
        <w:t>.</w:t>
      </w:r>
      <w:r w:rsidR="00F801F0" w:rsidRPr="00DF70F3">
        <w:rPr>
          <w:noProof/>
          <w:lang w:val="fr-FR"/>
        </w:rPr>
        <w:t xml:space="preserve"> Les directives sont</w:t>
      </w:r>
      <w:r w:rsidR="00A33F99" w:rsidRPr="00DF70F3">
        <w:rPr>
          <w:noProof/>
          <w:lang w:val="fr-FR"/>
        </w:rPr>
        <w:t xml:space="preserve"> centrées sur la promotion de pratiques de consommation et de production durables ainsi que sur l’adoption de la circularité dans l’ensemble de la chaîne de valeur des plastiques afin de lutter contre la pollution plastique</w:t>
      </w:r>
      <w:r w:rsidR="00B16C0C" w:rsidRPr="00DF70F3">
        <w:rPr>
          <w:noProof/>
          <w:lang w:val="fr-FR"/>
        </w:rPr>
        <w:t>.</w:t>
      </w:r>
      <w:r w:rsidR="00A33F99" w:rsidRPr="00DF70F3">
        <w:rPr>
          <w:noProof/>
          <w:lang w:val="fr-FR"/>
        </w:rPr>
        <w:t xml:space="preserve"> Elles visent à</w:t>
      </w:r>
      <w:r w:rsidR="00313B29" w:rsidRPr="00DF70F3">
        <w:rPr>
          <w:noProof/>
          <w:lang w:val="fr-FR"/>
        </w:rPr>
        <w:t xml:space="preserve"> exploiter spécifiquement </w:t>
      </w:r>
      <w:r w:rsidR="009A3B0F" w:rsidRPr="00DF70F3">
        <w:rPr>
          <w:noProof/>
          <w:lang w:val="fr-FR"/>
        </w:rPr>
        <w:t>le pouvoir</w:t>
      </w:r>
      <w:r w:rsidR="00313B29" w:rsidRPr="00DF70F3">
        <w:rPr>
          <w:noProof/>
          <w:lang w:val="fr-FR"/>
        </w:rPr>
        <w:t xml:space="preserve"> des consommateurs pour provoquer des chang</w:t>
      </w:r>
      <w:r w:rsidR="009A3B0F" w:rsidRPr="00DF70F3">
        <w:rPr>
          <w:noProof/>
          <w:lang w:val="fr-FR"/>
        </w:rPr>
        <w:t>e</w:t>
      </w:r>
      <w:r w:rsidR="00313B29" w:rsidRPr="00DF70F3">
        <w:rPr>
          <w:noProof/>
          <w:lang w:val="fr-FR"/>
        </w:rPr>
        <w:t>ments</w:t>
      </w:r>
      <w:r w:rsidR="009A3B0F" w:rsidRPr="00DF70F3">
        <w:rPr>
          <w:noProof/>
          <w:lang w:val="fr-FR"/>
        </w:rPr>
        <w:t xml:space="preserve"> en amont dans le processus de production</w:t>
      </w:r>
      <w:r w:rsidR="00596A25" w:rsidRPr="00DF70F3">
        <w:rPr>
          <w:noProof/>
          <w:lang w:val="fr-FR"/>
        </w:rPr>
        <w:t xml:space="preserve">. </w:t>
      </w:r>
      <w:r w:rsidR="009A3B0F" w:rsidRPr="00DF70F3">
        <w:rPr>
          <w:noProof/>
          <w:lang w:val="fr-FR"/>
        </w:rPr>
        <w:t xml:space="preserve">Le cadre commun des directives est axé sur trois domaines d’intervention clés </w:t>
      </w:r>
      <w:r w:rsidR="005451F0" w:rsidRPr="00DF70F3">
        <w:rPr>
          <w:noProof/>
          <w:lang w:val="fr-FR"/>
        </w:rPr>
        <w:t>‒</w:t>
      </w:r>
      <w:r w:rsidR="00596A25" w:rsidRPr="00DF70F3">
        <w:rPr>
          <w:noProof/>
          <w:lang w:val="fr-FR"/>
        </w:rPr>
        <w:t xml:space="preserve"> information </w:t>
      </w:r>
      <w:r w:rsidR="009A3B0F" w:rsidRPr="00DF70F3">
        <w:rPr>
          <w:noProof/>
          <w:lang w:val="fr-FR"/>
        </w:rPr>
        <w:t>sur la</w:t>
      </w:r>
      <w:r w:rsidR="00596A25" w:rsidRPr="00DF70F3">
        <w:rPr>
          <w:noProof/>
          <w:lang w:val="fr-FR"/>
        </w:rPr>
        <w:t xml:space="preserve"> </w:t>
      </w:r>
      <w:r w:rsidR="009A3B0F" w:rsidRPr="00DF70F3">
        <w:rPr>
          <w:noProof/>
          <w:lang w:val="fr-FR"/>
        </w:rPr>
        <w:t>durabilité des emballages plastiques</w:t>
      </w:r>
      <w:r w:rsidR="005451F0" w:rsidRPr="00DF70F3">
        <w:rPr>
          <w:noProof/>
          <w:lang w:val="fr-FR"/>
        </w:rPr>
        <w:t>,</w:t>
      </w:r>
      <w:r w:rsidR="009A3B0F" w:rsidRPr="00DF70F3">
        <w:rPr>
          <w:noProof/>
          <w:lang w:val="fr-FR"/>
        </w:rPr>
        <w:t xml:space="preserve"> changement des pratiques en matière de </w:t>
      </w:r>
      <w:r w:rsidR="00616560" w:rsidRPr="00DF70F3">
        <w:rPr>
          <w:noProof/>
          <w:lang w:val="fr-FR"/>
        </w:rPr>
        <w:t xml:space="preserve">passation des </w:t>
      </w:r>
      <w:r w:rsidR="009A3B0F" w:rsidRPr="00DF70F3">
        <w:rPr>
          <w:noProof/>
          <w:lang w:val="fr-FR"/>
        </w:rPr>
        <w:t>marchés publics</w:t>
      </w:r>
      <w:r w:rsidR="00657DB0" w:rsidRPr="00DF70F3">
        <w:rPr>
          <w:noProof/>
          <w:lang w:val="fr-FR"/>
        </w:rPr>
        <w:t xml:space="preserve"> et compréhension des facteurs déclenchant des changements comportementaux </w:t>
      </w:r>
      <w:r w:rsidR="00596A25" w:rsidRPr="00DF70F3">
        <w:rPr>
          <w:noProof/>
          <w:lang w:val="fr-FR"/>
        </w:rPr>
        <w:t xml:space="preserve">– </w:t>
      </w:r>
      <w:r w:rsidR="00657DB0" w:rsidRPr="00DF70F3">
        <w:rPr>
          <w:noProof/>
          <w:lang w:val="fr-FR"/>
        </w:rPr>
        <w:t>et leur application dans les secteurs du tourisme et des systèmes alimentaires</w:t>
      </w:r>
      <w:r w:rsidR="00B16C0C" w:rsidRPr="00DF70F3">
        <w:rPr>
          <w:noProof/>
          <w:lang w:val="fr-FR"/>
        </w:rPr>
        <w:t>.</w:t>
      </w:r>
      <w:r w:rsidR="00657DB0" w:rsidRPr="00DF70F3">
        <w:rPr>
          <w:noProof/>
          <w:lang w:val="fr-FR"/>
        </w:rPr>
        <w:t xml:space="preserve"> Des changements sont visés dans le cadre de trois interventions clés : éliminer les emballages plastiques problématiques ou non nécessaires, passer de modèles à usage unique à des modèles réutilisables et veiller à ce que 100 % des emballages plastiques soient réutilisables, recyclable</w:t>
      </w:r>
      <w:r w:rsidR="00484223" w:rsidRPr="00DF70F3">
        <w:rPr>
          <w:noProof/>
          <w:lang w:val="fr-FR"/>
        </w:rPr>
        <w:t>s</w:t>
      </w:r>
      <w:r w:rsidR="00657DB0" w:rsidRPr="00DF70F3">
        <w:rPr>
          <w:noProof/>
          <w:lang w:val="fr-FR"/>
        </w:rPr>
        <w:t xml:space="preserve"> ou compostables ou visent un taux de matière recyclée ambitieux</w:t>
      </w:r>
      <w:r w:rsidR="00596A25" w:rsidRPr="00DF70F3">
        <w:rPr>
          <w:noProof/>
          <w:lang w:val="fr-FR"/>
        </w:rPr>
        <w:t>.</w:t>
      </w:r>
      <w:r w:rsidR="00657DB0" w:rsidRPr="00DF70F3">
        <w:rPr>
          <w:noProof/>
          <w:lang w:val="fr-FR"/>
        </w:rPr>
        <w:t xml:space="preserve"> Les directives fournissent des recommandations détaillées pour une </w:t>
      </w:r>
      <w:r w:rsidR="000055CE" w:rsidRPr="00DF70F3">
        <w:rPr>
          <w:noProof/>
          <w:lang w:val="fr-FR"/>
        </w:rPr>
        <w:t xml:space="preserve">plus grande efficacité de la </w:t>
      </w:r>
      <w:r w:rsidR="00657DB0" w:rsidRPr="00DF70F3">
        <w:rPr>
          <w:noProof/>
          <w:lang w:val="fr-FR"/>
        </w:rPr>
        <w:t xml:space="preserve">communication à l’intention des consommateurs </w:t>
      </w:r>
      <w:r w:rsidR="000055CE" w:rsidRPr="00DF70F3">
        <w:rPr>
          <w:noProof/>
          <w:lang w:val="fr-FR"/>
        </w:rPr>
        <w:t xml:space="preserve">concernant les emballages plastiques en lien avec les normes, </w:t>
      </w:r>
      <w:r w:rsidR="00FF2219" w:rsidRPr="00DF70F3">
        <w:rPr>
          <w:noProof/>
          <w:lang w:val="fr-FR"/>
        </w:rPr>
        <w:t>les labels</w:t>
      </w:r>
      <w:r w:rsidR="00596A25" w:rsidRPr="00DF70F3">
        <w:rPr>
          <w:rStyle w:val="FootnoteReference"/>
          <w:noProof/>
          <w:lang w:val="fr-FR"/>
        </w:rPr>
        <w:footnoteReference w:id="26"/>
      </w:r>
      <w:r w:rsidR="00596A25" w:rsidRPr="00DF70F3">
        <w:rPr>
          <w:noProof/>
          <w:lang w:val="fr-FR"/>
        </w:rPr>
        <w:t xml:space="preserve"> </w:t>
      </w:r>
      <w:r w:rsidR="000055CE" w:rsidRPr="00DF70F3">
        <w:rPr>
          <w:noProof/>
          <w:lang w:val="fr-FR"/>
        </w:rPr>
        <w:t>et la conception de campagnes de communication réussies</w:t>
      </w:r>
      <w:r w:rsidR="0045690E" w:rsidRPr="00DF70F3">
        <w:rPr>
          <w:noProof/>
          <w:vertAlign w:val="superscript"/>
          <w:lang w:val="fr-FR"/>
        </w:rPr>
        <w:footnoteReference w:id="27"/>
      </w:r>
      <w:r w:rsidR="000055CE" w:rsidRPr="00DF70F3">
        <w:rPr>
          <w:noProof/>
          <w:lang w:val="fr-FR"/>
        </w:rPr>
        <w:t>.</w:t>
      </w:r>
    </w:p>
    <w:p w14:paraId="112F370A" w14:textId="47A378EB" w:rsidR="00596A25" w:rsidRPr="00DF70F3" w:rsidRDefault="00B61505" w:rsidP="00E33517">
      <w:pPr>
        <w:pStyle w:val="CH2"/>
        <w:rPr>
          <w:rFonts w:eastAsia="Calibri"/>
          <w:noProof/>
          <w:lang w:val="fr-FR"/>
        </w:rPr>
      </w:pPr>
      <w:r w:rsidRPr="00DF70F3">
        <w:rPr>
          <w:noProof/>
          <w:lang w:val="fr-FR"/>
        </w:rPr>
        <w:tab/>
      </w:r>
      <w:r w:rsidR="00547EE1" w:rsidRPr="00DF70F3">
        <w:rPr>
          <w:noProof/>
          <w:lang w:val="fr-FR"/>
        </w:rPr>
        <w:t>E</w:t>
      </w:r>
      <w:r w:rsidRPr="00DF70F3">
        <w:rPr>
          <w:noProof/>
          <w:lang w:val="fr-FR"/>
        </w:rPr>
        <w:t>.</w:t>
      </w:r>
      <w:r w:rsidRPr="00DF70F3">
        <w:rPr>
          <w:noProof/>
          <w:lang w:val="fr-FR"/>
        </w:rPr>
        <w:tab/>
      </w:r>
      <w:r w:rsidR="000F3501" w:rsidRPr="00DF70F3">
        <w:rPr>
          <w:noProof/>
          <w:lang w:val="fr-FR"/>
        </w:rPr>
        <w:t>Application du paragraphe 7 de la résolution </w:t>
      </w:r>
      <w:r w:rsidR="00ED6C70" w:rsidRPr="00DF70F3">
        <w:rPr>
          <w:noProof/>
          <w:lang w:val="fr-FR"/>
        </w:rPr>
        <w:t>4/6</w:t>
      </w:r>
      <w:r w:rsidR="000F3501" w:rsidRPr="00DF70F3">
        <w:rPr>
          <w:noProof/>
          <w:lang w:val="fr-FR"/>
        </w:rPr>
        <w:t> </w:t>
      </w:r>
      <w:r w:rsidR="00596A25" w:rsidRPr="00DF70F3">
        <w:rPr>
          <w:noProof/>
          <w:lang w:val="fr-FR"/>
        </w:rPr>
        <w:t xml:space="preserve">: </w:t>
      </w:r>
      <w:r w:rsidR="000F3501" w:rsidRPr="00DF70F3">
        <w:rPr>
          <w:noProof/>
          <w:lang w:val="fr-FR"/>
        </w:rPr>
        <w:t>Groupe spécial d’experts à</w:t>
      </w:r>
      <w:r w:rsidR="008C27AE" w:rsidRPr="00DF70F3">
        <w:rPr>
          <w:noProof/>
          <w:lang w:val="fr-FR"/>
        </w:rPr>
        <w:t> </w:t>
      </w:r>
      <w:r w:rsidR="000F3501" w:rsidRPr="00DF70F3">
        <w:rPr>
          <w:noProof/>
          <w:lang w:val="fr-FR"/>
        </w:rPr>
        <w:t xml:space="preserve">composition non limitée sur les déchets et les microplastiques dans le milieu marin </w:t>
      </w:r>
    </w:p>
    <w:p w14:paraId="612F6A20" w14:textId="39C0A08A" w:rsidR="00891E6B" w:rsidRPr="00DF70F3" w:rsidRDefault="000F3501" w:rsidP="00DD79A5">
      <w:pPr>
        <w:pStyle w:val="Normalnumber"/>
        <w:ind w:left="1276" w:firstLine="0"/>
        <w:rPr>
          <w:noProof/>
          <w:lang w:val="fr-FR"/>
        </w:rPr>
      </w:pPr>
      <w:r w:rsidRPr="00DF70F3">
        <w:rPr>
          <w:noProof/>
          <w:lang w:val="fr-FR"/>
        </w:rPr>
        <w:t>Le</w:t>
      </w:r>
      <w:r w:rsidR="00596A25" w:rsidRPr="00DF70F3">
        <w:rPr>
          <w:noProof/>
          <w:lang w:val="fr-FR"/>
        </w:rPr>
        <w:t xml:space="preserve"> </w:t>
      </w:r>
      <w:r w:rsidRPr="00DF70F3">
        <w:rPr>
          <w:noProof/>
          <w:lang w:val="fr-FR"/>
        </w:rPr>
        <w:t xml:space="preserve">Groupe spécial d’experts à composition non limitée sur les déchets et les microplastiques dans le milieu marin a tenu quatre réunions </w:t>
      </w:r>
      <w:r w:rsidR="006F2039" w:rsidRPr="00DF70F3">
        <w:rPr>
          <w:noProof/>
          <w:lang w:val="fr-FR"/>
        </w:rPr>
        <w:t>–</w:t>
      </w:r>
      <w:r w:rsidR="00596A25" w:rsidRPr="00DF70F3">
        <w:rPr>
          <w:noProof/>
          <w:lang w:val="fr-FR"/>
        </w:rPr>
        <w:t xml:space="preserve"> </w:t>
      </w:r>
      <w:r w:rsidR="00850C0B" w:rsidRPr="00DF70F3">
        <w:rPr>
          <w:noProof/>
          <w:lang w:val="fr-FR"/>
        </w:rPr>
        <w:t>en mai </w:t>
      </w:r>
      <w:r w:rsidR="00596A25" w:rsidRPr="00DF70F3">
        <w:rPr>
          <w:noProof/>
          <w:lang w:val="fr-FR"/>
        </w:rPr>
        <w:t xml:space="preserve">2018, </w:t>
      </w:r>
      <w:r w:rsidR="00850C0B" w:rsidRPr="00DF70F3">
        <w:rPr>
          <w:noProof/>
          <w:lang w:val="fr-FR"/>
        </w:rPr>
        <w:t>décembre </w:t>
      </w:r>
      <w:r w:rsidR="00596A25" w:rsidRPr="00DF70F3">
        <w:rPr>
          <w:noProof/>
          <w:lang w:val="fr-FR"/>
        </w:rPr>
        <w:t xml:space="preserve">2018, </w:t>
      </w:r>
      <w:r w:rsidR="00850C0B" w:rsidRPr="00DF70F3">
        <w:rPr>
          <w:noProof/>
          <w:lang w:val="fr-FR"/>
        </w:rPr>
        <w:t>novembre </w:t>
      </w:r>
      <w:r w:rsidR="00596A25" w:rsidRPr="00DF70F3">
        <w:rPr>
          <w:noProof/>
          <w:lang w:val="fr-FR"/>
        </w:rPr>
        <w:t>2019</w:t>
      </w:r>
      <w:r w:rsidR="001B3508" w:rsidRPr="00DF70F3">
        <w:rPr>
          <w:noProof/>
          <w:lang w:val="fr-FR"/>
        </w:rPr>
        <w:t xml:space="preserve"> </w:t>
      </w:r>
      <w:r w:rsidR="001F1AC7" w:rsidRPr="00DF70F3">
        <w:rPr>
          <w:noProof/>
          <w:lang w:val="fr-FR"/>
        </w:rPr>
        <w:t>(</w:t>
      </w:r>
      <w:r w:rsidR="00850C0B" w:rsidRPr="00DF70F3">
        <w:rPr>
          <w:noProof/>
          <w:lang w:val="fr-FR"/>
        </w:rPr>
        <w:t>avec des orientations pour la période intersessions</w:t>
      </w:r>
      <w:r w:rsidR="001F1AC7" w:rsidRPr="00DF70F3">
        <w:rPr>
          <w:noProof/>
          <w:lang w:val="fr-FR"/>
        </w:rPr>
        <w:t>)</w:t>
      </w:r>
      <w:r w:rsidR="00596A25" w:rsidRPr="00DF70F3">
        <w:rPr>
          <w:noProof/>
          <w:lang w:val="fr-FR"/>
        </w:rPr>
        <w:t xml:space="preserve"> </w:t>
      </w:r>
      <w:r w:rsidR="00850C0B" w:rsidRPr="00DF70F3">
        <w:rPr>
          <w:noProof/>
          <w:lang w:val="fr-FR"/>
        </w:rPr>
        <w:t>et novembre </w:t>
      </w:r>
      <w:r w:rsidR="00596A25" w:rsidRPr="00DF70F3">
        <w:rPr>
          <w:noProof/>
          <w:lang w:val="fr-FR"/>
        </w:rPr>
        <w:t>2020 (</w:t>
      </w:r>
      <w:r w:rsidR="00850C0B" w:rsidRPr="00DF70F3">
        <w:rPr>
          <w:noProof/>
          <w:lang w:val="fr-FR"/>
        </w:rPr>
        <w:t>en ligne</w:t>
      </w:r>
      <w:r w:rsidR="00596A25" w:rsidRPr="00DF70F3">
        <w:rPr>
          <w:noProof/>
          <w:lang w:val="fr-FR"/>
        </w:rPr>
        <w:t>).</w:t>
      </w:r>
      <w:r w:rsidR="00850C0B" w:rsidRPr="00DF70F3">
        <w:rPr>
          <w:noProof/>
          <w:lang w:val="fr-FR"/>
        </w:rPr>
        <w:t xml:space="preserve"> Plusieurs exposés techniques ont également été tenus, ainsi que deux réunions virtuelles</w:t>
      </w:r>
      <w:r w:rsidR="003A7272" w:rsidRPr="00DF70F3">
        <w:rPr>
          <w:noProof/>
          <w:lang w:val="fr-FR"/>
        </w:rPr>
        <w:t xml:space="preserve"> en préparation de la quatrième réunion</w:t>
      </w:r>
      <w:r w:rsidR="00596A25" w:rsidRPr="00DF70F3">
        <w:rPr>
          <w:noProof/>
          <w:lang w:val="fr-FR"/>
        </w:rPr>
        <w:t xml:space="preserve">. </w:t>
      </w:r>
      <w:r w:rsidR="003A7272" w:rsidRPr="00DF70F3">
        <w:rPr>
          <w:noProof/>
          <w:color w:val="000000" w:themeColor="text1"/>
          <w:lang w:val="fr-FR"/>
        </w:rPr>
        <w:t>À</w:t>
      </w:r>
      <w:r w:rsidR="00B712CF" w:rsidRPr="00DF70F3">
        <w:rPr>
          <w:noProof/>
          <w:color w:val="000000" w:themeColor="text1"/>
          <w:lang w:val="fr-FR"/>
        </w:rPr>
        <w:t> </w:t>
      </w:r>
      <w:r w:rsidR="003A7272" w:rsidRPr="00DF70F3">
        <w:rPr>
          <w:noProof/>
          <w:color w:val="000000" w:themeColor="text1"/>
          <w:lang w:val="fr-FR"/>
        </w:rPr>
        <w:t>cette réunion</w:t>
      </w:r>
      <w:r w:rsidR="00891E6B" w:rsidRPr="00DF70F3">
        <w:rPr>
          <w:noProof/>
          <w:lang w:val="fr-FR"/>
        </w:rPr>
        <w:t>,</w:t>
      </w:r>
      <w:r w:rsidR="003A7272" w:rsidRPr="00DF70F3">
        <w:rPr>
          <w:noProof/>
          <w:lang w:val="fr-FR"/>
        </w:rPr>
        <w:t xml:space="preserve"> qui s’est tenue en ligne du </w:t>
      </w:r>
      <w:r w:rsidR="00891E6B" w:rsidRPr="00DF70F3">
        <w:rPr>
          <w:noProof/>
          <w:lang w:val="fr-FR"/>
        </w:rPr>
        <w:t xml:space="preserve">9 </w:t>
      </w:r>
      <w:r w:rsidR="003A7272" w:rsidRPr="00DF70F3">
        <w:rPr>
          <w:noProof/>
          <w:lang w:val="fr-FR"/>
        </w:rPr>
        <w:t>au</w:t>
      </w:r>
      <w:r w:rsidR="00891E6B" w:rsidRPr="00DF70F3">
        <w:rPr>
          <w:noProof/>
          <w:lang w:val="fr-FR"/>
        </w:rPr>
        <w:t xml:space="preserve"> 13</w:t>
      </w:r>
      <w:r w:rsidR="003A7272" w:rsidRPr="00DF70F3">
        <w:rPr>
          <w:noProof/>
          <w:lang w:val="fr-FR"/>
        </w:rPr>
        <w:t> novembre </w:t>
      </w:r>
      <w:r w:rsidR="00891E6B" w:rsidRPr="00DF70F3">
        <w:rPr>
          <w:noProof/>
          <w:lang w:val="fr-FR"/>
        </w:rPr>
        <w:t xml:space="preserve">2020, </w:t>
      </w:r>
      <w:r w:rsidR="003A7272" w:rsidRPr="00DF70F3">
        <w:rPr>
          <w:noProof/>
          <w:color w:val="000000" w:themeColor="text1"/>
          <w:lang w:val="fr-FR"/>
        </w:rPr>
        <w:t xml:space="preserve">le Groupe d’experts a examiné les options possibles pour la poursuite des travaux devant être examinées par l’Assemblée pour </w:t>
      </w:r>
      <w:r w:rsidR="003A7272" w:rsidRPr="00DF70F3">
        <w:rPr>
          <w:noProof/>
          <w:color w:val="000000" w:themeColor="text1"/>
          <w:lang w:val="fr-FR"/>
        </w:rPr>
        <w:lastRenderedPageBreak/>
        <w:t>l’environnement. Il a adopté un résumé du président</w:t>
      </w:r>
      <w:r w:rsidR="003124C9" w:rsidRPr="00DF70F3">
        <w:rPr>
          <w:noProof/>
          <w:color w:val="000000" w:themeColor="text1"/>
          <w:sz w:val="18"/>
          <w:szCs w:val="18"/>
          <w:vertAlign w:val="superscript"/>
          <w:lang w:val="fr-FR"/>
        </w:rPr>
        <w:footnoteReference w:id="28"/>
      </w:r>
      <w:r w:rsidR="003A7272" w:rsidRPr="00DF70F3">
        <w:rPr>
          <w:noProof/>
          <w:color w:val="000000" w:themeColor="text1"/>
          <w:sz w:val="18"/>
          <w:szCs w:val="18"/>
          <w:lang w:val="fr-FR"/>
        </w:rPr>
        <w:t xml:space="preserve"> </w:t>
      </w:r>
      <w:r w:rsidR="003A7272" w:rsidRPr="00DF70F3">
        <w:rPr>
          <w:noProof/>
          <w:color w:val="000000" w:themeColor="text1"/>
          <w:lang w:val="fr-FR"/>
        </w:rPr>
        <w:t xml:space="preserve">présentant, entre autres, </w:t>
      </w:r>
      <w:r w:rsidR="00326FC6" w:rsidRPr="00DF70F3">
        <w:rPr>
          <w:noProof/>
          <w:color w:val="000000" w:themeColor="text1"/>
          <w:lang w:val="fr-FR"/>
        </w:rPr>
        <w:t>les options possibles pour la poursuite des travaux</w:t>
      </w:r>
      <w:r w:rsidR="00507014" w:rsidRPr="00DF70F3">
        <w:rPr>
          <w:noProof/>
          <w:lang w:val="fr-FR"/>
        </w:rPr>
        <w:t>.</w:t>
      </w:r>
      <w:r w:rsidR="00891E6B" w:rsidRPr="00DF70F3">
        <w:rPr>
          <w:noProof/>
          <w:lang w:val="fr-FR"/>
        </w:rPr>
        <w:t xml:space="preserve"> </w:t>
      </w:r>
    </w:p>
    <w:p w14:paraId="70B96008" w14:textId="28987BE6" w:rsidR="00596A25" w:rsidRPr="00DF70F3" w:rsidRDefault="00B61505" w:rsidP="00E33517">
      <w:pPr>
        <w:pStyle w:val="CH2"/>
        <w:rPr>
          <w:rFonts w:eastAsia="Calibri"/>
          <w:noProof/>
          <w:lang w:val="fr-FR"/>
        </w:rPr>
      </w:pPr>
      <w:r w:rsidRPr="00DF70F3">
        <w:rPr>
          <w:noProof/>
          <w:lang w:val="fr-FR"/>
        </w:rPr>
        <w:tab/>
      </w:r>
      <w:r w:rsidR="00547EE1" w:rsidRPr="00DF70F3">
        <w:rPr>
          <w:noProof/>
          <w:lang w:val="fr-FR"/>
        </w:rPr>
        <w:t>F</w:t>
      </w:r>
      <w:r w:rsidRPr="00DF70F3">
        <w:rPr>
          <w:noProof/>
          <w:lang w:val="fr-FR"/>
        </w:rPr>
        <w:t>.</w:t>
      </w:r>
      <w:r w:rsidRPr="00DF70F3">
        <w:rPr>
          <w:noProof/>
          <w:lang w:val="fr-FR"/>
        </w:rPr>
        <w:tab/>
      </w:r>
      <w:r w:rsidR="00815510" w:rsidRPr="00DF70F3">
        <w:rPr>
          <w:noProof/>
          <w:lang w:val="fr-FR"/>
        </w:rPr>
        <w:t>Application du paragraphe 8 de la résolution </w:t>
      </w:r>
      <w:r w:rsidR="00ED6C70" w:rsidRPr="00DF70F3">
        <w:rPr>
          <w:noProof/>
          <w:lang w:val="fr-FR"/>
        </w:rPr>
        <w:t>4/6</w:t>
      </w:r>
      <w:r w:rsidR="00815510" w:rsidRPr="00DF70F3">
        <w:rPr>
          <w:noProof/>
          <w:lang w:val="fr-FR"/>
        </w:rPr>
        <w:t> </w:t>
      </w:r>
      <w:r w:rsidR="00596A25" w:rsidRPr="00DF70F3">
        <w:rPr>
          <w:noProof/>
          <w:lang w:val="fr-FR"/>
        </w:rPr>
        <w:t xml:space="preserve">: </w:t>
      </w:r>
      <w:r w:rsidR="00815510" w:rsidRPr="00DF70F3">
        <w:rPr>
          <w:noProof/>
          <w:lang w:val="fr-FR"/>
        </w:rPr>
        <w:t>cartographie de tous les</w:t>
      </w:r>
      <w:r w:rsidR="001D1A2A" w:rsidRPr="00DF70F3">
        <w:rPr>
          <w:noProof/>
          <w:lang w:val="fr-FR"/>
        </w:rPr>
        <w:t> </w:t>
      </w:r>
      <w:r w:rsidR="00815510" w:rsidRPr="00DF70F3">
        <w:rPr>
          <w:noProof/>
          <w:lang w:val="fr-FR"/>
        </w:rPr>
        <w:t>organismes, programmes, initiatives et autres sources de connaissances spécialisées du système des Nations Unies traitant des déchets marins, en</w:t>
      </w:r>
      <w:r w:rsidR="001D1A2A" w:rsidRPr="00DF70F3">
        <w:rPr>
          <w:noProof/>
          <w:lang w:val="fr-FR"/>
        </w:rPr>
        <w:t> </w:t>
      </w:r>
      <w:r w:rsidR="00815510" w:rsidRPr="00DF70F3">
        <w:rPr>
          <w:noProof/>
          <w:lang w:val="fr-FR"/>
        </w:rPr>
        <w:t>particulier des déchets plastiques et des microplastiques</w:t>
      </w:r>
    </w:p>
    <w:p w14:paraId="0649812B" w14:textId="34D3324A" w:rsidR="00596A25" w:rsidRPr="00DF70F3" w:rsidRDefault="00815634" w:rsidP="00DD79A5">
      <w:pPr>
        <w:pStyle w:val="Normalnumber"/>
        <w:ind w:left="1276" w:firstLine="0"/>
        <w:rPr>
          <w:noProof/>
          <w:color w:val="000000" w:themeColor="text1"/>
          <w:lang w:val="fr-FR"/>
        </w:rPr>
      </w:pPr>
      <w:r w:rsidRPr="00DF70F3">
        <w:rPr>
          <w:noProof/>
          <w:lang w:val="fr-FR"/>
        </w:rPr>
        <w:t>En 2019, le Groupe de la gestion de l’environnement a temporairement mis en place une équipe spéciale interinstitutions sur les déchets et les microplastiques dans le milieu marin pour faciliter les préparatifs de l’exercice de cartographie proposé au paragraphe 8 de la résolution </w:t>
      </w:r>
      <w:r w:rsidR="000E17C3" w:rsidRPr="00DF70F3">
        <w:rPr>
          <w:noProof/>
          <w:color w:val="000000" w:themeColor="text1"/>
          <w:lang w:val="fr-FR"/>
        </w:rPr>
        <w:t>4/6</w:t>
      </w:r>
      <w:r w:rsidR="00596A25" w:rsidRPr="00DF70F3">
        <w:rPr>
          <w:noProof/>
          <w:color w:val="000000" w:themeColor="text1"/>
          <w:lang w:val="fr-FR"/>
        </w:rPr>
        <w:t xml:space="preserve">. </w:t>
      </w:r>
      <w:bookmarkStart w:id="5" w:name="_Hlk58324739"/>
      <w:r w:rsidRPr="00DF70F3">
        <w:rPr>
          <w:noProof/>
          <w:color w:val="000000" w:themeColor="text1"/>
          <w:lang w:val="fr-FR"/>
        </w:rPr>
        <w:t xml:space="preserve">Dans le cadre de l’exercice de cartographie, </w:t>
      </w:r>
      <w:r w:rsidR="00E9214A" w:rsidRPr="00DF70F3">
        <w:rPr>
          <w:noProof/>
          <w:color w:val="000000" w:themeColor="text1"/>
          <w:lang w:val="fr-FR"/>
        </w:rPr>
        <w:t>l’enquête sur l’</w:t>
      </w:r>
      <w:r w:rsidRPr="00DF70F3">
        <w:rPr>
          <w:noProof/>
          <w:color w:val="000000" w:themeColor="text1"/>
          <w:lang w:val="fr-FR"/>
        </w:rPr>
        <w:t xml:space="preserve">état des lieux a été </w:t>
      </w:r>
      <w:r w:rsidR="00E9214A" w:rsidRPr="00DF70F3">
        <w:rPr>
          <w:noProof/>
          <w:color w:val="000000" w:themeColor="text1"/>
          <w:lang w:val="fr-FR"/>
        </w:rPr>
        <w:t>transmise aux membres de l’équipe spéciale</w:t>
      </w:r>
      <w:r w:rsidR="008A418A" w:rsidRPr="00DF70F3">
        <w:rPr>
          <w:noProof/>
          <w:color w:val="000000" w:themeColor="text1"/>
          <w:lang w:val="fr-FR"/>
        </w:rPr>
        <w:t>.</w:t>
      </w:r>
      <w:r w:rsidR="00E9214A" w:rsidRPr="00DF70F3">
        <w:rPr>
          <w:noProof/>
          <w:color w:val="000000" w:themeColor="text1"/>
          <w:lang w:val="fr-FR"/>
        </w:rPr>
        <w:t xml:space="preserve"> Les contributions des entités du système des Nations Unies ont constitué la base du rapport sur l’état des lieux</w:t>
      </w:r>
      <w:r w:rsidR="008A418A" w:rsidRPr="00DF70F3">
        <w:rPr>
          <w:rStyle w:val="FootnoteReference"/>
          <w:noProof/>
          <w:lang w:val="fr-FR"/>
        </w:rPr>
        <w:footnoteReference w:id="29"/>
      </w:r>
      <w:r w:rsidR="00E9214A" w:rsidRPr="00DF70F3">
        <w:rPr>
          <w:noProof/>
          <w:color w:val="000000" w:themeColor="text1"/>
          <w:lang w:val="fr-FR"/>
        </w:rPr>
        <w:t>. L’enquête a été suivie d’entretiens approfondis avec près de 50 entités</w:t>
      </w:r>
      <w:bookmarkEnd w:id="5"/>
      <w:r w:rsidR="00596A25" w:rsidRPr="00DF70F3">
        <w:rPr>
          <w:noProof/>
          <w:lang w:val="fr-FR"/>
        </w:rPr>
        <w:t xml:space="preserve">. </w:t>
      </w:r>
      <w:r w:rsidR="00E9214A" w:rsidRPr="00DF70F3">
        <w:rPr>
          <w:noProof/>
          <w:lang w:val="fr-FR"/>
        </w:rPr>
        <w:t xml:space="preserve">Les premiers résultats montrent que le système des Nations Unies lutte contre les déchets marins à tous les niveaux </w:t>
      </w:r>
      <w:r w:rsidR="00596A25" w:rsidRPr="00DF70F3">
        <w:rPr>
          <w:noProof/>
          <w:lang w:val="fr-FR"/>
        </w:rPr>
        <w:t>(</w:t>
      </w:r>
      <w:r w:rsidR="00E9214A" w:rsidRPr="00DF70F3">
        <w:rPr>
          <w:noProof/>
          <w:lang w:val="fr-FR"/>
        </w:rPr>
        <w:t>mondial</w:t>
      </w:r>
      <w:r w:rsidR="00596A25" w:rsidRPr="00DF70F3">
        <w:rPr>
          <w:noProof/>
          <w:lang w:val="fr-FR"/>
        </w:rPr>
        <w:t xml:space="preserve">, </w:t>
      </w:r>
      <w:r w:rsidR="00E9214A" w:rsidRPr="00DF70F3">
        <w:rPr>
          <w:noProof/>
          <w:lang w:val="fr-FR"/>
        </w:rPr>
        <w:t>régional</w:t>
      </w:r>
      <w:r w:rsidR="00596A25" w:rsidRPr="00DF70F3">
        <w:rPr>
          <w:noProof/>
          <w:lang w:val="fr-FR"/>
        </w:rPr>
        <w:t xml:space="preserve">, transnational, national </w:t>
      </w:r>
      <w:r w:rsidR="00E9214A" w:rsidRPr="00DF70F3">
        <w:rPr>
          <w:noProof/>
          <w:lang w:val="fr-FR"/>
        </w:rPr>
        <w:t>et</w:t>
      </w:r>
      <w:r w:rsidR="00596A25" w:rsidRPr="00DF70F3">
        <w:rPr>
          <w:noProof/>
          <w:lang w:val="fr-FR"/>
        </w:rPr>
        <w:t xml:space="preserve"> </w:t>
      </w:r>
      <w:r w:rsidR="00E9214A" w:rsidRPr="00DF70F3">
        <w:rPr>
          <w:noProof/>
          <w:lang w:val="fr-FR"/>
        </w:rPr>
        <w:t>infra</w:t>
      </w:r>
      <w:r w:rsidR="00596A25" w:rsidRPr="00DF70F3">
        <w:rPr>
          <w:noProof/>
          <w:lang w:val="fr-FR"/>
        </w:rPr>
        <w:t>national).</w:t>
      </w:r>
      <w:r w:rsidR="00E9214A" w:rsidRPr="00DF70F3">
        <w:rPr>
          <w:noProof/>
          <w:lang w:val="fr-FR"/>
        </w:rPr>
        <w:t xml:space="preserve"> Les projets concernent principalement la législation et les normes, </w:t>
      </w:r>
      <w:r w:rsidR="006255F7" w:rsidRPr="00DF70F3">
        <w:rPr>
          <w:noProof/>
          <w:lang w:val="fr-FR"/>
        </w:rPr>
        <w:t>l’accroissement</w:t>
      </w:r>
      <w:r w:rsidR="00E9214A" w:rsidRPr="00DF70F3">
        <w:rPr>
          <w:noProof/>
          <w:lang w:val="fr-FR"/>
        </w:rPr>
        <w:t xml:space="preserve"> de la base des connaissances et des données scientifiques</w:t>
      </w:r>
      <w:r w:rsidR="00596A25" w:rsidRPr="00DF70F3">
        <w:rPr>
          <w:noProof/>
          <w:lang w:val="fr-FR"/>
        </w:rPr>
        <w:t>,</w:t>
      </w:r>
      <w:r w:rsidR="006255F7" w:rsidRPr="00DF70F3">
        <w:rPr>
          <w:noProof/>
          <w:lang w:val="fr-FR"/>
        </w:rPr>
        <w:t xml:space="preserve"> le renforcement des capacités ainsi que la sensibilisation, des activités étant mises en œuvre en </w:t>
      </w:r>
      <w:r w:rsidR="00596A25" w:rsidRPr="00DF70F3">
        <w:rPr>
          <w:noProof/>
          <w:lang w:val="fr-FR"/>
        </w:rPr>
        <w:t xml:space="preserve">collaboration </w:t>
      </w:r>
      <w:r w:rsidR="006255F7" w:rsidRPr="00DF70F3">
        <w:rPr>
          <w:noProof/>
          <w:lang w:val="fr-FR"/>
        </w:rPr>
        <w:t>avec l’administration publique et des organisations non gouvernementales</w:t>
      </w:r>
      <w:r w:rsidR="00596A25" w:rsidRPr="00DF70F3">
        <w:rPr>
          <w:noProof/>
          <w:lang w:val="fr-FR"/>
        </w:rPr>
        <w:t xml:space="preserve">. </w:t>
      </w:r>
    </w:p>
    <w:p w14:paraId="4CECF489" w14:textId="312C51E9" w:rsidR="00596A25" w:rsidRPr="00DF70F3" w:rsidRDefault="00B61505" w:rsidP="00E33517">
      <w:pPr>
        <w:pStyle w:val="CH2"/>
        <w:rPr>
          <w:noProof/>
          <w:lang w:val="fr-FR"/>
        </w:rPr>
      </w:pPr>
      <w:r w:rsidRPr="00DF70F3">
        <w:rPr>
          <w:noProof/>
          <w:lang w:val="fr-FR"/>
        </w:rPr>
        <w:tab/>
      </w:r>
      <w:r w:rsidR="00547EE1" w:rsidRPr="00DF70F3">
        <w:rPr>
          <w:noProof/>
          <w:lang w:val="fr-FR"/>
        </w:rPr>
        <w:t>G</w:t>
      </w:r>
      <w:r w:rsidRPr="00DF70F3">
        <w:rPr>
          <w:noProof/>
          <w:lang w:val="fr-FR"/>
        </w:rPr>
        <w:t>.</w:t>
      </w:r>
      <w:r w:rsidRPr="00DF70F3">
        <w:rPr>
          <w:noProof/>
          <w:lang w:val="fr-FR"/>
        </w:rPr>
        <w:tab/>
      </w:r>
      <w:r w:rsidR="00B161ED" w:rsidRPr="00DF70F3">
        <w:rPr>
          <w:noProof/>
          <w:lang w:val="fr-FR"/>
        </w:rPr>
        <w:t>Progrès accomplis dans le cadre de la Convention de Bâle sur le contrôle des</w:t>
      </w:r>
      <w:r w:rsidR="00851E6D" w:rsidRPr="00DF70F3">
        <w:rPr>
          <w:noProof/>
          <w:lang w:val="fr-FR"/>
        </w:rPr>
        <w:t> </w:t>
      </w:r>
      <w:r w:rsidR="00B161ED" w:rsidRPr="00DF70F3">
        <w:rPr>
          <w:noProof/>
          <w:lang w:val="fr-FR"/>
        </w:rPr>
        <w:t>mouvements transfrontières de déchets dangereux et de leur élimination</w:t>
      </w:r>
    </w:p>
    <w:p w14:paraId="396E022A" w14:textId="5467FE8B" w:rsidR="00596A25" w:rsidRPr="00DF70F3" w:rsidRDefault="00B161ED" w:rsidP="00DD79A5">
      <w:pPr>
        <w:pStyle w:val="Normalnumber"/>
        <w:ind w:left="1276" w:firstLine="0"/>
        <w:rPr>
          <w:noProof/>
          <w:lang w:val="fr-FR"/>
        </w:rPr>
      </w:pPr>
      <w:r w:rsidRPr="00DF70F3">
        <w:rPr>
          <w:noProof/>
          <w:lang w:val="fr-FR"/>
        </w:rPr>
        <w:t xml:space="preserve">Les </w:t>
      </w:r>
      <w:r w:rsidR="00705E8C" w:rsidRPr="00DF70F3">
        <w:rPr>
          <w:noProof/>
          <w:lang w:val="fr-FR"/>
        </w:rPr>
        <w:t xml:space="preserve">amendements </w:t>
      </w:r>
      <w:r w:rsidR="00B65721" w:rsidRPr="00DF70F3">
        <w:rPr>
          <w:noProof/>
          <w:lang w:val="fr-FR"/>
        </w:rPr>
        <w:t xml:space="preserve">aux </w:t>
      </w:r>
      <w:r w:rsidRPr="00DF70F3">
        <w:rPr>
          <w:noProof/>
          <w:lang w:val="fr-FR"/>
        </w:rPr>
        <w:t>déchets plastiques</w:t>
      </w:r>
      <w:r w:rsidR="00EA4A5D" w:rsidRPr="00DF70F3">
        <w:rPr>
          <w:noProof/>
          <w:lang w:val="fr-FR"/>
        </w:rPr>
        <w:t xml:space="preserve"> apportés à la</w:t>
      </w:r>
      <w:r w:rsidR="00596A25" w:rsidRPr="00DF70F3">
        <w:rPr>
          <w:noProof/>
          <w:lang w:val="fr-FR"/>
        </w:rPr>
        <w:t xml:space="preserve"> </w:t>
      </w:r>
      <w:r w:rsidR="00EA4A5D" w:rsidRPr="00DF70F3">
        <w:rPr>
          <w:noProof/>
          <w:lang w:val="fr-FR"/>
        </w:rPr>
        <w:t>Convention de Bâle sur le contrôle des mouvements transfrontières de déchets dangereux et de leur élimination, le premier et unique instrument international juridiquement contraignant destiné à contrôler les mouvements transfrontières de déchets plastiques et à assurer une gestion écologiquement rationnelle de ces déchets, ont été adoptées par la Conférence des</w:t>
      </w:r>
      <w:r w:rsidR="00E938E6" w:rsidRPr="00DF70F3">
        <w:rPr>
          <w:noProof/>
          <w:lang w:val="fr-FR"/>
        </w:rPr>
        <w:t xml:space="preserve"> Parties </w:t>
      </w:r>
      <w:r w:rsidR="00EA4A5D" w:rsidRPr="00DF70F3">
        <w:rPr>
          <w:noProof/>
          <w:lang w:val="fr-FR"/>
        </w:rPr>
        <w:t>à la</w:t>
      </w:r>
      <w:r w:rsidR="00596A25" w:rsidRPr="00DF70F3">
        <w:rPr>
          <w:noProof/>
          <w:lang w:val="fr-FR"/>
        </w:rPr>
        <w:t xml:space="preserve"> </w:t>
      </w:r>
      <w:r w:rsidR="00E938E6" w:rsidRPr="00DF70F3">
        <w:rPr>
          <w:noProof/>
          <w:lang w:val="fr-FR"/>
        </w:rPr>
        <w:t>Convention</w:t>
      </w:r>
      <w:r w:rsidR="00EA4A5D" w:rsidRPr="00DF70F3">
        <w:rPr>
          <w:noProof/>
          <w:lang w:val="fr-FR"/>
        </w:rPr>
        <w:t xml:space="preserve"> de Bâle à sa quatorzième réunion, en</w:t>
      </w:r>
      <w:r w:rsidR="00596A25" w:rsidRPr="00DF70F3">
        <w:rPr>
          <w:noProof/>
          <w:lang w:val="fr-FR"/>
        </w:rPr>
        <w:t xml:space="preserve"> 2019</w:t>
      </w:r>
      <w:r w:rsidR="00596A25" w:rsidRPr="00DF70F3">
        <w:rPr>
          <w:rStyle w:val="FootnoteReference"/>
          <w:noProof/>
          <w:lang w:val="fr-FR"/>
        </w:rPr>
        <w:footnoteReference w:id="30"/>
      </w:r>
      <w:r w:rsidR="00EA4A5D" w:rsidRPr="00DF70F3">
        <w:rPr>
          <w:noProof/>
          <w:lang w:val="fr-FR"/>
        </w:rPr>
        <w:t>.</w:t>
      </w:r>
      <w:r w:rsidR="00596A25" w:rsidRPr="00DF70F3">
        <w:rPr>
          <w:noProof/>
          <w:lang w:val="fr-FR"/>
        </w:rPr>
        <w:t xml:space="preserve"> </w:t>
      </w:r>
      <w:r w:rsidR="00EA4A5D" w:rsidRPr="00DF70F3">
        <w:rPr>
          <w:noProof/>
          <w:lang w:val="fr-FR"/>
        </w:rPr>
        <w:t>L’application</w:t>
      </w:r>
      <w:r w:rsidR="00596A25" w:rsidRPr="00DF70F3">
        <w:rPr>
          <w:noProof/>
          <w:lang w:val="fr-FR"/>
        </w:rPr>
        <w:t xml:space="preserve"> effective </w:t>
      </w:r>
      <w:r w:rsidR="00EA4A5D" w:rsidRPr="00DF70F3">
        <w:rPr>
          <w:noProof/>
          <w:lang w:val="fr-FR"/>
        </w:rPr>
        <w:t xml:space="preserve">des </w:t>
      </w:r>
      <w:r w:rsidR="00B65721" w:rsidRPr="00DF70F3">
        <w:rPr>
          <w:noProof/>
          <w:lang w:val="fr-FR"/>
        </w:rPr>
        <w:t>amendements</w:t>
      </w:r>
      <w:r w:rsidR="00846A72" w:rsidRPr="00DF70F3">
        <w:rPr>
          <w:noProof/>
          <w:lang w:val="fr-FR"/>
        </w:rPr>
        <w:t>, au 1</w:t>
      </w:r>
      <w:r w:rsidR="00846A72" w:rsidRPr="00DF70F3">
        <w:rPr>
          <w:noProof/>
          <w:vertAlign w:val="superscript"/>
          <w:lang w:val="fr-FR"/>
        </w:rPr>
        <w:t>er</w:t>
      </w:r>
      <w:r w:rsidR="00846A72" w:rsidRPr="00DF70F3">
        <w:rPr>
          <w:noProof/>
          <w:lang w:val="fr-FR"/>
        </w:rPr>
        <w:t> janvier </w:t>
      </w:r>
      <w:r w:rsidR="00596A25" w:rsidRPr="00DF70F3">
        <w:rPr>
          <w:noProof/>
          <w:lang w:val="fr-FR"/>
        </w:rPr>
        <w:t xml:space="preserve">2021, </w:t>
      </w:r>
      <w:r w:rsidR="00846A72" w:rsidRPr="00DF70F3">
        <w:rPr>
          <w:noProof/>
          <w:lang w:val="fr-FR"/>
        </w:rPr>
        <w:t>permettrait aux pays de renforcer le contrôle du commerce de plastiques, de poursuivre les efforts de recyclage, d’assurer la gestion écologiquement rationnelle des plastiques ainsi que de prévenir et réduire au minimum la production de déchets plastiques</w:t>
      </w:r>
      <w:r w:rsidR="00596A25" w:rsidRPr="00DF70F3">
        <w:rPr>
          <w:noProof/>
          <w:lang w:val="fr-FR"/>
        </w:rPr>
        <w:t>.</w:t>
      </w:r>
    </w:p>
    <w:p w14:paraId="62185039" w14:textId="16830222" w:rsidR="00E36F56" w:rsidRPr="00DF70F3" w:rsidRDefault="00E36F56" w:rsidP="00DD79A5">
      <w:pPr>
        <w:pStyle w:val="Normalnumber"/>
        <w:ind w:left="1276" w:firstLine="0"/>
        <w:rPr>
          <w:noProof/>
          <w:lang w:val="fr-FR"/>
        </w:rPr>
      </w:pPr>
      <w:r w:rsidRPr="00DF70F3">
        <w:rPr>
          <w:noProof/>
          <w:lang w:val="fr-FR"/>
        </w:rPr>
        <w:t>Des directives techniques sur les déchets plastiques</w:t>
      </w:r>
      <w:r w:rsidR="00245B81" w:rsidRPr="00DF70F3">
        <w:rPr>
          <w:noProof/>
          <w:vertAlign w:val="superscript"/>
          <w:lang w:val="fr-FR"/>
        </w:rPr>
        <w:footnoteReference w:id="31"/>
      </w:r>
      <w:r w:rsidR="00260D01" w:rsidRPr="00DF70F3">
        <w:rPr>
          <w:noProof/>
          <w:lang w:val="fr-FR"/>
        </w:rPr>
        <w:t xml:space="preserve"> </w:t>
      </w:r>
      <w:r w:rsidRPr="00DF70F3">
        <w:rPr>
          <w:noProof/>
          <w:lang w:val="fr-FR"/>
        </w:rPr>
        <w:t>et d’autres documents d’orientation</w:t>
      </w:r>
      <w:r w:rsidR="00245B81" w:rsidRPr="00DF70F3">
        <w:rPr>
          <w:noProof/>
          <w:vertAlign w:val="superscript"/>
          <w:lang w:val="fr-FR"/>
        </w:rPr>
        <w:footnoteReference w:id="32"/>
      </w:r>
      <w:r w:rsidR="00245B81" w:rsidRPr="00DF70F3">
        <w:rPr>
          <w:noProof/>
          <w:lang w:val="fr-FR"/>
        </w:rPr>
        <w:t xml:space="preserve"> </w:t>
      </w:r>
      <w:r w:rsidRPr="00DF70F3">
        <w:rPr>
          <w:noProof/>
          <w:lang w:val="fr-FR"/>
        </w:rPr>
        <w:t>sont en train d’être élaborés par des groupes d’experts afin d’aider les pays à mettre en œuvre les modifications relatives aux déchets plastiques. Le secrétariat des conventions de Bâle, de Rotterdam et de Stockholm fournit également une assistance technique</w:t>
      </w:r>
      <w:r w:rsidR="00245B81" w:rsidRPr="00DF70F3">
        <w:rPr>
          <w:noProof/>
          <w:vertAlign w:val="superscript"/>
          <w:lang w:val="fr-FR"/>
        </w:rPr>
        <w:footnoteReference w:id="33"/>
      </w:r>
      <w:r w:rsidRPr="00DF70F3">
        <w:rPr>
          <w:noProof/>
          <w:lang w:val="fr-FR"/>
        </w:rPr>
        <w:t xml:space="preserve"> aux pays, en mettant l’accent sur les trois piliers de la Convention de Bâle. Des projets pilotes</w:t>
      </w:r>
      <w:r w:rsidR="00245B81" w:rsidRPr="00DF70F3">
        <w:rPr>
          <w:noProof/>
          <w:vertAlign w:val="superscript"/>
          <w:lang w:val="fr-FR"/>
        </w:rPr>
        <w:footnoteReference w:id="34"/>
      </w:r>
      <w:r w:rsidRPr="00DF70F3">
        <w:rPr>
          <w:noProof/>
          <w:lang w:val="fr-FR"/>
        </w:rPr>
        <w:t xml:space="preserve"> sont en cours de mise en œuvre au Bangladesh, au Ghana et au Sri Lanka et d’autres projets sont prévus, notamment dans le cadre du Programme de microfinancements des centres régionaux</w:t>
      </w:r>
      <w:r w:rsidR="00245B81" w:rsidRPr="00DF70F3">
        <w:rPr>
          <w:noProof/>
          <w:vertAlign w:val="superscript"/>
          <w:lang w:val="fr-FR"/>
        </w:rPr>
        <w:footnoteReference w:id="35"/>
      </w:r>
      <w:r w:rsidRPr="00DF70F3">
        <w:rPr>
          <w:noProof/>
          <w:lang w:val="fr-FR"/>
        </w:rPr>
        <w:t xml:space="preserve"> et du Partenariat sur les déchets plastiques, mis en place par la Conférence des Parties à la Convention de Bâle à sa quatorzième</w:t>
      </w:r>
      <w:r w:rsidR="000F71D4" w:rsidRPr="00DF70F3">
        <w:rPr>
          <w:noProof/>
          <w:lang w:val="fr-FR"/>
        </w:rPr>
        <w:t> </w:t>
      </w:r>
      <w:r w:rsidRPr="00DF70F3">
        <w:rPr>
          <w:noProof/>
          <w:lang w:val="fr-FR"/>
        </w:rPr>
        <w:t>réunion</w:t>
      </w:r>
      <w:r w:rsidR="00855E3A" w:rsidRPr="00DF70F3">
        <w:rPr>
          <w:noProof/>
          <w:vertAlign w:val="superscript"/>
          <w:lang w:val="fr-FR"/>
        </w:rPr>
        <w:footnoteReference w:id="36"/>
      </w:r>
      <w:r w:rsidRPr="00DF70F3">
        <w:rPr>
          <w:noProof/>
          <w:lang w:val="fr-FR"/>
        </w:rPr>
        <w:t>.</w:t>
      </w:r>
    </w:p>
    <w:p w14:paraId="6E2F4A8A" w14:textId="1D98485A" w:rsidR="00522728" w:rsidRPr="00DF70F3" w:rsidRDefault="00522728" w:rsidP="00DD79A5">
      <w:pPr>
        <w:pStyle w:val="Normalnumber"/>
        <w:ind w:left="1276" w:firstLine="0"/>
        <w:rPr>
          <w:noProof/>
          <w:lang w:val="fr-FR"/>
        </w:rPr>
      </w:pPr>
      <w:r w:rsidRPr="00DF70F3">
        <w:rPr>
          <w:noProof/>
          <w:lang w:val="fr-FR"/>
        </w:rPr>
        <w:t>Le secrétariat des conventions de Bâle, de Rotterdam et de Stockholm a contribué aux travaux du Groupe spécial d’experts à composition non limitée sur les déchets et les microplastiques dans le milieu marin et continue de coopérer étroitement avec le PNUE pour remplir les mandats énoncés dans les résolutions pertinentes de l’Assemblée pour l’environnement, notamment au travers de partenariats, de la parution prochaine de la publication «</w:t>
      </w:r>
      <w:r w:rsidR="004562EE" w:rsidRPr="00DF70F3">
        <w:rPr>
          <w:noProof/>
          <w:lang w:val="fr-FR"/>
        </w:rPr>
        <w:t> </w:t>
      </w:r>
      <w:r w:rsidRPr="00DF70F3">
        <w:rPr>
          <w:i/>
          <w:iCs/>
          <w:noProof/>
          <w:lang w:val="fr-FR"/>
        </w:rPr>
        <w:t>Marine Litter and Plastic Waste: Vital Graphics</w:t>
      </w:r>
      <w:r w:rsidR="004562EE" w:rsidRPr="00DF70F3">
        <w:rPr>
          <w:noProof/>
          <w:lang w:val="fr-FR"/>
        </w:rPr>
        <w:t> </w:t>
      </w:r>
      <w:r w:rsidRPr="00DF70F3">
        <w:rPr>
          <w:noProof/>
          <w:lang w:val="fr-FR"/>
        </w:rPr>
        <w:t>» («</w:t>
      </w:r>
      <w:r w:rsidR="004562EE" w:rsidRPr="00DF70F3">
        <w:rPr>
          <w:noProof/>
          <w:lang w:val="fr-FR"/>
        </w:rPr>
        <w:t> </w:t>
      </w:r>
      <w:r w:rsidRPr="00DF70F3">
        <w:rPr>
          <w:noProof/>
          <w:lang w:val="fr-FR"/>
        </w:rPr>
        <w:t>Déchets et plastiques dans le milieu marin</w:t>
      </w:r>
      <w:r w:rsidR="000F71D4" w:rsidRPr="00DF70F3">
        <w:rPr>
          <w:noProof/>
          <w:lang w:val="fr-FR"/>
        </w:rPr>
        <w:t> </w:t>
      </w:r>
      <w:r w:rsidRPr="00DF70F3">
        <w:rPr>
          <w:noProof/>
          <w:lang w:val="fr-FR"/>
        </w:rPr>
        <w:t>: représentations graphiques</w:t>
      </w:r>
      <w:r w:rsidR="004562EE" w:rsidRPr="00DF70F3">
        <w:rPr>
          <w:noProof/>
          <w:lang w:val="fr-FR"/>
        </w:rPr>
        <w:t> </w:t>
      </w:r>
      <w:r w:rsidRPr="00DF70F3">
        <w:rPr>
          <w:noProof/>
          <w:lang w:val="fr-FR"/>
        </w:rPr>
        <w:t>») et d’une plateforme en ligne pour le partage d’informations sur les initiatives régionales et nationales visant à lutter contre la pollution plastique.</w:t>
      </w:r>
    </w:p>
    <w:p w14:paraId="57F6A0DC" w14:textId="38D7A080" w:rsidR="00242224" w:rsidRPr="00DF70F3" w:rsidRDefault="00242224" w:rsidP="00242224">
      <w:pPr>
        <w:pStyle w:val="CH1"/>
        <w:rPr>
          <w:rFonts w:eastAsia="Calibri"/>
          <w:noProof/>
          <w:lang w:val="fr-FR"/>
        </w:rPr>
      </w:pPr>
      <w:r w:rsidRPr="00DF70F3">
        <w:rPr>
          <w:rFonts w:eastAsia="Calibri"/>
          <w:noProof/>
          <w:lang w:val="fr-FR"/>
        </w:rPr>
        <w:lastRenderedPageBreak/>
        <w:tab/>
        <w:t>II.</w:t>
      </w:r>
      <w:r w:rsidRPr="00DF70F3">
        <w:rPr>
          <w:rFonts w:eastAsia="Calibri"/>
          <w:noProof/>
          <w:lang w:val="fr-FR"/>
        </w:rPr>
        <w:tab/>
      </w:r>
      <w:r w:rsidRPr="00DF70F3">
        <w:rPr>
          <w:rFonts w:eastAsia="Calibri"/>
          <w:noProof/>
          <w:lang w:val="fr-FR"/>
        </w:rPr>
        <w:tab/>
        <w:t>Enseignements tirés et activités futures</w:t>
      </w:r>
    </w:p>
    <w:p w14:paraId="4C259CAF" w14:textId="0C72EFF5" w:rsidR="00242224" w:rsidRPr="00DF70F3" w:rsidRDefault="00242224" w:rsidP="00242224">
      <w:pPr>
        <w:pStyle w:val="Normalnumber"/>
        <w:ind w:left="1276" w:firstLine="0"/>
        <w:rPr>
          <w:noProof/>
          <w:lang w:val="fr-FR"/>
        </w:rPr>
      </w:pPr>
      <w:r w:rsidRPr="00DF70F3">
        <w:rPr>
          <w:noProof/>
          <w:lang w:val="fr-FR"/>
        </w:rPr>
        <w:t>La coordination de l’action reste fondamentale, dans la mesure où l</w:t>
      </w:r>
      <w:r w:rsidR="00163041" w:rsidRPr="00DF70F3">
        <w:rPr>
          <w:noProof/>
          <w:lang w:val="fr-FR"/>
        </w:rPr>
        <w:t xml:space="preserve">a question </w:t>
      </w:r>
      <w:r w:rsidRPr="00DF70F3">
        <w:rPr>
          <w:noProof/>
          <w:lang w:val="fr-FR"/>
        </w:rPr>
        <w:t>des déchets plastiques et des microplastiques dans le milieu marin est en évolution constante et que de multiples acteurs et initiatives sont mobilisés. Afin de faciliter la coopération multipartite, le PNUE donnera, au</w:t>
      </w:r>
      <w:r w:rsidR="00CF29F1" w:rsidRPr="00DF70F3">
        <w:rPr>
          <w:noProof/>
          <w:lang w:val="fr-FR"/>
        </w:rPr>
        <w:t> </w:t>
      </w:r>
      <w:r w:rsidRPr="00DF70F3">
        <w:rPr>
          <w:noProof/>
          <w:lang w:val="fr-FR"/>
        </w:rPr>
        <w:t>travers du Partenariat mondial sur les déchets marins, une ampleur accrue à ses travaux en lançant des «</w:t>
      </w:r>
      <w:r w:rsidR="004562EE" w:rsidRPr="00DF70F3">
        <w:rPr>
          <w:noProof/>
          <w:lang w:val="fr-FR"/>
        </w:rPr>
        <w:t> </w:t>
      </w:r>
      <w:r w:rsidRPr="00DF70F3">
        <w:rPr>
          <w:noProof/>
          <w:lang w:val="fr-FR"/>
        </w:rPr>
        <w:t>pistes d’action</w:t>
      </w:r>
      <w:r w:rsidR="004562EE" w:rsidRPr="00DF70F3">
        <w:rPr>
          <w:noProof/>
          <w:lang w:val="fr-FR"/>
        </w:rPr>
        <w:t> </w:t>
      </w:r>
      <w:r w:rsidRPr="00DF70F3">
        <w:rPr>
          <w:noProof/>
          <w:lang w:val="fr-FR"/>
        </w:rPr>
        <w:t>» dans le cadre du Partenariat. Ces pistes d’action permettront de renforcer la coordination de l’action visant à traiter des domaines prioritaires mis en évidence dans les résolutions de l’Assemblée pour l’environnement relatives aux déchets et microplastiques dans le milieu marin, dans le cadre du Groupe spécial d’experts à composition non limitée sur les déchets et les microplastiques dans le milieu marin et de l’évaluation des sources et des modes de déplacement des déchets et des risques y associés, y compris la pollution par les déchets plastiques et les microplastiques. Parmi les thèmes possibles pour les pistes d’action figureraient les suivants</w:t>
      </w:r>
      <w:r w:rsidR="000F71D4" w:rsidRPr="00DF70F3">
        <w:rPr>
          <w:noProof/>
          <w:lang w:val="fr-FR"/>
        </w:rPr>
        <w:t> </w:t>
      </w:r>
      <w:r w:rsidRPr="00DF70F3">
        <w:rPr>
          <w:noProof/>
          <w:lang w:val="fr-FR"/>
        </w:rPr>
        <w:t>: a)</w:t>
      </w:r>
      <w:r w:rsidR="004562EE" w:rsidRPr="00DF70F3">
        <w:rPr>
          <w:noProof/>
          <w:lang w:val="fr-FR"/>
        </w:rPr>
        <w:t> </w:t>
      </w:r>
      <w:r w:rsidRPr="00DF70F3">
        <w:rPr>
          <w:noProof/>
          <w:lang w:val="fr-FR"/>
        </w:rPr>
        <w:t>établissement de passerelles entre science, innovation et politique</w:t>
      </w:r>
      <w:r w:rsidR="004562EE" w:rsidRPr="00DF70F3">
        <w:rPr>
          <w:noProof/>
          <w:lang w:val="fr-FR"/>
        </w:rPr>
        <w:t> </w:t>
      </w:r>
      <w:r w:rsidRPr="00DF70F3">
        <w:rPr>
          <w:noProof/>
          <w:lang w:val="fr-FR"/>
        </w:rPr>
        <w:t>; b)</w:t>
      </w:r>
      <w:r w:rsidR="004562EE" w:rsidRPr="00DF70F3">
        <w:rPr>
          <w:noProof/>
          <w:lang w:val="fr-FR"/>
        </w:rPr>
        <w:t> </w:t>
      </w:r>
      <w:r w:rsidRPr="00DF70F3">
        <w:rPr>
          <w:noProof/>
          <w:lang w:val="fr-FR"/>
        </w:rPr>
        <w:t>action au niveau national, notamment l’établissement de plans, l’élaboration de mesures de surveillance et de gouvernance ainsi que la constitution d’une réserve de projets</w:t>
      </w:r>
      <w:r w:rsidR="004562EE" w:rsidRPr="00DF70F3">
        <w:rPr>
          <w:noProof/>
          <w:lang w:val="fr-FR"/>
        </w:rPr>
        <w:t> </w:t>
      </w:r>
      <w:r w:rsidRPr="00DF70F3">
        <w:rPr>
          <w:noProof/>
          <w:lang w:val="fr-FR"/>
        </w:rPr>
        <w:t>; c)</w:t>
      </w:r>
      <w:r w:rsidR="004562EE" w:rsidRPr="00DF70F3">
        <w:rPr>
          <w:noProof/>
          <w:lang w:val="fr-FR"/>
        </w:rPr>
        <w:t> </w:t>
      </w:r>
      <w:r w:rsidRPr="00DF70F3">
        <w:rPr>
          <w:noProof/>
          <w:lang w:val="fr-FR"/>
        </w:rPr>
        <w:t>harmonisation des normes et des directives</w:t>
      </w:r>
      <w:r w:rsidR="004562EE" w:rsidRPr="00DF70F3">
        <w:rPr>
          <w:noProof/>
          <w:lang w:val="fr-FR"/>
        </w:rPr>
        <w:t> </w:t>
      </w:r>
      <w:r w:rsidRPr="00DF70F3">
        <w:rPr>
          <w:noProof/>
          <w:lang w:val="fr-FR"/>
        </w:rPr>
        <w:t>; d)</w:t>
      </w:r>
      <w:r w:rsidR="004562EE" w:rsidRPr="00DF70F3">
        <w:rPr>
          <w:noProof/>
          <w:lang w:val="fr-FR"/>
        </w:rPr>
        <w:t> </w:t>
      </w:r>
      <w:r w:rsidRPr="00DF70F3">
        <w:rPr>
          <w:noProof/>
          <w:lang w:val="fr-FR"/>
        </w:rPr>
        <w:t>financement novateur durable pour assurer une coordination accrue</w:t>
      </w:r>
      <w:r w:rsidR="004562EE" w:rsidRPr="00DF70F3">
        <w:rPr>
          <w:noProof/>
          <w:lang w:val="fr-FR"/>
        </w:rPr>
        <w:t> </w:t>
      </w:r>
      <w:r w:rsidRPr="00DF70F3">
        <w:rPr>
          <w:noProof/>
          <w:lang w:val="fr-FR"/>
        </w:rPr>
        <w:t>; et e)</w:t>
      </w:r>
      <w:r w:rsidR="004562EE" w:rsidRPr="00DF70F3">
        <w:rPr>
          <w:noProof/>
          <w:lang w:val="fr-FR"/>
        </w:rPr>
        <w:t> </w:t>
      </w:r>
      <w:r w:rsidRPr="00DF70F3">
        <w:rPr>
          <w:noProof/>
          <w:lang w:val="fr-FR"/>
        </w:rPr>
        <w:t>accès pour tous. Ces</w:t>
      </w:r>
      <w:r w:rsidR="006576C8" w:rsidRPr="00DF70F3">
        <w:rPr>
          <w:noProof/>
          <w:lang w:val="fr-FR"/>
        </w:rPr>
        <w:t> </w:t>
      </w:r>
      <w:r w:rsidRPr="00DF70F3">
        <w:rPr>
          <w:noProof/>
          <w:lang w:val="fr-FR"/>
        </w:rPr>
        <w:t xml:space="preserve">pistes d’action offriront aux parties prenantes d’horizons très divers un espace pour partager et apprendre, en vue de favoriser de nouveaux partenariats et mesures </w:t>
      </w:r>
      <w:r w:rsidR="00E6237E" w:rsidRPr="00DF70F3">
        <w:rPr>
          <w:noProof/>
          <w:lang w:val="fr-FR"/>
        </w:rPr>
        <w:t>ainsi que</w:t>
      </w:r>
      <w:r w:rsidRPr="00DF70F3">
        <w:rPr>
          <w:noProof/>
          <w:lang w:val="fr-FR"/>
        </w:rPr>
        <w:t xml:space="preserve"> de donner une ampleur accrue aux initiatives existantes.</w:t>
      </w:r>
    </w:p>
    <w:p w14:paraId="51687B03" w14:textId="600AD64D" w:rsidR="00242224" w:rsidRPr="00DF70F3" w:rsidRDefault="00242224" w:rsidP="00242224">
      <w:pPr>
        <w:pStyle w:val="Normalnumber"/>
        <w:ind w:left="1276" w:firstLine="0"/>
        <w:rPr>
          <w:noProof/>
          <w:lang w:val="fr-FR"/>
        </w:rPr>
      </w:pPr>
      <w:r w:rsidRPr="00DF70F3">
        <w:rPr>
          <w:noProof/>
          <w:lang w:val="fr-FR"/>
        </w:rPr>
        <w:t>Les plans d’action régionaux et nationaux en matière de déchets marins se sont avérés efficaces. Quasiment toutes les régions disposent à présent d’un tel plan et le PNUE fournira un appui supplémentaire pour l’élaboration et la mise en œuvre de plans d’action nationaux, notamment au travers de la démarche visant à établir des inventaires de sources nationales, qui comprend des aspects pertinents pour la réalisation des objectifs de développement durable</w:t>
      </w:r>
      <w:r w:rsidR="006444EA" w:rsidRPr="00DF70F3">
        <w:rPr>
          <w:noProof/>
          <w:lang w:val="fr-FR"/>
        </w:rPr>
        <w:t> </w:t>
      </w:r>
      <w:r w:rsidRPr="00DF70F3">
        <w:rPr>
          <w:noProof/>
          <w:lang w:val="fr-FR"/>
        </w:rPr>
        <w:t>6, 11, 12 et 14, et au moyen d’examens des législations nationales afin d’orienter l’élaboration de plans d’action.</w:t>
      </w:r>
    </w:p>
    <w:p w14:paraId="2AD6E74E" w14:textId="073A8512" w:rsidR="00242224" w:rsidRPr="00DF70F3" w:rsidRDefault="00242224" w:rsidP="00242224">
      <w:pPr>
        <w:pStyle w:val="Normalnumber"/>
        <w:ind w:left="1276" w:firstLine="0"/>
        <w:rPr>
          <w:noProof/>
          <w:lang w:val="fr-FR"/>
        </w:rPr>
      </w:pPr>
      <w:r w:rsidRPr="00DF70F3">
        <w:rPr>
          <w:noProof/>
          <w:lang w:val="fr-FR"/>
        </w:rPr>
        <w:t>La qualité des données ainsi qu’une surveillance efficace des sources tant terrestres que marines et des quantités, des modes de déplacement, du devenir et de l’impact des déchets marins sont essentielles pour une approche décisionnelle fondée sur des données factuelles à l’appui de l’indicateur</w:t>
      </w:r>
      <w:r w:rsidR="004562EE" w:rsidRPr="00DF70F3">
        <w:rPr>
          <w:noProof/>
          <w:lang w:val="fr-FR"/>
        </w:rPr>
        <w:t> </w:t>
      </w:r>
      <w:r w:rsidRPr="00DF70F3">
        <w:rPr>
          <w:noProof/>
          <w:lang w:val="fr-FR"/>
        </w:rPr>
        <w:t>14.1.1 des objectifs de développement durable. Le programme de formation des formateurs pour la surveillance et l’évaluation des déchets et des microplastiques dans le milieu marin pourrait être davantage étendu. Le PNUE prévoit de réaliser d’autres évaluations des besoins afin de déterminer d’autres domaines spécifiques nécessitant un renforcement des capacités à différents niveaux. Ces domaines peuvent comprendre la collecte et l’analyse de données, l’alimentation et le calibrage de modèles et de calculateurs ainsi que l’établissement de liens entre les données afin d’éclairer la prise de décisions et de mesures futures.</w:t>
      </w:r>
    </w:p>
    <w:p w14:paraId="316AE08F" w14:textId="26070E62" w:rsidR="00242224" w:rsidRPr="00DF70F3" w:rsidRDefault="00242224" w:rsidP="00242224">
      <w:pPr>
        <w:pStyle w:val="Normalnumber"/>
        <w:ind w:left="1276" w:firstLine="0"/>
        <w:rPr>
          <w:noProof/>
          <w:lang w:val="fr-FR"/>
        </w:rPr>
      </w:pPr>
      <w:r w:rsidRPr="00DF70F3">
        <w:rPr>
          <w:noProof/>
          <w:lang w:val="fr-FR"/>
        </w:rPr>
        <w:t xml:space="preserve">L’amélioration des connaissances scientifiques aide à résoudre le problème des déchets et des microplastiques dans le milieu marin. Les méthodes actuelles d’évaluation des risques devraient être améliorées, notamment en établissant un cadre pour l’évaluation des risques pouvant appréhender les risques complexes et les voies d’exposition recensés dans l’évaluation des sources et des modes de déplacement des déchets et des risques y associés, y compris la pollution par les déchets plastiques et les microplastiques, ainsi que dans le </w:t>
      </w:r>
      <w:r w:rsidR="009B78A4" w:rsidRPr="00DF70F3">
        <w:rPr>
          <w:noProof/>
          <w:lang w:val="fr-FR"/>
        </w:rPr>
        <w:t>« </w:t>
      </w:r>
      <w:r w:rsidRPr="00DF70F3">
        <w:rPr>
          <w:i/>
          <w:iCs/>
          <w:noProof/>
          <w:lang w:val="fr-FR"/>
        </w:rPr>
        <w:t>Proceedings of the GESAMP International Workshop on assessing the risks associated with plastics and microplastics in the marine environment</w:t>
      </w:r>
      <w:r w:rsidR="009B78A4" w:rsidRPr="00DF70F3">
        <w:rPr>
          <w:i/>
          <w:iCs/>
          <w:noProof/>
          <w:lang w:val="fr-FR"/>
        </w:rPr>
        <w:t> »</w:t>
      </w:r>
      <w:r w:rsidRPr="00DF70F3">
        <w:rPr>
          <w:i/>
          <w:iCs/>
          <w:noProof/>
          <w:lang w:val="fr-FR"/>
        </w:rPr>
        <w:t xml:space="preserve"> (</w:t>
      </w:r>
      <w:r w:rsidR="009B78A4" w:rsidRPr="00DF70F3">
        <w:rPr>
          <w:i/>
          <w:iCs/>
          <w:noProof/>
          <w:lang w:val="fr-FR"/>
        </w:rPr>
        <w:t>« </w:t>
      </w:r>
      <w:r w:rsidRPr="00DF70F3">
        <w:rPr>
          <w:i/>
          <w:iCs/>
          <w:noProof/>
          <w:lang w:val="fr-FR"/>
        </w:rPr>
        <w:t>Compte-rendu de l’atelier international du GESAMP sur l’évaluation des risques associés aux plastiques et aux microplastiques dans le milieu marin</w:t>
      </w:r>
      <w:r w:rsidR="009B78A4" w:rsidRPr="00DF70F3">
        <w:rPr>
          <w:i/>
          <w:iCs/>
          <w:noProof/>
          <w:lang w:val="fr-FR"/>
        </w:rPr>
        <w:t> »</w:t>
      </w:r>
      <w:r w:rsidRPr="00DF70F3">
        <w:rPr>
          <w:i/>
          <w:iCs/>
          <w:noProof/>
          <w:lang w:val="fr-FR"/>
        </w:rPr>
        <w:t>)</w:t>
      </w:r>
      <w:r w:rsidRPr="00DF70F3">
        <w:rPr>
          <w:noProof/>
          <w:lang w:val="fr-FR"/>
        </w:rPr>
        <w:t>.</w:t>
      </w:r>
    </w:p>
    <w:p w14:paraId="1FFBA50E" w14:textId="30D34B31" w:rsidR="00596A25" w:rsidRPr="00DF70F3" w:rsidRDefault="00B61505" w:rsidP="00B61505">
      <w:pPr>
        <w:pStyle w:val="CH1"/>
        <w:rPr>
          <w:noProof/>
          <w:color w:val="000000"/>
          <w:lang w:val="fr-FR"/>
        </w:rPr>
      </w:pPr>
      <w:r w:rsidRPr="00DF70F3">
        <w:rPr>
          <w:noProof/>
          <w:lang w:val="fr-FR"/>
        </w:rPr>
        <w:tab/>
        <w:t>III.</w:t>
      </w:r>
      <w:r w:rsidRPr="00DF70F3">
        <w:rPr>
          <w:noProof/>
          <w:lang w:val="fr-FR"/>
        </w:rPr>
        <w:tab/>
      </w:r>
      <w:r w:rsidR="00596A25" w:rsidRPr="00DF70F3">
        <w:rPr>
          <w:noProof/>
          <w:lang w:val="fr-FR"/>
        </w:rPr>
        <w:t>Recomm</w:t>
      </w:r>
      <w:r w:rsidR="00237336" w:rsidRPr="00DF70F3">
        <w:rPr>
          <w:noProof/>
          <w:lang w:val="fr-FR"/>
        </w:rPr>
        <w:t>a</w:t>
      </w:r>
      <w:r w:rsidR="00596A25" w:rsidRPr="00DF70F3">
        <w:rPr>
          <w:noProof/>
          <w:lang w:val="fr-FR"/>
        </w:rPr>
        <w:t xml:space="preserve">ndations </w:t>
      </w:r>
      <w:r w:rsidR="00237336" w:rsidRPr="00DF70F3">
        <w:rPr>
          <w:noProof/>
          <w:lang w:val="fr-FR"/>
        </w:rPr>
        <w:t>et mesures proposées</w:t>
      </w:r>
      <w:r w:rsidR="00596A25" w:rsidRPr="00DF70F3">
        <w:rPr>
          <w:noProof/>
          <w:lang w:val="fr-FR"/>
        </w:rPr>
        <w:t xml:space="preserve"> </w:t>
      </w:r>
    </w:p>
    <w:p w14:paraId="267FDD53" w14:textId="4906CDB1" w:rsidR="00596A25" w:rsidRPr="00DF70F3" w:rsidRDefault="00237336" w:rsidP="00DD79A5">
      <w:pPr>
        <w:pStyle w:val="Normalnumber"/>
        <w:ind w:left="1276" w:firstLine="0"/>
        <w:rPr>
          <w:noProof/>
          <w:lang w:val="fr-FR"/>
        </w:rPr>
      </w:pPr>
      <w:bookmarkStart w:id="6" w:name="_Hlk57756571"/>
      <w:r w:rsidRPr="00DF70F3">
        <w:rPr>
          <w:noProof/>
          <w:color w:val="000000" w:themeColor="text1"/>
          <w:lang w:val="fr-FR"/>
        </w:rPr>
        <w:t>L’Assemblée pour l’environnement souhaitera peut-être prendre note et</w:t>
      </w:r>
      <w:r w:rsidR="00596A25" w:rsidRPr="00DF70F3">
        <w:rPr>
          <w:noProof/>
          <w:color w:val="000000" w:themeColor="text1"/>
          <w:lang w:val="fr-FR"/>
        </w:rPr>
        <w:t xml:space="preserve"> </w:t>
      </w:r>
      <w:r w:rsidRPr="00DF70F3">
        <w:rPr>
          <w:noProof/>
          <w:color w:val="000000" w:themeColor="text1"/>
          <w:lang w:val="fr-FR"/>
        </w:rPr>
        <w:t xml:space="preserve">se féliciter de l’achèvement des travaux </w:t>
      </w:r>
      <w:bookmarkEnd w:id="6"/>
      <w:r w:rsidRPr="00DF70F3">
        <w:rPr>
          <w:noProof/>
          <w:color w:val="000000" w:themeColor="text1"/>
          <w:lang w:val="fr-FR"/>
        </w:rPr>
        <w:t>du</w:t>
      </w:r>
      <w:r w:rsidR="00596A25" w:rsidRPr="00DF70F3">
        <w:rPr>
          <w:noProof/>
          <w:color w:val="000000" w:themeColor="text1"/>
          <w:lang w:val="fr-FR"/>
        </w:rPr>
        <w:t xml:space="preserve"> </w:t>
      </w:r>
      <w:r w:rsidRPr="00DF70F3">
        <w:rPr>
          <w:noProof/>
          <w:color w:val="000000" w:themeColor="text1"/>
          <w:lang w:val="fr-FR"/>
        </w:rPr>
        <w:t xml:space="preserve">Groupe spécial d’experts à composition non limitée sur les déchets et les microplastiques dans le milieu marin mis en place </w:t>
      </w:r>
      <w:r w:rsidRPr="00DF70F3">
        <w:rPr>
          <w:noProof/>
          <w:lang w:val="fr-FR"/>
        </w:rPr>
        <w:t>en vertu de la résolution </w:t>
      </w:r>
      <w:r w:rsidR="00596A25" w:rsidRPr="00DF70F3">
        <w:rPr>
          <w:noProof/>
          <w:lang w:val="fr-FR"/>
        </w:rPr>
        <w:t>3/7</w:t>
      </w:r>
      <w:r w:rsidRPr="00DF70F3">
        <w:rPr>
          <w:noProof/>
          <w:lang w:val="fr-FR"/>
        </w:rPr>
        <w:t xml:space="preserve"> de l’Assemblée pour l’environnement</w:t>
      </w:r>
      <w:r w:rsidR="00596A25" w:rsidRPr="00DF70F3">
        <w:rPr>
          <w:noProof/>
          <w:lang w:val="fr-FR"/>
        </w:rPr>
        <w:t xml:space="preserve">, </w:t>
      </w:r>
      <w:r w:rsidRPr="00DF70F3">
        <w:rPr>
          <w:noProof/>
          <w:lang w:val="fr-FR"/>
        </w:rPr>
        <w:t>dont font état les rapports de réunions du Groupe d’experts et le résumé du président</w:t>
      </w:r>
      <w:r w:rsidR="003124C9" w:rsidRPr="00DF70F3">
        <w:rPr>
          <w:noProof/>
          <w:vertAlign w:val="superscript"/>
          <w:lang w:val="fr-FR"/>
        </w:rPr>
        <w:footnoteReference w:id="37"/>
      </w:r>
      <w:r w:rsidR="008B458F" w:rsidRPr="00DF70F3">
        <w:rPr>
          <w:noProof/>
          <w:lang w:val="fr-FR"/>
        </w:rPr>
        <w:t>.</w:t>
      </w:r>
    </w:p>
    <w:p w14:paraId="3644BD47" w14:textId="5737C563" w:rsidR="00596A25" w:rsidRPr="00DF70F3" w:rsidRDefault="009756B1" w:rsidP="00DD79A5">
      <w:pPr>
        <w:pStyle w:val="Normalnumber"/>
        <w:ind w:left="1276" w:firstLine="0"/>
        <w:rPr>
          <w:noProof/>
          <w:lang w:val="fr-FR"/>
        </w:rPr>
      </w:pPr>
      <w:r w:rsidRPr="00DF70F3">
        <w:rPr>
          <w:noProof/>
          <w:lang w:val="fr-FR"/>
        </w:rPr>
        <w:t>L’Assemblée pour l’environnement souhaitera peut-être décider de la future orientation de ses travaux sur les déchets et les microplastiques dans le milieu marin</w:t>
      </w:r>
      <w:r w:rsidR="00606DE1" w:rsidRPr="00DF70F3">
        <w:rPr>
          <w:noProof/>
          <w:lang w:val="fr-FR"/>
        </w:rPr>
        <w:t xml:space="preserve"> à la lumière des options possibles définies par le</w:t>
      </w:r>
      <w:r w:rsidR="00596A25" w:rsidRPr="00DF70F3">
        <w:rPr>
          <w:noProof/>
          <w:lang w:val="fr-FR"/>
        </w:rPr>
        <w:t xml:space="preserve"> </w:t>
      </w:r>
      <w:r w:rsidR="00606DE1" w:rsidRPr="00DF70F3">
        <w:rPr>
          <w:noProof/>
          <w:lang w:val="fr-FR"/>
        </w:rPr>
        <w:t>Groupe spécial d’experts à composition non limitée sur les déchets et les microplastiques dans le milieu marin</w:t>
      </w:r>
      <w:r w:rsidR="008B458F" w:rsidRPr="00DF70F3">
        <w:rPr>
          <w:noProof/>
          <w:lang w:val="fr-FR"/>
        </w:rPr>
        <w:t>.</w:t>
      </w:r>
      <w:r w:rsidR="00596A25" w:rsidRPr="00DF70F3">
        <w:rPr>
          <w:noProof/>
          <w:lang w:val="fr-FR"/>
        </w:rPr>
        <w:t xml:space="preserve"> </w:t>
      </w:r>
    </w:p>
    <w:p w14:paraId="4A308F64" w14:textId="2B066202" w:rsidR="00596A25" w:rsidRPr="00DF70F3" w:rsidRDefault="00606DE1" w:rsidP="00DD79A5">
      <w:pPr>
        <w:pStyle w:val="Normalnumber"/>
        <w:ind w:left="1276" w:firstLine="0"/>
        <w:rPr>
          <w:noProof/>
          <w:lang w:val="fr-FR"/>
        </w:rPr>
      </w:pPr>
      <w:r w:rsidRPr="00DF70F3">
        <w:rPr>
          <w:noProof/>
          <w:lang w:val="fr-FR"/>
        </w:rPr>
        <w:lastRenderedPageBreak/>
        <w:t>En prévision de la reprise de sa cinquième session, l’Assemblée pour l’environnement souhaitera peut-être prier la Directrice exécutive de constituer un groupe d’experts informel sur les déchets et les microplastiques dans le milieu marin</w:t>
      </w:r>
      <w:r w:rsidR="008B458F" w:rsidRPr="00DF70F3">
        <w:rPr>
          <w:noProof/>
          <w:lang w:val="fr-FR"/>
        </w:rPr>
        <w:t>.</w:t>
      </w:r>
      <w:r w:rsidR="00596A25" w:rsidRPr="00DF70F3">
        <w:rPr>
          <w:noProof/>
          <w:lang w:val="fr-FR"/>
        </w:rPr>
        <w:t xml:space="preserve"> </w:t>
      </w:r>
    </w:p>
    <w:p w14:paraId="60458CB0" w14:textId="29F30A0C" w:rsidR="00596A25" w:rsidRPr="00DF70F3" w:rsidRDefault="00606DE1" w:rsidP="00DD79A5">
      <w:pPr>
        <w:pStyle w:val="Normalnumber"/>
        <w:ind w:left="1276" w:firstLine="0"/>
        <w:rPr>
          <w:noProof/>
          <w:lang w:val="fr-FR"/>
        </w:rPr>
      </w:pPr>
      <w:r w:rsidRPr="00DF70F3">
        <w:rPr>
          <w:noProof/>
          <w:lang w:val="fr-FR"/>
        </w:rPr>
        <w:t>L’Assemblée pour l’environnement souhaitera peut-être prendre note des conclusions de l’évaluation des sources et des modes de déplacement des déchets et des risques y associés, y compris la pollution par les déchets plastiques et les microplastiques</w:t>
      </w:r>
      <w:r w:rsidR="00596A25" w:rsidRPr="00DF70F3">
        <w:rPr>
          <w:noProof/>
          <w:vertAlign w:val="superscript"/>
          <w:lang w:val="fr-FR"/>
        </w:rPr>
        <w:footnoteReference w:id="38"/>
      </w:r>
      <w:r w:rsidRPr="00DF70F3">
        <w:rPr>
          <w:noProof/>
          <w:lang w:val="fr-FR"/>
        </w:rPr>
        <w:t>.</w:t>
      </w:r>
    </w:p>
    <w:p w14:paraId="31861A8C" w14:textId="799164C9" w:rsidR="00596A25" w:rsidRPr="00DF70F3" w:rsidRDefault="00606DE1" w:rsidP="00DD79A5">
      <w:pPr>
        <w:pStyle w:val="Normalnumber"/>
        <w:ind w:left="1276" w:firstLine="0"/>
        <w:rPr>
          <w:noProof/>
          <w:lang w:val="fr-FR"/>
        </w:rPr>
      </w:pPr>
      <w:r w:rsidRPr="00DF70F3">
        <w:rPr>
          <w:noProof/>
          <w:lang w:val="fr-FR"/>
        </w:rPr>
        <w:t xml:space="preserve">L’Assemblée pour l’environnement souhaitera peut-être inviter les États </w:t>
      </w:r>
      <w:r w:rsidR="00D970AD" w:rsidRPr="00DF70F3">
        <w:rPr>
          <w:noProof/>
          <w:lang w:val="fr-FR"/>
        </w:rPr>
        <w:t>m</w:t>
      </w:r>
      <w:r w:rsidRPr="00DF70F3">
        <w:rPr>
          <w:noProof/>
          <w:lang w:val="fr-FR"/>
        </w:rPr>
        <w:t>embres et les parties prenantes concernées qui ne l’ont pas encore fait à rejoindre le</w:t>
      </w:r>
      <w:r w:rsidR="00596A25" w:rsidRPr="00DF70F3">
        <w:rPr>
          <w:noProof/>
          <w:lang w:val="fr-FR"/>
        </w:rPr>
        <w:t xml:space="preserve"> </w:t>
      </w:r>
      <w:r w:rsidRPr="00DF70F3">
        <w:rPr>
          <w:noProof/>
          <w:lang w:val="fr-FR"/>
        </w:rPr>
        <w:t xml:space="preserve">Partenariat mondial sur les déchets marins </w:t>
      </w:r>
      <w:r w:rsidR="004022EF" w:rsidRPr="00DF70F3">
        <w:rPr>
          <w:noProof/>
          <w:lang w:val="fr-FR"/>
        </w:rPr>
        <w:t>et la campagne</w:t>
      </w:r>
      <w:r w:rsidR="00596A25" w:rsidRPr="00DF70F3">
        <w:rPr>
          <w:noProof/>
          <w:lang w:val="fr-FR"/>
        </w:rPr>
        <w:t xml:space="preserve"> </w:t>
      </w:r>
      <w:r w:rsidR="004022EF" w:rsidRPr="00DF70F3">
        <w:rPr>
          <w:noProof/>
          <w:lang w:val="fr-FR"/>
        </w:rPr>
        <w:t>« Océans propres »</w:t>
      </w:r>
      <w:r w:rsidR="00481FB2" w:rsidRPr="00DF70F3">
        <w:rPr>
          <w:noProof/>
          <w:lang w:val="fr-FR"/>
        </w:rPr>
        <w:t>.</w:t>
      </w:r>
    </w:p>
    <w:p w14:paraId="43FBE2FF" w14:textId="508A7344" w:rsidR="008154E7" w:rsidRPr="00DF70F3" w:rsidRDefault="009700B8" w:rsidP="00DD79A5">
      <w:pPr>
        <w:pStyle w:val="Normalnumber"/>
        <w:ind w:left="1276" w:firstLine="0"/>
        <w:rPr>
          <w:rFonts w:eastAsia="MS Mincho"/>
          <w:noProof/>
          <w:color w:val="000000"/>
          <w:lang w:val="fr-FR"/>
        </w:rPr>
      </w:pPr>
      <w:r w:rsidRPr="00DF70F3">
        <w:rPr>
          <w:noProof/>
          <w:lang w:val="fr-FR"/>
        </w:rPr>
        <w:t>L’Assemblée pour l’environnement souhaitera peut-être inviter les gouvernements, le secteur privé, des fondations et d’autres organisations à appuyer les travaux</w:t>
      </w:r>
      <w:r w:rsidR="00596A25" w:rsidRPr="00DF70F3">
        <w:rPr>
          <w:noProof/>
          <w:lang w:val="fr-FR"/>
        </w:rPr>
        <w:t xml:space="preserve"> </w:t>
      </w:r>
      <w:r w:rsidRPr="00DF70F3">
        <w:rPr>
          <w:noProof/>
          <w:lang w:val="fr-FR"/>
        </w:rPr>
        <w:t>du Programme des Nations Unies pour l’environnement concernant les déchets et les microplastiques dans le milieu marin au moyen de contributions financières volontaires</w:t>
      </w:r>
      <w:r w:rsidR="00596A25" w:rsidRPr="00DF70F3">
        <w:rPr>
          <w:rFonts w:eastAsia="MS Mincho"/>
          <w:noProof/>
          <w:color w:val="000000"/>
          <w:lang w:val="fr-FR"/>
        </w:rPr>
        <w:t>.</w:t>
      </w:r>
      <w:bookmarkStart w:id="7" w:name="_GoBack"/>
      <w:bookmarkEnd w:id="7"/>
    </w:p>
    <w:tbl>
      <w:tblPr>
        <w:tblStyle w:val="TableGrid"/>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1899"/>
        <w:gridCol w:w="1899"/>
        <w:gridCol w:w="1899"/>
        <w:gridCol w:w="1899"/>
      </w:tblGrid>
      <w:tr w:rsidR="00A04105" w:rsidRPr="00DF70F3" w14:paraId="32BBE16F" w14:textId="77777777" w:rsidTr="00E53478">
        <w:trPr>
          <w:jc w:val="right"/>
        </w:trPr>
        <w:tc>
          <w:tcPr>
            <w:tcW w:w="1900" w:type="dxa"/>
          </w:tcPr>
          <w:p w14:paraId="63ED748C" w14:textId="77777777" w:rsidR="00A04105" w:rsidRPr="00DF70F3" w:rsidRDefault="00A04105" w:rsidP="00E53478">
            <w:pPr>
              <w:pStyle w:val="Normalpool"/>
              <w:spacing w:before="520"/>
              <w:rPr>
                <w:rFonts w:eastAsiaTheme="minorHAnsi"/>
                <w:noProof/>
                <w:lang w:val="fr-FR"/>
              </w:rPr>
            </w:pPr>
          </w:p>
        </w:tc>
        <w:tc>
          <w:tcPr>
            <w:tcW w:w="1899" w:type="dxa"/>
          </w:tcPr>
          <w:p w14:paraId="279D16AC" w14:textId="77777777" w:rsidR="00A04105" w:rsidRPr="00DF70F3" w:rsidRDefault="00A04105" w:rsidP="00E53478">
            <w:pPr>
              <w:pStyle w:val="Normalpool"/>
              <w:spacing w:before="520"/>
              <w:rPr>
                <w:rFonts w:eastAsiaTheme="minorHAnsi"/>
                <w:noProof/>
                <w:lang w:val="fr-FR"/>
              </w:rPr>
            </w:pPr>
          </w:p>
        </w:tc>
        <w:tc>
          <w:tcPr>
            <w:tcW w:w="1899" w:type="dxa"/>
            <w:tcBorders>
              <w:bottom w:val="single" w:sz="4" w:space="0" w:color="auto"/>
            </w:tcBorders>
          </w:tcPr>
          <w:p w14:paraId="507B88F8" w14:textId="77777777" w:rsidR="00A04105" w:rsidRPr="00DF70F3" w:rsidRDefault="00A04105" w:rsidP="00E53478">
            <w:pPr>
              <w:pStyle w:val="Normalpool"/>
              <w:spacing w:before="520"/>
              <w:rPr>
                <w:rFonts w:eastAsiaTheme="minorHAnsi"/>
                <w:noProof/>
                <w:lang w:val="fr-FR"/>
              </w:rPr>
            </w:pPr>
          </w:p>
        </w:tc>
        <w:tc>
          <w:tcPr>
            <w:tcW w:w="1899" w:type="dxa"/>
          </w:tcPr>
          <w:p w14:paraId="2E426CAF" w14:textId="77777777" w:rsidR="00A04105" w:rsidRPr="00DF70F3" w:rsidRDefault="00A04105" w:rsidP="00E53478">
            <w:pPr>
              <w:pStyle w:val="Normalpool"/>
              <w:spacing w:before="520"/>
              <w:rPr>
                <w:rFonts w:eastAsiaTheme="minorHAnsi"/>
                <w:noProof/>
                <w:lang w:val="fr-FR"/>
              </w:rPr>
            </w:pPr>
          </w:p>
        </w:tc>
        <w:tc>
          <w:tcPr>
            <w:tcW w:w="1899" w:type="dxa"/>
          </w:tcPr>
          <w:p w14:paraId="45504034" w14:textId="77777777" w:rsidR="00A04105" w:rsidRPr="00DF70F3" w:rsidRDefault="00A04105" w:rsidP="00E53478">
            <w:pPr>
              <w:pStyle w:val="Normalpool"/>
              <w:spacing w:before="520"/>
              <w:rPr>
                <w:rFonts w:eastAsiaTheme="minorHAnsi"/>
                <w:noProof/>
                <w:lang w:val="fr-FR"/>
              </w:rPr>
            </w:pPr>
          </w:p>
        </w:tc>
      </w:tr>
    </w:tbl>
    <w:p w14:paraId="6A74E4DF" w14:textId="77777777" w:rsidR="00A04105" w:rsidRPr="00DF70F3" w:rsidRDefault="00A04105" w:rsidP="00A04105">
      <w:pPr>
        <w:pStyle w:val="Normalnumber"/>
        <w:numPr>
          <w:ilvl w:val="0"/>
          <w:numId w:val="0"/>
        </w:numPr>
        <w:ind w:left="1276"/>
        <w:rPr>
          <w:rFonts w:eastAsia="MS Mincho"/>
          <w:noProof/>
          <w:color w:val="000000"/>
          <w:lang w:val="fr-FR"/>
        </w:rPr>
      </w:pPr>
    </w:p>
    <w:bookmarkEnd w:id="0"/>
    <w:bookmarkEnd w:id="1"/>
    <w:p w14:paraId="76163505" w14:textId="77777777" w:rsidR="000A4AAE" w:rsidRPr="00DF70F3" w:rsidRDefault="000A4AAE" w:rsidP="00A04105">
      <w:pPr>
        <w:pStyle w:val="Normalpool"/>
        <w:rPr>
          <w:rFonts w:eastAsiaTheme="minorHAnsi"/>
          <w:noProof/>
          <w:lang w:val="fr-FR"/>
        </w:rPr>
      </w:pPr>
    </w:p>
    <w:sectPr w:rsidR="000A4AAE" w:rsidRPr="00DF70F3" w:rsidSect="004676AC">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49450" w14:textId="77777777" w:rsidR="005E7A08" w:rsidRDefault="005E7A08">
      <w:r>
        <w:separator/>
      </w:r>
    </w:p>
  </w:endnote>
  <w:endnote w:type="continuationSeparator" w:id="0">
    <w:p w14:paraId="0D73E675" w14:textId="77777777" w:rsidR="005E7A08" w:rsidRDefault="005E7A08">
      <w:r>
        <w:continuationSeparator/>
      </w:r>
    </w:p>
  </w:endnote>
  <w:endnote w:type="continuationNotice" w:id="1">
    <w:p w14:paraId="2AEEA8AE" w14:textId="77777777" w:rsidR="005E7A08" w:rsidRDefault="005E7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076849"/>
      <w:docPartObj>
        <w:docPartGallery w:val="Page Numbers (Bottom of Page)"/>
        <w:docPartUnique/>
      </w:docPartObj>
    </w:sdtPr>
    <w:sdtEndPr>
      <w:rPr>
        <w:b/>
        <w:bCs/>
        <w:noProof/>
      </w:rPr>
    </w:sdtEndPr>
    <w:sdtContent>
      <w:p w14:paraId="0B1BA7B2" w14:textId="0AD82A51" w:rsidR="000A5FA1" w:rsidRPr="000A5FA1" w:rsidRDefault="000A5FA1">
        <w:pPr>
          <w:pStyle w:val="Footer"/>
          <w:rPr>
            <w:b/>
            <w:bCs/>
          </w:rPr>
        </w:pPr>
        <w:r w:rsidRPr="000A5FA1">
          <w:rPr>
            <w:b/>
            <w:bCs/>
          </w:rPr>
          <w:fldChar w:fldCharType="begin"/>
        </w:r>
        <w:r w:rsidRPr="000A5FA1">
          <w:rPr>
            <w:b/>
            <w:bCs/>
          </w:rPr>
          <w:instrText xml:space="preserve"> PAGE   \* MERGEFORMAT </w:instrText>
        </w:r>
        <w:r w:rsidRPr="000A5FA1">
          <w:rPr>
            <w:b/>
            <w:bCs/>
          </w:rPr>
          <w:fldChar w:fldCharType="separate"/>
        </w:r>
        <w:r w:rsidRPr="000A5FA1">
          <w:rPr>
            <w:b/>
            <w:bCs/>
            <w:noProof/>
          </w:rPr>
          <w:t>2</w:t>
        </w:r>
        <w:r w:rsidRPr="000A5FA1">
          <w:rPr>
            <w:b/>
            <w:bCs/>
            <w:noProof/>
          </w:rPr>
          <w:fldChar w:fldCharType="end"/>
        </w:r>
      </w:p>
    </w:sdtContent>
  </w:sdt>
  <w:p w14:paraId="2F79AC4C" w14:textId="77777777" w:rsidR="004676AC" w:rsidRDefault="004676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419832"/>
      <w:docPartObj>
        <w:docPartGallery w:val="Page Numbers (Bottom of Page)"/>
        <w:docPartUnique/>
      </w:docPartObj>
    </w:sdtPr>
    <w:sdtEndPr>
      <w:rPr>
        <w:noProof/>
      </w:rPr>
    </w:sdtEndPr>
    <w:sdtContent>
      <w:p w14:paraId="52C22A84" w14:textId="785AC92A" w:rsidR="000A5FA1" w:rsidRDefault="000A5FA1">
        <w:pPr>
          <w:pStyle w:val="Footer"/>
          <w:jc w:val="right"/>
        </w:pPr>
        <w:r w:rsidRPr="000A5FA1">
          <w:rPr>
            <w:b/>
            <w:bCs/>
          </w:rPr>
          <w:fldChar w:fldCharType="begin"/>
        </w:r>
        <w:r w:rsidRPr="000A5FA1">
          <w:rPr>
            <w:b/>
            <w:bCs/>
          </w:rPr>
          <w:instrText xml:space="preserve"> PAGE   \* MERGEFORMAT </w:instrText>
        </w:r>
        <w:r w:rsidRPr="000A5FA1">
          <w:rPr>
            <w:b/>
            <w:bCs/>
          </w:rPr>
          <w:fldChar w:fldCharType="separate"/>
        </w:r>
        <w:r w:rsidRPr="000A5FA1">
          <w:rPr>
            <w:b/>
            <w:bCs/>
            <w:noProof/>
          </w:rPr>
          <w:t>2</w:t>
        </w:r>
        <w:r w:rsidRPr="000A5FA1">
          <w:rPr>
            <w:b/>
            <w:bCs/>
            <w:noProof/>
          </w:rPr>
          <w:fldChar w:fldCharType="end"/>
        </w:r>
      </w:p>
    </w:sdtContent>
  </w:sdt>
  <w:p w14:paraId="7B41B9A7" w14:textId="77777777" w:rsidR="004676AC" w:rsidRDefault="004676AC" w:rsidP="000A5FA1">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998850"/>
      <w:docPartObj>
        <w:docPartGallery w:val="Page Numbers (Bottom of Page)"/>
        <w:docPartUnique/>
      </w:docPartObj>
    </w:sdtPr>
    <w:sdtEndPr>
      <w:rPr>
        <w:noProof/>
      </w:rPr>
    </w:sdtEndPr>
    <w:sdtContent>
      <w:bookmarkStart w:id="8" w:name="_Hlk50460656" w:displacedByCustomXml="prev"/>
      <w:bookmarkStart w:id="9" w:name="_Hlk50460655" w:displacedByCustomXml="prev"/>
      <w:bookmarkStart w:id="10" w:name="_Hlk50460654" w:displacedByCustomXml="prev"/>
      <w:bookmarkStart w:id="11" w:name="_Hlk50460653" w:displacedByCustomXml="prev"/>
      <w:p w14:paraId="437DD558" w14:textId="77777777" w:rsidR="004676AC" w:rsidRPr="007C5083" w:rsidRDefault="004676AC" w:rsidP="004676AC">
        <w:pPr>
          <w:pStyle w:val="Footer-pool"/>
          <w:rPr>
            <w:b w:val="0"/>
            <w:bCs/>
            <w:sz w:val="20"/>
          </w:rPr>
        </w:pPr>
        <w:r w:rsidRPr="007C5083">
          <w:rPr>
            <w:b w:val="0"/>
            <w:bCs/>
            <w:sz w:val="20"/>
          </w:rPr>
          <w:t>K200</w:t>
        </w:r>
        <w:r>
          <w:rPr>
            <w:b w:val="0"/>
            <w:bCs/>
            <w:sz w:val="20"/>
          </w:rPr>
          <w:t>2795</w:t>
        </w:r>
        <w:r w:rsidRPr="007C5083">
          <w:rPr>
            <w:b w:val="0"/>
            <w:bCs/>
            <w:sz w:val="20"/>
          </w:rPr>
          <w:tab/>
        </w:r>
        <w:bookmarkEnd w:id="11"/>
        <w:bookmarkEnd w:id="10"/>
        <w:bookmarkEnd w:id="9"/>
        <w:bookmarkEnd w:id="8"/>
        <w:r w:rsidRPr="003124C9">
          <w:rPr>
            <w:b w:val="0"/>
            <w:bCs/>
            <w:sz w:val="20"/>
          </w:rPr>
          <w:t>0</w:t>
        </w:r>
        <w:r>
          <w:rPr>
            <w:b w:val="0"/>
            <w:bCs/>
            <w:sz w:val="20"/>
          </w:rPr>
          <w:t>8</w:t>
        </w:r>
        <w:r w:rsidRPr="003124C9">
          <w:rPr>
            <w:b w:val="0"/>
            <w:bCs/>
            <w:sz w:val="20"/>
          </w:rPr>
          <w:t>0121</w:t>
        </w:r>
      </w:p>
      <w:p w14:paraId="38944CA3" w14:textId="4D6E7958" w:rsidR="00EA4A5D" w:rsidRPr="009A790C" w:rsidRDefault="00090536" w:rsidP="009A790C">
        <w:pPr>
          <w:pStyle w:val="Footer-pool"/>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CF16B" w14:textId="77777777" w:rsidR="005E7A08" w:rsidRPr="0011200E" w:rsidRDefault="005E7A08" w:rsidP="002C4AC3">
      <w:pPr>
        <w:pStyle w:val="Normalpool"/>
        <w:tabs>
          <w:tab w:val="clear" w:pos="1247"/>
          <w:tab w:val="left" w:pos="624"/>
        </w:tabs>
        <w:spacing w:before="60"/>
        <w:ind w:left="624"/>
        <w:rPr>
          <w:sz w:val="18"/>
          <w:szCs w:val="18"/>
        </w:rPr>
      </w:pPr>
      <w:r w:rsidRPr="0011200E">
        <w:rPr>
          <w:sz w:val="18"/>
          <w:szCs w:val="18"/>
        </w:rPr>
        <w:separator/>
      </w:r>
    </w:p>
  </w:footnote>
  <w:footnote w:type="continuationSeparator" w:id="0">
    <w:p w14:paraId="16B56FF7" w14:textId="77777777" w:rsidR="005E7A08" w:rsidRDefault="005E7A08">
      <w:r>
        <w:continuationSeparator/>
      </w:r>
    </w:p>
  </w:footnote>
  <w:footnote w:type="continuationNotice" w:id="1">
    <w:p w14:paraId="7759120B" w14:textId="77777777" w:rsidR="005E7A08" w:rsidRDefault="005E7A08"/>
  </w:footnote>
  <w:footnote w:id="2">
    <w:p w14:paraId="5E10CAAC" w14:textId="62F794F5"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vertAlign w:val="baseline"/>
          <w:lang w:val="fr-FR"/>
        </w:rPr>
        <w:t>*</w:t>
      </w:r>
      <w:r w:rsidRPr="001D03F5">
        <w:rPr>
          <w:sz w:val="18"/>
          <w:szCs w:val="18"/>
          <w:lang w:val="fr-FR"/>
        </w:rPr>
        <w:t xml:space="preserve"> Conformément à </w:t>
      </w:r>
      <w:r w:rsidR="00A70BCB">
        <w:rPr>
          <w:sz w:val="18"/>
          <w:szCs w:val="18"/>
          <w:lang w:val="fr-FR"/>
        </w:rPr>
        <w:t>la</w:t>
      </w:r>
      <w:r w:rsidRPr="001D03F5">
        <w:rPr>
          <w:sz w:val="18"/>
          <w:szCs w:val="18"/>
          <w:lang w:val="fr-FR"/>
        </w:rPr>
        <w:t xml:space="preserve"> décision prise lors de la réunion du Bureau de l’Assemblée des Nations</w:t>
      </w:r>
      <w:r w:rsidR="000F71D4">
        <w:rPr>
          <w:sz w:val="18"/>
          <w:szCs w:val="18"/>
          <w:lang w:val="fr-FR"/>
        </w:rPr>
        <w:t> </w:t>
      </w:r>
      <w:r w:rsidRPr="001D03F5">
        <w:rPr>
          <w:sz w:val="18"/>
          <w:szCs w:val="18"/>
          <w:lang w:val="fr-FR"/>
        </w:rPr>
        <w:t xml:space="preserve">Unies pour l’environnement qui s’est tenue le 8 octobre 2020 et lors de la réunion conjointe des Bureaux de l’Assemblée </w:t>
      </w:r>
      <w:r w:rsidR="00A964B0">
        <w:rPr>
          <w:sz w:val="18"/>
          <w:szCs w:val="18"/>
          <w:lang w:val="fr-FR"/>
        </w:rPr>
        <w:t xml:space="preserve">des Nations Unies </w:t>
      </w:r>
      <w:r w:rsidRPr="001D03F5">
        <w:rPr>
          <w:sz w:val="18"/>
          <w:szCs w:val="18"/>
          <w:lang w:val="fr-FR"/>
        </w:rPr>
        <w:t>pour l’environnement et du Comité des représentants permanents qui s’est tenue le 1</w:t>
      </w:r>
      <w:r w:rsidRPr="001D03F5">
        <w:rPr>
          <w:sz w:val="18"/>
          <w:szCs w:val="18"/>
          <w:vertAlign w:val="superscript"/>
          <w:lang w:val="fr-FR"/>
        </w:rPr>
        <w:t>er</w:t>
      </w:r>
      <w:r w:rsidRPr="001D03F5">
        <w:rPr>
          <w:sz w:val="18"/>
          <w:szCs w:val="18"/>
          <w:lang w:val="fr-FR"/>
        </w:rPr>
        <w:t> décembre 2020, la cinquième</w:t>
      </w:r>
      <w:r w:rsidR="000F71D4">
        <w:rPr>
          <w:sz w:val="18"/>
          <w:szCs w:val="18"/>
          <w:lang w:val="fr-FR"/>
        </w:rPr>
        <w:t> </w:t>
      </w:r>
      <w:r w:rsidRPr="001D03F5">
        <w:rPr>
          <w:sz w:val="18"/>
          <w:szCs w:val="18"/>
          <w:lang w:val="fr-FR"/>
        </w:rPr>
        <w:t>session de l’Assemblée devrait être ajournée le 23 février 2021 et reprendre en présentiel en février 2022.</w:t>
      </w:r>
    </w:p>
  </w:footnote>
  <w:footnote w:id="3">
    <w:p w14:paraId="41E08993" w14:textId="2C48578C"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vertAlign w:val="baseline"/>
          <w:lang w:val="fr-FR"/>
        </w:rPr>
        <w:t>*</w:t>
      </w:r>
      <w:r w:rsidRPr="001D03F5">
        <w:rPr>
          <w:sz w:val="18"/>
          <w:szCs w:val="18"/>
          <w:lang w:val="fr-FR"/>
        </w:rPr>
        <w:t>* UNEP/EA.5/1/Rev.1.</w:t>
      </w:r>
    </w:p>
  </w:footnote>
  <w:footnote w:id="4">
    <w:p w14:paraId="4F374A37" w14:textId="4D0E7AAA"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La santé et la productivité des écosystèmes terrestres, marins et d’eau douce sont institutionnalisées dans le domaine de l’éducation et dans les cadres de surveillance et de collaboration intersectoriels et transfrontières aux niveaux national et international.</w:t>
      </w:r>
    </w:p>
  </w:footnote>
  <w:footnote w:id="5">
    <w:p w14:paraId="025D7B16" w14:textId="2C2C91B4"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Renforcement des capacités institutionnelles et des cadres politiques ou juridiques afin d’atteindre les objectifs environnementaux arrêtés au niveau international, y compris les objectifs de développement durable.</w:t>
      </w:r>
    </w:p>
  </w:footnote>
  <w:footnote w:id="6">
    <w:p w14:paraId="73927A5A" w14:textId="2C61BB1D"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Les pays élaborent et mettent en œuvre des politiques ainsi que des stratégies et mécanismes juridiques, institutionnels et budgétaires visant à assurer une gestion rationnelle des produits chimiques dans le cadre des accords multilatéraux sur l’environnement pertinents et de l’Approche stratégique de la gestion internationale des produits chimiques.</w:t>
      </w:r>
    </w:p>
  </w:footnote>
  <w:footnote w:id="7">
    <w:p w14:paraId="0E29526C" w14:textId="7F07158D"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Les pays élaborent et mettent en œuvre des politiques ainsi que des stratégies et mécanismes juridiques, institutionnels et budgétaires visant à prévenir la production de déchets et à assurer une gestion rationnelle des déchets dans le cadre des accords multilatéraux sur l’environnement pertinents.</w:t>
      </w:r>
    </w:p>
  </w:footnote>
  <w:footnote w:id="8">
    <w:p w14:paraId="1F267FB5" w14:textId="41E797EE"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Les gouvernements et les autres parties prenantes utilisent des données environnementales, des analyses et des processus participatifs de qualité qui renforcent le lien entre science et politique de manière à établir des évaluations environnementales fondées sur des données factuelles, à déceler les nouveaux problèmes et à favoriser l’action politique.</w:t>
      </w:r>
    </w:p>
  </w:footnote>
  <w:footnote w:id="9">
    <w:p w14:paraId="3281BF1E" w14:textId="7CF5C12B"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hyperlink r:id="rId1" w:history="1">
        <w:r w:rsidRPr="001D03F5">
          <w:rPr>
            <w:rStyle w:val="Hyperlink"/>
            <w:sz w:val="18"/>
            <w:szCs w:val="18"/>
          </w:rPr>
          <w:t>https://www.gpmarinelitter.org/who-we-are/regional-nodes</w:t>
        </w:r>
      </w:hyperlink>
      <w:r w:rsidRPr="001D03F5">
        <w:rPr>
          <w:sz w:val="18"/>
          <w:szCs w:val="18"/>
          <w:lang w:val="fr-FR"/>
        </w:rPr>
        <w:t>.</w:t>
      </w:r>
    </w:p>
  </w:footnote>
  <w:footnote w:id="10">
    <w:p w14:paraId="368DB691" w14:textId="32E985A0"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hyperlink r:id="rId2" w:history="1">
        <w:r w:rsidRPr="001D03F5">
          <w:rPr>
            <w:rStyle w:val="Hyperlink"/>
            <w:sz w:val="18"/>
            <w:szCs w:val="18"/>
          </w:rPr>
          <w:t>https://papersmart.unon.org/resolution/uploads/3_aheg_inf_7_-_marine_litter-_guidelines_for_designing_regional_action_plans_summary.pdf</w:t>
        </w:r>
      </w:hyperlink>
      <w:r w:rsidRPr="001D03F5">
        <w:rPr>
          <w:sz w:val="18"/>
          <w:szCs w:val="18"/>
          <w:lang w:val="fr-FR"/>
        </w:rPr>
        <w:t>.</w:t>
      </w:r>
    </w:p>
  </w:footnote>
  <w:footnote w:id="11">
    <w:p w14:paraId="512DA718" w14:textId="0DFEF2C4"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http://www.gesamp.org/publications/guidelines-for-the-monitoring-and-assessment-of-plastic-litter-in-the-ocean.</w:t>
      </w:r>
    </w:p>
  </w:footnote>
  <w:footnote w:id="12">
    <w:p w14:paraId="58EEDD10" w14:textId="77777777"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hyperlink r:id="rId3" w:history="1">
        <w:r w:rsidRPr="001D03F5">
          <w:rPr>
            <w:rStyle w:val="Hyperlink"/>
            <w:sz w:val="18"/>
            <w:szCs w:val="18"/>
          </w:rPr>
          <w:t>https://www.unenvironment.org/cobsea/events/workshop/training-trainers-monitoring-and-assessment-marine-plastic-litter-and-microplastics</w:t>
        </w:r>
      </w:hyperlink>
      <w:r w:rsidRPr="001D03F5">
        <w:rPr>
          <w:sz w:val="18"/>
          <w:szCs w:val="18"/>
          <w:lang w:val="fr-FR"/>
        </w:rPr>
        <w:t>.</w:t>
      </w:r>
    </w:p>
  </w:footnote>
  <w:footnote w:id="13">
    <w:p w14:paraId="58BFF2D0" w14:textId="5E6A46C6"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Les directives seront disponibles avant la cinquième session de l’Assemblée pour l’environnement.</w:t>
      </w:r>
    </w:p>
  </w:footnote>
  <w:footnote w:id="14">
    <w:p w14:paraId="56D2F04D" w14:textId="66F28056" w:rsidR="00EA4A5D" w:rsidRPr="001D03F5" w:rsidRDefault="00EA4A5D" w:rsidP="002C4AC3">
      <w:pPr>
        <w:pStyle w:val="Normalpool"/>
        <w:tabs>
          <w:tab w:val="clear" w:pos="1247"/>
          <w:tab w:val="left" w:pos="624"/>
        </w:tabs>
        <w:spacing w:before="20" w:after="40"/>
        <w:ind w:left="1247"/>
        <w:rPr>
          <w:noProof/>
          <w:sz w:val="18"/>
          <w:szCs w:val="18"/>
          <w:lang w:val="fr-FR"/>
        </w:rPr>
      </w:pPr>
      <w:r w:rsidRPr="001D03F5">
        <w:rPr>
          <w:rStyle w:val="FootnoteReference"/>
          <w:noProof/>
          <w:sz w:val="18"/>
          <w:lang w:val="fr-FR"/>
        </w:rPr>
        <w:footnoteRef/>
      </w:r>
      <w:r w:rsidRPr="001D03F5">
        <w:rPr>
          <w:noProof/>
          <w:sz w:val="18"/>
          <w:szCs w:val="18"/>
          <w:lang w:val="fr-FR"/>
        </w:rPr>
        <w:t xml:space="preserve"> Proportion de déchets solides </w:t>
      </w:r>
      <w:r w:rsidR="00884BA5">
        <w:rPr>
          <w:noProof/>
          <w:sz w:val="18"/>
          <w:szCs w:val="18"/>
          <w:lang w:val="fr-FR"/>
        </w:rPr>
        <w:t xml:space="preserve">municipaux </w:t>
      </w:r>
      <w:r w:rsidR="000A11DB">
        <w:rPr>
          <w:noProof/>
          <w:sz w:val="18"/>
          <w:szCs w:val="18"/>
          <w:lang w:val="fr-FR"/>
        </w:rPr>
        <w:t>c</w:t>
      </w:r>
      <w:r w:rsidRPr="001D03F5">
        <w:rPr>
          <w:noProof/>
          <w:sz w:val="18"/>
          <w:szCs w:val="18"/>
          <w:lang w:val="fr-FR"/>
        </w:rPr>
        <w:t xml:space="preserve">ollectés et </w:t>
      </w:r>
      <w:r w:rsidR="003E2957">
        <w:rPr>
          <w:noProof/>
          <w:sz w:val="18"/>
          <w:szCs w:val="18"/>
          <w:lang w:val="fr-FR"/>
        </w:rPr>
        <w:t>g</w:t>
      </w:r>
      <w:r w:rsidRPr="001D03F5">
        <w:rPr>
          <w:noProof/>
          <w:sz w:val="18"/>
          <w:szCs w:val="18"/>
          <w:lang w:val="fr-FR"/>
        </w:rPr>
        <w:t>é</w:t>
      </w:r>
      <w:r w:rsidR="003E2957">
        <w:rPr>
          <w:noProof/>
          <w:sz w:val="18"/>
          <w:szCs w:val="18"/>
          <w:lang w:val="fr-FR"/>
        </w:rPr>
        <w:t>rés</w:t>
      </w:r>
      <w:r w:rsidR="00336DBC">
        <w:rPr>
          <w:noProof/>
          <w:sz w:val="18"/>
          <w:szCs w:val="18"/>
          <w:lang w:val="fr-FR"/>
        </w:rPr>
        <w:t xml:space="preserve"> dans des installat</w:t>
      </w:r>
      <w:r w:rsidR="00723D30">
        <w:rPr>
          <w:noProof/>
          <w:sz w:val="18"/>
          <w:szCs w:val="18"/>
          <w:lang w:val="fr-FR"/>
        </w:rPr>
        <w:t>io</w:t>
      </w:r>
      <w:r w:rsidR="00336DBC">
        <w:rPr>
          <w:noProof/>
          <w:sz w:val="18"/>
          <w:szCs w:val="18"/>
          <w:lang w:val="fr-FR"/>
        </w:rPr>
        <w:t xml:space="preserve">ns </w:t>
      </w:r>
      <w:r w:rsidR="00723D30">
        <w:rPr>
          <w:noProof/>
          <w:sz w:val="18"/>
          <w:szCs w:val="18"/>
          <w:lang w:val="fr-FR"/>
        </w:rPr>
        <w:t xml:space="preserve">contrôlées </w:t>
      </w:r>
      <w:r w:rsidRPr="001D03F5">
        <w:rPr>
          <w:noProof/>
          <w:sz w:val="18"/>
          <w:szCs w:val="18"/>
          <w:lang w:val="fr-FR"/>
        </w:rPr>
        <w:t>sur le total des déchets urbains solides générés, par ville.</w:t>
      </w:r>
    </w:p>
  </w:footnote>
  <w:footnote w:id="15">
    <w:p w14:paraId="75599289" w14:textId="00D27BE4" w:rsidR="00EA4A5D" w:rsidRPr="001D03F5" w:rsidRDefault="00EA4A5D" w:rsidP="002C4AC3">
      <w:pPr>
        <w:pStyle w:val="Normalpool"/>
        <w:tabs>
          <w:tab w:val="clear" w:pos="1247"/>
          <w:tab w:val="left" w:pos="624"/>
        </w:tabs>
        <w:spacing w:before="20" w:after="40"/>
        <w:ind w:left="1247"/>
        <w:rPr>
          <w:noProof/>
          <w:sz w:val="18"/>
          <w:szCs w:val="18"/>
          <w:lang w:val="fr-FR"/>
        </w:rPr>
      </w:pPr>
      <w:r w:rsidRPr="001D03F5">
        <w:rPr>
          <w:rStyle w:val="FootnoteReference"/>
          <w:noProof/>
          <w:sz w:val="18"/>
          <w:lang w:val="fr-FR"/>
        </w:rPr>
        <w:footnoteRef/>
      </w:r>
      <w:r w:rsidRPr="001D03F5">
        <w:rPr>
          <w:noProof/>
          <w:sz w:val="18"/>
          <w:szCs w:val="18"/>
          <w:lang w:val="fr-FR"/>
        </w:rPr>
        <w:t xml:space="preserve"> Voir https://leap.informea.org/.</w:t>
      </w:r>
    </w:p>
  </w:footnote>
  <w:footnote w:id="16">
    <w:p w14:paraId="08578670" w14:textId="3A12E069" w:rsidR="00EA4A5D" w:rsidRPr="001D03F5" w:rsidRDefault="00EA4A5D" w:rsidP="002C4AC3">
      <w:pPr>
        <w:pStyle w:val="Normalpool"/>
        <w:tabs>
          <w:tab w:val="clear" w:pos="1247"/>
          <w:tab w:val="left" w:pos="624"/>
        </w:tabs>
        <w:spacing w:before="20" w:after="40"/>
        <w:ind w:left="1247"/>
        <w:rPr>
          <w:noProof/>
          <w:sz w:val="18"/>
          <w:szCs w:val="18"/>
          <w:lang w:val="fr-FR"/>
        </w:rPr>
      </w:pPr>
      <w:r w:rsidRPr="001D03F5">
        <w:rPr>
          <w:rStyle w:val="FootnoteReference"/>
          <w:noProof/>
          <w:sz w:val="18"/>
          <w:lang w:val="fr-FR"/>
        </w:rPr>
        <w:footnoteRef/>
      </w:r>
      <w:r w:rsidRPr="001D03F5">
        <w:rPr>
          <w:noProof/>
          <w:sz w:val="18"/>
          <w:szCs w:val="18"/>
          <w:lang w:val="fr-FR"/>
        </w:rPr>
        <w:t xml:space="preserve"> Des informations supplémentaires seront disponibles avant la cinquième session de l’Assemblée pour l’environnement.</w:t>
      </w:r>
    </w:p>
  </w:footnote>
  <w:footnote w:id="17">
    <w:p w14:paraId="20CD231F" w14:textId="2A08FB57" w:rsidR="00EA4A5D" w:rsidRPr="001D03F5" w:rsidRDefault="00EA4A5D" w:rsidP="002C4AC3">
      <w:pPr>
        <w:pStyle w:val="Normalpool"/>
        <w:tabs>
          <w:tab w:val="clear" w:pos="1247"/>
          <w:tab w:val="left" w:pos="624"/>
        </w:tabs>
        <w:spacing w:before="20" w:after="40"/>
        <w:ind w:left="1247"/>
        <w:rPr>
          <w:noProof/>
          <w:sz w:val="18"/>
          <w:szCs w:val="18"/>
          <w:lang w:val="fr-FR"/>
        </w:rPr>
      </w:pPr>
      <w:r w:rsidRPr="001D03F5">
        <w:rPr>
          <w:rStyle w:val="FootnoteReference"/>
          <w:noProof/>
          <w:sz w:val="18"/>
          <w:lang w:val="fr-FR"/>
        </w:rPr>
        <w:footnoteRef/>
      </w:r>
      <w:r w:rsidRPr="001D03F5">
        <w:rPr>
          <w:noProof/>
          <w:sz w:val="18"/>
          <w:szCs w:val="18"/>
          <w:lang w:val="fr-FR"/>
        </w:rPr>
        <w:t xml:space="preserve"> </w:t>
      </w:r>
      <w:r w:rsidRPr="001D03F5">
        <w:rPr>
          <w:rFonts w:eastAsia="Calibri"/>
          <w:noProof/>
          <w:sz w:val="18"/>
          <w:szCs w:val="18"/>
          <w:lang w:val="fr-FR"/>
        </w:rPr>
        <w:t>http://www.gesamp.org/publications/gesamp-international-workshop-on-assessing-the-risks-associated-with-plastics-and-microplastics-in-the-marine-environment.</w:t>
      </w:r>
    </w:p>
  </w:footnote>
  <w:footnote w:id="18">
    <w:p w14:paraId="78C92B15" w14:textId="29D6B83D"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Pour de plus amples informations, veuillez consulter le document UNEP/AHEG/2019/3/INF/6. </w:t>
      </w:r>
    </w:p>
  </w:footnote>
  <w:footnote w:id="19">
    <w:p w14:paraId="5886C820" w14:textId="4FBE1FCD"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La mise en place de la plateforme fait suite à la demande formulée à l’alinéa b) du paragraphe 7 de la résolution 3/7 de l’Assemblée pour l’environnement priant le Directeur exécutif de renforcer les capacités et les activités du PNUE concernant les déchets et microplastiques présents dans le milieu marin en donnant des conseils sur la hiérarchisation des activités, fondés sur les meilleures connaissances scientifiques disponibles, et les mesures les plus écologiquement rationnelles et du meilleur rapport coût-efficacité pour prévenir et réduire les déchets et les microplastiques présents dans le milieu marin.</w:t>
      </w:r>
    </w:p>
  </w:footnote>
  <w:footnote w:id="20">
    <w:p w14:paraId="45B86B6F" w14:textId="16CC560A"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Le site sera lancé avant la cinquième session de l’Assemblée pour l’environnement.</w:t>
      </w:r>
    </w:p>
  </w:footnote>
  <w:footnote w:id="21">
    <w:p w14:paraId="4EFE6C2C" w14:textId="01F098C2"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De plus amples informations sont disponibles à l’adresse suivante : </w:t>
      </w:r>
      <w:hyperlink r:id="rId4" w:history="1">
        <w:r w:rsidRPr="001D03F5">
          <w:rPr>
            <w:rStyle w:val="Hyperlink"/>
            <w:sz w:val="18"/>
            <w:szCs w:val="18"/>
          </w:rPr>
          <w:t>https://www.gpmarinelitter.org/what-we-do/gpml-digital-platform</w:t>
        </w:r>
      </w:hyperlink>
      <w:r w:rsidRPr="001D03F5">
        <w:rPr>
          <w:sz w:val="18"/>
          <w:szCs w:val="18"/>
          <w:lang w:val="fr-FR"/>
        </w:rPr>
        <w:t>.</w:t>
      </w:r>
    </w:p>
  </w:footnote>
  <w:footnote w:id="22">
    <w:p w14:paraId="45F6F7EC" w14:textId="4D7821FE"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Voir http://marinelitter.coaps.fsu.edu/.</w:t>
      </w:r>
    </w:p>
  </w:footnote>
  <w:footnote w:id="23">
    <w:p w14:paraId="6528FC6C" w14:textId="46BE9483"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Voir https://leap.informea.org/.</w:t>
      </w:r>
    </w:p>
  </w:footnote>
  <w:footnote w:id="24">
    <w:p w14:paraId="314BBA38" w14:textId="0E4A97C0"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Comme </w:t>
      </w:r>
      <w:proofErr w:type="gramStart"/>
      <w:r w:rsidRPr="001D03F5">
        <w:rPr>
          <w:sz w:val="18"/>
          <w:szCs w:val="18"/>
          <w:lang w:val="fr-FR"/>
        </w:rPr>
        <w:t>suite à</w:t>
      </w:r>
      <w:proofErr w:type="gramEnd"/>
      <w:r w:rsidRPr="001D03F5">
        <w:rPr>
          <w:sz w:val="18"/>
          <w:szCs w:val="18"/>
          <w:lang w:val="fr-FR"/>
        </w:rPr>
        <w:t xml:space="preserve"> la demande formulée à l’alinéa d) du paragraphe 2 de la résolution 4/6. De plus amples informations sont disponibles à l’adresse suivante : https://ml-resource-inventory.herokuapp.com/.</w:t>
      </w:r>
    </w:p>
  </w:footnote>
  <w:footnote w:id="25">
    <w:p w14:paraId="51BFCFC5" w14:textId="2535F551"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https://environmentassembly.unenvironment.org/stocktaking-online-repository.</w:t>
      </w:r>
    </w:p>
  </w:footnote>
  <w:footnote w:id="26">
    <w:p w14:paraId="20A6F173" w14:textId="1DA0BD47"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hyperlink r:id="rId5" w:history="1">
        <w:r w:rsidRPr="001D03F5">
          <w:rPr>
            <w:rStyle w:val="Hyperlink"/>
            <w:sz w:val="18"/>
            <w:szCs w:val="18"/>
          </w:rPr>
          <w:t>https://www.oneplanetnetwork.org/sites/default/files/unep_ci_2020_can_i_recycle_this.pdf</w:t>
        </w:r>
      </w:hyperlink>
      <w:r w:rsidRPr="001D03F5">
        <w:rPr>
          <w:color w:val="0563C1"/>
          <w:sz w:val="18"/>
          <w:szCs w:val="18"/>
          <w:u w:val="single"/>
          <w:lang w:val="fr-FR"/>
        </w:rPr>
        <w:t>.</w:t>
      </w:r>
    </w:p>
  </w:footnote>
  <w:footnote w:id="27">
    <w:p w14:paraId="38113186" w14:textId="705FD3E4" w:rsidR="00EA4A5D" w:rsidRPr="001D03F5" w:rsidRDefault="00EA4A5D" w:rsidP="0045690E">
      <w:pPr>
        <w:pStyle w:val="FootnoteText"/>
        <w:tabs>
          <w:tab w:val="left" w:pos="624"/>
        </w:tabs>
        <w:rPr>
          <w:szCs w:val="18"/>
          <w:highlight w:val="cyan"/>
          <w:lang w:val="fr-FR"/>
        </w:rPr>
      </w:pPr>
      <w:r w:rsidRPr="001D03F5">
        <w:rPr>
          <w:rStyle w:val="FootnoteReference"/>
          <w:sz w:val="18"/>
          <w:lang w:val="fr-FR"/>
        </w:rPr>
        <w:footnoteRef/>
      </w:r>
      <w:r w:rsidRPr="001D03F5">
        <w:rPr>
          <w:szCs w:val="18"/>
          <w:lang w:val="fr-FR"/>
        </w:rPr>
        <w:t xml:space="preserve"> De plus amples informations concernant les directives sont disponibles à l’adresse suivante : https://www.oneplanetnetwork.org/one-planet-network-wide-plastics-initiative.</w:t>
      </w:r>
    </w:p>
  </w:footnote>
  <w:footnote w:id="28">
    <w:p w14:paraId="1FED32BA" w14:textId="14D4D90B" w:rsidR="003124C9" w:rsidRPr="003124C9" w:rsidRDefault="003124C9" w:rsidP="003124C9">
      <w:pPr>
        <w:pStyle w:val="FootnoteText"/>
        <w:rPr>
          <w:lang w:val="fr-FR"/>
        </w:rPr>
      </w:pPr>
      <w:r w:rsidRPr="00C92C30">
        <w:rPr>
          <w:rStyle w:val="FootnoteReference"/>
          <w:sz w:val="18"/>
        </w:rPr>
        <w:footnoteRef/>
      </w:r>
      <w:r w:rsidRPr="00C92C30">
        <w:rPr>
          <w:szCs w:val="18"/>
          <w:lang w:val="fr-FR"/>
        </w:rPr>
        <w:t xml:space="preserve"> </w:t>
      </w:r>
      <w:r w:rsidRPr="003124C9">
        <w:rPr>
          <w:lang w:val="fr-FR"/>
        </w:rPr>
        <w:t>Le</w:t>
      </w:r>
      <w:r>
        <w:rPr>
          <w:lang w:val="fr-FR"/>
        </w:rPr>
        <w:t xml:space="preserve"> résumé figure en annexe du rapport de la réunion et est également disponible à l’adresse suivante :</w:t>
      </w:r>
      <w:r w:rsidRPr="003124C9">
        <w:rPr>
          <w:lang w:val="fr-FR"/>
        </w:rPr>
        <w:t xml:space="preserve"> https://environmentassembly.unenvironment.org/chairs-summary-aheg-4.</w:t>
      </w:r>
    </w:p>
  </w:footnote>
  <w:footnote w:id="29">
    <w:p w14:paraId="4144CB9E" w14:textId="2A0DC110"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r w:rsidR="00C373D3" w:rsidRPr="001D03F5">
        <w:rPr>
          <w:sz w:val="18"/>
          <w:szCs w:val="18"/>
          <w:lang w:val="fr-FR"/>
        </w:rPr>
        <w:t>Voir</w:t>
      </w:r>
      <w:r w:rsidRPr="001D03F5">
        <w:rPr>
          <w:sz w:val="18"/>
          <w:szCs w:val="18"/>
          <w:lang w:val="fr-FR"/>
        </w:rPr>
        <w:t xml:space="preserve"> </w:t>
      </w:r>
      <w:r w:rsidRPr="001D03F5">
        <w:rPr>
          <w:color w:val="000000" w:themeColor="text1"/>
          <w:sz w:val="18"/>
          <w:szCs w:val="18"/>
          <w:lang w:val="fr-FR"/>
        </w:rPr>
        <w:t xml:space="preserve">UNEP/AHEG/4/2 </w:t>
      </w:r>
      <w:r w:rsidR="00C373D3" w:rsidRPr="001D03F5">
        <w:rPr>
          <w:color w:val="000000" w:themeColor="text1"/>
          <w:sz w:val="18"/>
          <w:szCs w:val="18"/>
          <w:lang w:val="fr-FR"/>
        </w:rPr>
        <w:t>et</w:t>
      </w:r>
      <w:r w:rsidRPr="001D03F5">
        <w:rPr>
          <w:color w:val="000000" w:themeColor="text1"/>
          <w:sz w:val="18"/>
          <w:szCs w:val="18"/>
          <w:lang w:val="fr-FR"/>
        </w:rPr>
        <w:t xml:space="preserve"> UNEP</w:t>
      </w:r>
      <w:r w:rsidRPr="001D03F5">
        <w:rPr>
          <w:sz w:val="18"/>
          <w:szCs w:val="18"/>
          <w:lang w:val="fr-FR"/>
        </w:rPr>
        <w:t>/AHEG/4/INF/6.</w:t>
      </w:r>
    </w:p>
  </w:footnote>
  <w:footnote w:id="30">
    <w:p w14:paraId="1CF77976" w14:textId="16A63D17"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hyperlink r:id="rId6" w:history="1">
        <w:r w:rsidRPr="001D03F5">
          <w:rPr>
            <w:rStyle w:val="Hyperlink"/>
            <w:sz w:val="18"/>
            <w:szCs w:val="18"/>
          </w:rPr>
          <w:t>http://www.basel.int/tabid/8426/Default.aspx</w:t>
        </w:r>
      </w:hyperlink>
      <w:r w:rsidRPr="001D03F5">
        <w:rPr>
          <w:sz w:val="18"/>
          <w:szCs w:val="18"/>
          <w:lang w:val="fr-FR"/>
        </w:rPr>
        <w:t>.</w:t>
      </w:r>
    </w:p>
  </w:footnote>
  <w:footnote w:id="31">
    <w:p w14:paraId="0DFA2C45" w14:textId="77777777" w:rsidR="00245B81" w:rsidRPr="00AA2FA4" w:rsidRDefault="00245B81" w:rsidP="00245B81">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7" w:history="1">
        <w:r w:rsidRPr="00AA2FA4">
          <w:rPr>
            <w:rStyle w:val="Hyperlink"/>
            <w:rFonts w:eastAsia="Calibri"/>
            <w:sz w:val="18"/>
            <w:szCs w:val="18"/>
          </w:rPr>
          <w:t>http://www.basel.int/tabid/7992/Default.aspx</w:t>
        </w:r>
      </w:hyperlink>
      <w:r w:rsidRPr="00AA2FA4">
        <w:rPr>
          <w:sz w:val="18"/>
          <w:szCs w:val="18"/>
          <w:lang w:val="fr-FR"/>
        </w:rPr>
        <w:t>.</w:t>
      </w:r>
    </w:p>
  </w:footnote>
  <w:footnote w:id="32">
    <w:p w14:paraId="79992DA0" w14:textId="77777777" w:rsidR="00245B81" w:rsidRPr="00AA2FA4" w:rsidRDefault="00245B81" w:rsidP="00245B81">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8" w:history="1">
        <w:r w:rsidRPr="00AA2FA4">
          <w:rPr>
            <w:rStyle w:val="Hyperlink"/>
            <w:rFonts w:eastAsia="Calibri"/>
            <w:sz w:val="18"/>
            <w:szCs w:val="18"/>
          </w:rPr>
          <w:t>http://www.basel.int/tabid/8333/Default.aspx</w:t>
        </w:r>
      </w:hyperlink>
      <w:r w:rsidRPr="00AA2FA4">
        <w:rPr>
          <w:sz w:val="18"/>
          <w:szCs w:val="18"/>
          <w:lang w:val="fr-FR"/>
        </w:rPr>
        <w:t>.</w:t>
      </w:r>
    </w:p>
  </w:footnote>
  <w:footnote w:id="33">
    <w:p w14:paraId="4ABAFF7F" w14:textId="77777777" w:rsidR="00245B81" w:rsidRPr="00AA2FA4" w:rsidRDefault="00245B81" w:rsidP="00245B81">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9" w:history="1">
        <w:r w:rsidRPr="00AA2FA4">
          <w:rPr>
            <w:rStyle w:val="Hyperlink"/>
            <w:rFonts w:eastAsia="Calibri"/>
            <w:sz w:val="18"/>
            <w:szCs w:val="18"/>
          </w:rPr>
          <w:t>http://www.basel.int/tabid/8340/Default.aspx</w:t>
        </w:r>
      </w:hyperlink>
      <w:r w:rsidRPr="00AA2FA4">
        <w:rPr>
          <w:sz w:val="18"/>
          <w:szCs w:val="18"/>
          <w:lang w:val="fr-FR"/>
        </w:rPr>
        <w:t>.</w:t>
      </w:r>
    </w:p>
  </w:footnote>
  <w:footnote w:id="34">
    <w:p w14:paraId="6327EC6B" w14:textId="77777777" w:rsidR="00245B81" w:rsidRPr="00AA2FA4" w:rsidRDefault="00245B81" w:rsidP="00245B81">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10" w:history="1">
        <w:r w:rsidRPr="00AA2FA4">
          <w:rPr>
            <w:rStyle w:val="Hyperlink"/>
            <w:rFonts w:eastAsia="Calibri"/>
            <w:sz w:val="18"/>
            <w:szCs w:val="18"/>
          </w:rPr>
          <w:t>http://www.basel.int/tabid/8341/Default.aspx</w:t>
        </w:r>
      </w:hyperlink>
      <w:r w:rsidRPr="00AA2FA4">
        <w:rPr>
          <w:sz w:val="18"/>
          <w:szCs w:val="18"/>
          <w:lang w:val="fr-FR"/>
        </w:rPr>
        <w:t>.</w:t>
      </w:r>
    </w:p>
  </w:footnote>
  <w:footnote w:id="35">
    <w:p w14:paraId="0A6FB7F2" w14:textId="77777777" w:rsidR="00245B81" w:rsidRPr="00AA2FA4" w:rsidRDefault="00245B81" w:rsidP="00245B81">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11" w:history="1">
        <w:r w:rsidRPr="00AA2FA4">
          <w:rPr>
            <w:rStyle w:val="Hyperlink"/>
            <w:rFonts w:eastAsia="Calibri"/>
            <w:sz w:val="18"/>
            <w:szCs w:val="18"/>
          </w:rPr>
          <w:t>http://www.basel.int/tabid/8402/Default.aspx</w:t>
        </w:r>
      </w:hyperlink>
      <w:r w:rsidRPr="00AA2FA4">
        <w:rPr>
          <w:sz w:val="18"/>
          <w:szCs w:val="18"/>
          <w:lang w:val="fr-FR"/>
        </w:rPr>
        <w:t>.</w:t>
      </w:r>
    </w:p>
  </w:footnote>
  <w:footnote w:id="36">
    <w:p w14:paraId="0308F731" w14:textId="77777777" w:rsidR="00855E3A" w:rsidRPr="00AA2FA4" w:rsidRDefault="00855E3A" w:rsidP="00855E3A">
      <w:pPr>
        <w:pStyle w:val="Normalpool"/>
        <w:tabs>
          <w:tab w:val="clear" w:pos="1247"/>
          <w:tab w:val="left" w:pos="624"/>
        </w:tabs>
        <w:spacing w:before="20" w:after="40"/>
        <w:ind w:left="1247"/>
        <w:rPr>
          <w:sz w:val="18"/>
          <w:szCs w:val="18"/>
          <w:lang w:val="fr-FR"/>
        </w:rPr>
      </w:pPr>
      <w:r w:rsidRPr="002C4AC3">
        <w:rPr>
          <w:rStyle w:val="FootnoteReference"/>
          <w:sz w:val="18"/>
        </w:rPr>
        <w:footnoteRef/>
      </w:r>
      <w:r w:rsidRPr="00AA2FA4">
        <w:rPr>
          <w:sz w:val="18"/>
          <w:szCs w:val="18"/>
          <w:lang w:val="fr-FR"/>
        </w:rPr>
        <w:t xml:space="preserve"> </w:t>
      </w:r>
      <w:hyperlink r:id="rId12" w:history="1">
        <w:r w:rsidRPr="00AA2FA4">
          <w:rPr>
            <w:rStyle w:val="Hyperlink"/>
            <w:rFonts w:eastAsia="Calibri"/>
            <w:sz w:val="18"/>
            <w:szCs w:val="18"/>
          </w:rPr>
          <w:t>http://www.basel.int/tabid/8096/Default.aspx</w:t>
        </w:r>
      </w:hyperlink>
      <w:r w:rsidRPr="00AA2FA4">
        <w:rPr>
          <w:sz w:val="18"/>
          <w:szCs w:val="18"/>
          <w:lang w:val="fr-FR"/>
        </w:rPr>
        <w:t>.</w:t>
      </w:r>
    </w:p>
  </w:footnote>
  <w:footnote w:id="37">
    <w:p w14:paraId="711E2334" w14:textId="74CC1436" w:rsidR="003124C9" w:rsidRPr="003124C9" w:rsidRDefault="003124C9" w:rsidP="003124C9">
      <w:pPr>
        <w:pStyle w:val="FootnoteText"/>
        <w:rPr>
          <w:lang w:val="fr-FR"/>
        </w:rPr>
      </w:pPr>
      <w:r w:rsidRPr="004D73D1">
        <w:rPr>
          <w:rStyle w:val="FootnoteReference"/>
          <w:sz w:val="18"/>
        </w:rPr>
        <w:footnoteRef/>
      </w:r>
      <w:r w:rsidRPr="004D73D1">
        <w:rPr>
          <w:szCs w:val="18"/>
          <w:lang w:val="fr-FR"/>
        </w:rPr>
        <w:t xml:space="preserve"> </w:t>
      </w:r>
      <w:r>
        <w:rPr>
          <w:lang w:val="fr-FR"/>
        </w:rPr>
        <w:t>Disponible à l’adresse suivante :</w:t>
      </w:r>
      <w:r w:rsidRPr="003124C9">
        <w:rPr>
          <w:lang w:val="fr-FR"/>
        </w:rPr>
        <w:t xml:space="preserve"> https://environmentassembly.unenvironment.org/chairs-summary-aheg-4.</w:t>
      </w:r>
    </w:p>
  </w:footnote>
  <w:footnote w:id="38">
    <w:p w14:paraId="6E55F408" w14:textId="6CDADD3D" w:rsidR="00EA4A5D" w:rsidRPr="001D03F5" w:rsidRDefault="00EA4A5D" w:rsidP="002C4AC3">
      <w:pPr>
        <w:pStyle w:val="Normalpool"/>
        <w:tabs>
          <w:tab w:val="clear" w:pos="1247"/>
          <w:tab w:val="left" w:pos="624"/>
        </w:tabs>
        <w:spacing w:before="20" w:after="40"/>
        <w:ind w:left="1247"/>
        <w:rPr>
          <w:sz w:val="18"/>
          <w:szCs w:val="18"/>
          <w:lang w:val="fr-FR"/>
        </w:rPr>
      </w:pPr>
      <w:r w:rsidRPr="001D03F5">
        <w:rPr>
          <w:rStyle w:val="FootnoteReference"/>
          <w:sz w:val="18"/>
          <w:lang w:val="fr-FR"/>
        </w:rPr>
        <w:footnoteRef/>
      </w:r>
      <w:r w:rsidRPr="001D03F5">
        <w:rPr>
          <w:sz w:val="18"/>
          <w:szCs w:val="18"/>
          <w:lang w:val="fr-FR"/>
        </w:rPr>
        <w:t xml:space="preserve"> </w:t>
      </w:r>
      <w:r w:rsidR="004022EF" w:rsidRPr="001D03F5">
        <w:rPr>
          <w:sz w:val="18"/>
          <w:szCs w:val="18"/>
          <w:lang w:val="fr-FR"/>
        </w:rPr>
        <w:t>L’évaluation sera mise à la disposition de l’Assemblée pour l’environnement à sa cinquième </w:t>
      </w:r>
      <w:r w:rsidRPr="001D03F5">
        <w:rPr>
          <w:sz w:val="18"/>
          <w:szCs w:val="18"/>
          <w:lang w:val="fr-FR"/>
        </w:rPr>
        <w:t xml:space="preserve">session.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A9A9" w14:textId="39C329AC" w:rsidR="00EA4A5D" w:rsidRDefault="00EF2995" w:rsidP="000A5FA1">
    <w:pPr>
      <w:pStyle w:val="Header-pool"/>
    </w:pPr>
    <w:r w:rsidRPr="005D3FBC">
      <w:rPr>
        <w:bCs/>
      </w:rPr>
      <w:t>UNEP</w:t>
    </w:r>
    <w:r w:rsidRPr="005D3FBC">
      <w:t>/EA.5/</w:t>
    </w:r>
    <w: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B9982" w14:textId="42550589" w:rsidR="00EA4A5D" w:rsidRDefault="000A5FA1" w:rsidP="000A5FA1">
    <w:pPr>
      <w:pStyle w:val="Header-pool"/>
      <w:jc w:val="right"/>
    </w:pPr>
    <w:r w:rsidRPr="005D3FBC">
      <w:rPr>
        <w:bCs/>
      </w:rPr>
      <w:t>UNEP</w:t>
    </w:r>
    <w:r w:rsidRPr="005D3FBC">
      <w:t>/EA.5/</w:t>
    </w:r>
    <w: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376E" w14:textId="28680F8C" w:rsidR="00EA4A5D" w:rsidRPr="004676AC" w:rsidRDefault="00EA4A5D" w:rsidP="004676A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2147673D"/>
    <w:multiLevelType w:val="multilevel"/>
    <w:tmpl w:val="50402272"/>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BDAE2E0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num>
  <w:num w:numId="3">
    <w:abstractNumId w:val="2"/>
  </w:num>
  <w:num w:numId="4">
    <w:abstractNumId w:val="3"/>
    <w:lvlOverride w:ilvl="0">
      <w:lvl w:ilvl="0">
        <w:start w:val="1"/>
        <w:numFmt w:val="decimal"/>
        <w:pStyle w:val="Normalnumber"/>
        <w:lvlText w:val="%1."/>
        <w:lvlJc w:val="left"/>
        <w:pPr>
          <w:ind w:left="3614" w:hanging="360"/>
        </w:pPr>
        <w:rPr>
          <w:rFonts w:ascii="Times New Roman" w:eastAsia="Times New Roman" w:hAnsi="Times New Roman" w:cs="Times New Roman"/>
          <w:b w:val="0"/>
          <w:bCs w:val="0"/>
          <w:sz w:val="20"/>
          <w:szCs w:val="20"/>
        </w:rPr>
      </w:lvl>
    </w:lvlOverride>
    <w:lvlOverride w:ilvl="1">
      <w:lvl w:ilvl="1">
        <w:start w:val="1"/>
        <w:numFmt w:val="lowerLetter"/>
        <w:lvlText w:val="%2)"/>
        <w:lvlJc w:val="left"/>
        <w:pPr>
          <w:ind w:left="4334" w:hanging="360"/>
        </w:pPr>
        <w:rPr>
          <w:rFonts w:ascii="Times New Roman" w:eastAsia="Times New Roman" w:hAnsi="Times New Roman" w:cs="Times New Roman"/>
        </w:rPr>
      </w:lvl>
    </w:lvlOverride>
    <w:lvlOverride w:ilvl="2">
      <w:lvl w:ilvl="2" w:tentative="1">
        <w:start w:val="1"/>
        <w:numFmt w:val="lowerRoman"/>
        <w:lvlText w:val="%3."/>
        <w:lvlJc w:val="right"/>
        <w:pPr>
          <w:ind w:left="5054" w:hanging="180"/>
        </w:pPr>
      </w:lvl>
    </w:lvlOverride>
    <w:lvlOverride w:ilvl="3">
      <w:lvl w:ilvl="3" w:tentative="1">
        <w:start w:val="1"/>
        <w:numFmt w:val="decimal"/>
        <w:lvlText w:val="%4."/>
        <w:lvlJc w:val="left"/>
        <w:pPr>
          <w:ind w:left="5774" w:hanging="360"/>
        </w:pPr>
      </w:lvl>
    </w:lvlOverride>
    <w:lvlOverride w:ilvl="4">
      <w:lvl w:ilvl="4" w:tentative="1">
        <w:start w:val="1"/>
        <w:numFmt w:val="lowerLetter"/>
        <w:lvlText w:val="%5."/>
        <w:lvlJc w:val="left"/>
        <w:pPr>
          <w:ind w:left="6494" w:hanging="360"/>
        </w:pPr>
      </w:lvl>
    </w:lvlOverride>
    <w:lvlOverride w:ilvl="5">
      <w:lvl w:ilvl="5" w:tentative="1">
        <w:start w:val="1"/>
        <w:numFmt w:val="lowerRoman"/>
        <w:lvlText w:val="%6."/>
        <w:lvlJc w:val="right"/>
        <w:pPr>
          <w:ind w:left="7214" w:hanging="180"/>
        </w:pPr>
      </w:lvl>
    </w:lvlOverride>
    <w:lvlOverride w:ilvl="6">
      <w:lvl w:ilvl="6" w:tentative="1">
        <w:start w:val="1"/>
        <w:numFmt w:val="decimal"/>
        <w:lvlText w:val="%7."/>
        <w:lvlJc w:val="left"/>
        <w:pPr>
          <w:ind w:left="7934" w:hanging="360"/>
        </w:pPr>
      </w:lvl>
    </w:lvlOverride>
    <w:lvlOverride w:ilvl="7">
      <w:lvl w:ilvl="7" w:tentative="1">
        <w:start w:val="1"/>
        <w:numFmt w:val="lowerLetter"/>
        <w:lvlText w:val="%8."/>
        <w:lvlJc w:val="left"/>
        <w:pPr>
          <w:ind w:left="8654" w:hanging="360"/>
        </w:pPr>
      </w:lvl>
    </w:lvlOverride>
    <w:lvlOverride w:ilvl="8">
      <w:lvl w:ilvl="8" w:tentative="1">
        <w:start w:val="1"/>
        <w:numFmt w:val="lowerRoman"/>
        <w:lvlText w:val="%9."/>
        <w:lvlJc w:val="right"/>
        <w:pPr>
          <w:ind w:left="9374" w:hanging="180"/>
        </w:pPr>
      </w:lvl>
    </w:lvlOverride>
  </w:num>
  <w:num w:numId="5">
    <w:abstractNumId w:val="1"/>
  </w:num>
  <w:num w:numId="6">
    <w:abstractNumId w:val="3"/>
    <w:lvlOverride w:ilvl="0">
      <w:lvl w:ilvl="0">
        <w:start w:val="1"/>
        <w:numFmt w:val="decimal"/>
        <w:pStyle w:val="Normalnumber"/>
        <w:lvlText w:val="%1."/>
        <w:lvlJc w:val="left"/>
        <w:pPr>
          <w:tabs>
            <w:tab w:val="num" w:pos="1134"/>
          </w:tabs>
          <w:ind w:left="1247" w:firstLine="0"/>
        </w:pPr>
        <w:rPr>
          <w:rFonts w:hint="default"/>
          <w:b w:val="0"/>
          <w:bCs w:val="0"/>
          <w:vertAlign w:val="baseline"/>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fr-FR" w:vendorID="64" w:dllVersion="4096" w:nlCheck="1" w:checkStyle="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doNotTrackFormatting/>
  <w:defaultTabStop w:val="624"/>
  <w:hyphenationZone w:val="425"/>
  <w:evenAndOddHeaders/>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LAwMDMyNzAyNrZU0lEKTi0uzszPAykwrAUARh9X/iwAAAA="/>
  </w:docVars>
  <w:rsids>
    <w:rsidRoot w:val="00137C33"/>
    <w:rsid w:val="00001469"/>
    <w:rsid w:val="00001C84"/>
    <w:rsid w:val="00002C61"/>
    <w:rsid w:val="0000346C"/>
    <w:rsid w:val="00004091"/>
    <w:rsid w:val="000055CE"/>
    <w:rsid w:val="00010488"/>
    <w:rsid w:val="00010B0C"/>
    <w:rsid w:val="000136BD"/>
    <w:rsid w:val="00013B50"/>
    <w:rsid w:val="00013D09"/>
    <w:rsid w:val="000149E6"/>
    <w:rsid w:val="00016122"/>
    <w:rsid w:val="0001672E"/>
    <w:rsid w:val="00017A68"/>
    <w:rsid w:val="00017BE7"/>
    <w:rsid w:val="000205DD"/>
    <w:rsid w:val="00021234"/>
    <w:rsid w:val="000247B0"/>
    <w:rsid w:val="00024AEB"/>
    <w:rsid w:val="00024FEE"/>
    <w:rsid w:val="00025488"/>
    <w:rsid w:val="00026997"/>
    <w:rsid w:val="000323ED"/>
    <w:rsid w:val="00033E0B"/>
    <w:rsid w:val="00035EDE"/>
    <w:rsid w:val="00036563"/>
    <w:rsid w:val="00036DEE"/>
    <w:rsid w:val="00037E73"/>
    <w:rsid w:val="000446CB"/>
    <w:rsid w:val="00045A35"/>
    <w:rsid w:val="00045A3B"/>
    <w:rsid w:val="00045C29"/>
    <w:rsid w:val="00046869"/>
    <w:rsid w:val="00046D00"/>
    <w:rsid w:val="000509B4"/>
    <w:rsid w:val="00051BC6"/>
    <w:rsid w:val="00052580"/>
    <w:rsid w:val="00056C12"/>
    <w:rsid w:val="00057AB6"/>
    <w:rsid w:val="0006035B"/>
    <w:rsid w:val="00063B01"/>
    <w:rsid w:val="00065523"/>
    <w:rsid w:val="00066B62"/>
    <w:rsid w:val="00070024"/>
    <w:rsid w:val="000701F2"/>
    <w:rsid w:val="00071886"/>
    <w:rsid w:val="00072313"/>
    <w:rsid w:val="000742BC"/>
    <w:rsid w:val="0007452F"/>
    <w:rsid w:val="00074CCA"/>
    <w:rsid w:val="00075A93"/>
    <w:rsid w:val="00076B30"/>
    <w:rsid w:val="00080415"/>
    <w:rsid w:val="00081381"/>
    <w:rsid w:val="00082A0C"/>
    <w:rsid w:val="00083504"/>
    <w:rsid w:val="000840D1"/>
    <w:rsid w:val="000847E6"/>
    <w:rsid w:val="00084B1E"/>
    <w:rsid w:val="00084D5B"/>
    <w:rsid w:val="000852A4"/>
    <w:rsid w:val="00086B5C"/>
    <w:rsid w:val="000875A6"/>
    <w:rsid w:val="00090536"/>
    <w:rsid w:val="00094AEF"/>
    <w:rsid w:val="00095BE1"/>
    <w:rsid w:val="0009640C"/>
    <w:rsid w:val="00097CE9"/>
    <w:rsid w:val="000A0123"/>
    <w:rsid w:val="000A0BF9"/>
    <w:rsid w:val="000A11DB"/>
    <w:rsid w:val="000A1C6A"/>
    <w:rsid w:val="000A33B2"/>
    <w:rsid w:val="000A4AAE"/>
    <w:rsid w:val="000A57B5"/>
    <w:rsid w:val="000A5FA1"/>
    <w:rsid w:val="000A75DE"/>
    <w:rsid w:val="000A7AED"/>
    <w:rsid w:val="000A7FF5"/>
    <w:rsid w:val="000B0B2C"/>
    <w:rsid w:val="000B21EC"/>
    <w:rsid w:val="000B22A2"/>
    <w:rsid w:val="000B22BE"/>
    <w:rsid w:val="000B2B9A"/>
    <w:rsid w:val="000B2BAE"/>
    <w:rsid w:val="000B38DE"/>
    <w:rsid w:val="000B3C1B"/>
    <w:rsid w:val="000B6AF9"/>
    <w:rsid w:val="000B7A70"/>
    <w:rsid w:val="000B7CD6"/>
    <w:rsid w:val="000B7EE1"/>
    <w:rsid w:val="000C1775"/>
    <w:rsid w:val="000C1E13"/>
    <w:rsid w:val="000C1F6B"/>
    <w:rsid w:val="000C208B"/>
    <w:rsid w:val="000C246E"/>
    <w:rsid w:val="000C2A52"/>
    <w:rsid w:val="000C3410"/>
    <w:rsid w:val="000C3C27"/>
    <w:rsid w:val="000C3E44"/>
    <w:rsid w:val="000C558C"/>
    <w:rsid w:val="000C5763"/>
    <w:rsid w:val="000C5DA5"/>
    <w:rsid w:val="000C683C"/>
    <w:rsid w:val="000C77EF"/>
    <w:rsid w:val="000C783A"/>
    <w:rsid w:val="000D041D"/>
    <w:rsid w:val="000D04D6"/>
    <w:rsid w:val="000D2592"/>
    <w:rsid w:val="000D2B20"/>
    <w:rsid w:val="000D2DE2"/>
    <w:rsid w:val="000D33C0"/>
    <w:rsid w:val="000D34FE"/>
    <w:rsid w:val="000D3BFE"/>
    <w:rsid w:val="000D5014"/>
    <w:rsid w:val="000D5F10"/>
    <w:rsid w:val="000D6941"/>
    <w:rsid w:val="000D6D9E"/>
    <w:rsid w:val="000D736B"/>
    <w:rsid w:val="000D7A49"/>
    <w:rsid w:val="000E0055"/>
    <w:rsid w:val="000E17C3"/>
    <w:rsid w:val="000E2B0F"/>
    <w:rsid w:val="000E3A82"/>
    <w:rsid w:val="000E4D39"/>
    <w:rsid w:val="000E6495"/>
    <w:rsid w:val="000E752D"/>
    <w:rsid w:val="000F22F1"/>
    <w:rsid w:val="000F26F0"/>
    <w:rsid w:val="000F3501"/>
    <w:rsid w:val="000F37D3"/>
    <w:rsid w:val="000F395A"/>
    <w:rsid w:val="000F5CA1"/>
    <w:rsid w:val="000F6BDE"/>
    <w:rsid w:val="000F71D4"/>
    <w:rsid w:val="000F735A"/>
    <w:rsid w:val="001010C2"/>
    <w:rsid w:val="00103E18"/>
    <w:rsid w:val="001044B9"/>
    <w:rsid w:val="00106D62"/>
    <w:rsid w:val="00107780"/>
    <w:rsid w:val="00110862"/>
    <w:rsid w:val="0011200E"/>
    <w:rsid w:val="00114E2B"/>
    <w:rsid w:val="00116097"/>
    <w:rsid w:val="001202E3"/>
    <w:rsid w:val="001203F0"/>
    <w:rsid w:val="00122140"/>
    <w:rsid w:val="00122A51"/>
    <w:rsid w:val="00122DF1"/>
    <w:rsid w:val="00123699"/>
    <w:rsid w:val="00124EC6"/>
    <w:rsid w:val="00126F38"/>
    <w:rsid w:val="001274FC"/>
    <w:rsid w:val="001279DD"/>
    <w:rsid w:val="0013059D"/>
    <w:rsid w:val="001311E8"/>
    <w:rsid w:val="00132073"/>
    <w:rsid w:val="001324D1"/>
    <w:rsid w:val="001335FE"/>
    <w:rsid w:val="00133904"/>
    <w:rsid w:val="0013441B"/>
    <w:rsid w:val="00137C33"/>
    <w:rsid w:val="00141238"/>
    <w:rsid w:val="00141492"/>
    <w:rsid w:val="00141A55"/>
    <w:rsid w:val="001426DD"/>
    <w:rsid w:val="001431FE"/>
    <w:rsid w:val="001446A3"/>
    <w:rsid w:val="0014493C"/>
    <w:rsid w:val="00147AD5"/>
    <w:rsid w:val="001508EF"/>
    <w:rsid w:val="001518B0"/>
    <w:rsid w:val="00152AD9"/>
    <w:rsid w:val="00153F87"/>
    <w:rsid w:val="00154466"/>
    <w:rsid w:val="0015530A"/>
    <w:rsid w:val="00155395"/>
    <w:rsid w:val="001556C8"/>
    <w:rsid w:val="0015588F"/>
    <w:rsid w:val="00157BCB"/>
    <w:rsid w:val="00157EC1"/>
    <w:rsid w:val="00160D74"/>
    <w:rsid w:val="001611B0"/>
    <w:rsid w:val="00163041"/>
    <w:rsid w:val="0016724A"/>
    <w:rsid w:val="00167D02"/>
    <w:rsid w:val="00170859"/>
    <w:rsid w:val="00170BE2"/>
    <w:rsid w:val="001738A4"/>
    <w:rsid w:val="0017596C"/>
    <w:rsid w:val="0018033E"/>
    <w:rsid w:val="00180F0D"/>
    <w:rsid w:val="00181109"/>
    <w:rsid w:val="0018141E"/>
    <w:rsid w:val="001819F7"/>
    <w:rsid w:val="00181EC8"/>
    <w:rsid w:val="001826A6"/>
    <w:rsid w:val="00184349"/>
    <w:rsid w:val="00184D48"/>
    <w:rsid w:val="00186227"/>
    <w:rsid w:val="00187E36"/>
    <w:rsid w:val="00193CEE"/>
    <w:rsid w:val="001957F2"/>
    <w:rsid w:val="00195C5D"/>
    <w:rsid w:val="00195F33"/>
    <w:rsid w:val="00196F85"/>
    <w:rsid w:val="00197582"/>
    <w:rsid w:val="001A0770"/>
    <w:rsid w:val="001A724C"/>
    <w:rsid w:val="001B1617"/>
    <w:rsid w:val="001B3508"/>
    <w:rsid w:val="001B49FF"/>
    <w:rsid w:val="001B504B"/>
    <w:rsid w:val="001B62CA"/>
    <w:rsid w:val="001B66F3"/>
    <w:rsid w:val="001B713C"/>
    <w:rsid w:val="001B71C4"/>
    <w:rsid w:val="001C0488"/>
    <w:rsid w:val="001C0DF6"/>
    <w:rsid w:val="001C1019"/>
    <w:rsid w:val="001C14E9"/>
    <w:rsid w:val="001C1EA7"/>
    <w:rsid w:val="001C2B40"/>
    <w:rsid w:val="001C2B6B"/>
    <w:rsid w:val="001C3A28"/>
    <w:rsid w:val="001D03F5"/>
    <w:rsid w:val="001D13D1"/>
    <w:rsid w:val="001D1A2A"/>
    <w:rsid w:val="001D1DD2"/>
    <w:rsid w:val="001D2265"/>
    <w:rsid w:val="001D287C"/>
    <w:rsid w:val="001D2C42"/>
    <w:rsid w:val="001D3874"/>
    <w:rsid w:val="001D4870"/>
    <w:rsid w:val="001D6573"/>
    <w:rsid w:val="001D7E75"/>
    <w:rsid w:val="001E20C5"/>
    <w:rsid w:val="001E2E2E"/>
    <w:rsid w:val="001E3942"/>
    <w:rsid w:val="001E41A6"/>
    <w:rsid w:val="001E56D2"/>
    <w:rsid w:val="001E7D56"/>
    <w:rsid w:val="001F0AFC"/>
    <w:rsid w:val="001F18C2"/>
    <w:rsid w:val="001F1AC7"/>
    <w:rsid w:val="001F28CD"/>
    <w:rsid w:val="001F40D0"/>
    <w:rsid w:val="001F5B2E"/>
    <w:rsid w:val="001F600A"/>
    <w:rsid w:val="001F6278"/>
    <w:rsid w:val="001F6E5D"/>
    <w:rsid w:val="001F75DE"/>
    <w:rsid w:val="002008D4"/>
    <w:rsid w:val="00200D58"/>
    <w:rsid w:val="002013BE"/>
    <w:rsid w:val="00202439"/>
    <w:rsid w:val="002040CC"/>
    <w:rsid w:val="002063A4"/>
    <w:rsid w:val="0020756C"/>
    <w:rsid w:val="0021145B"/>
    <w:rsid w:val="00211C6F"/>
    <w:rsid w:val="00212117"/>
    <w:rsid w:val="00215CF2"/>
    <w:rsid w:val="00217024"/>
    <w:rsid w:val="00222565"/>
    <w:rsid w:val="00226A24"/>
    <w:rsid w:val="00226E6A"/>
    <w:rsid w:val="00231027"/>
    <w:rsid w:val="00231A23"/>
    <w:rsid w:val="00235777"/>
    <w:rsid w:val="00235D9E"/>
    <w:rsid w:val="00237336"/>
    <w:rsid w:val="0023755E"/>
    <w:rsid w:val="00240323"/>
    <w:rsid w:val="00240757"/>
    <w:rsid w:val="0024150B"/>
    <w:rsid w:val="00242224"/>
    <w:rsid w:val="0024348F"/>
    <w:rsid w:val="00243D36"/>
    <w:rsid w:val="00245318"/>
    <w:rsid w:val="00245B81"/>
    <w:rsid w:val="00245F38"/>
    <w:rsid w:val="00246974"/>
    <w:rsid w:val="00247707"/>
    <w:rsid w:val="00250EFA"/>
    <w:rsid w:val="0025253F"/>
    <w:rsid w:val="00252888"/>
    <w:rsid w:val="00253694"/>
    <w:rsid w:val="00253CC4"/>
    <w:rsid w:val="00254537"/>
    <w:rsid w:val="00254822"/>
    <w:rsid w:val="00254A20"/>
    <w:rsid w:val="002577EB"/>
    <w:rsid w:val="0026018E"/>
    <w:rsid w:val="002608B9"/>
    <w:rsid w:val="002608D0"/>
    <w:rsid w:val="00260D01"/>
    <w:rsid w:val="00261979"/>
    <w:rsid w:val="002632A0"/>
    <w:rsid w:val="00270E04"/>
    <w:rsid w:val="00271E8D"/>
    <w:rsid w:val="00272BA1"/>
    <w:rsid w:val="0027599A"/>
    <w:rsid w:val="00276673"/>
    <w:rsid w:val="00277E0A"/>
    <w:rsid w:val="0028019F"/>
    <w:rsid w:val="00282C10"/>
    <w:rsid w:val="00285E7D"/>
    <w:rsid w:val="00286740"/>
    <w:rsid w:val="00287E06"/>
    <w:rsid w:val="002929D8"/>
    <w:rsid w:val="00292AC3"/>
    <w:rsid w:val="00292CB0"/>
    <w:rsid w:val="00294795"/>
    <w:rsid w:val="002948CA"/>
    <w:rsid w:val="00294D02"/>
    <w:rsid w:val="002978BA"/>
    <w:rsid w:val="002A074D"/>
    <w:rsid w:val="002A237D"/>
    <w:rsid w:val="002A2B3F"/>
    <w:rsid w:val="002A4741"/>
    <w:rsid w:val="002A4C53"/>
    <w:rsid w:val="002A5CFF"/>
    <w:rsid w:val="002B0672"/>
    <w:rsid w:val="002B0B29"/>
    <w:rsid w:val="002B18ED"/>
    <w:rsid w:val="002B247F"/>
    <w:rsid w:val="002B416E"/>
    <w:rsid w:val="002B5A06"/>
    <w:rsid w:val="002B6135"/>
    <w:rsid w:val="002B6E65"/>
    <w:rsid w:val="002B727F"/>
    <w:rsid w:val="002B7A81"/>
    <w:rsid w:val="002C1008"/>
    <w:rsid w:val="002C145D"/>
    <w:rsid w:val="002C2902"/>
    <w:rsid w:val="002C2C3E"/>
    <w:rsid w:val="002C3690"/>
    <w:rsid w:val="002C3CB5"/>
    <w:rsid w:val="002C4AC3"/>
    <w:rsid w:val="002C533E"/>
    <w:rsid w:val="002C58FF"/>
    <w:rsid w:val="002C5F25"/>
    <w:rsid w:val="002C67AE"/>
    <w:rsid w:val="002C7E41"/>
    <w:rsid w:val="002D027F"/>
    <w:rsid w:val="002D25C1"/>
    <w:rsid w:val="002D30F7"/>
    <w:rsid w:val="002D412F"/>
    <w:rsid w:val="002D6483"/>
    <w:rsid w:val="002D7A85"/>
    <w:rsid w:val="002D7B60"/>
    <w:rsid w:val="002E0371"/>
    <w:rsid w:val="002E1497"/>
    <w:rsid w:val="002E2C79"/>
    <w:rsid w:val="002E3F01"/>
    <w:rsid w:val="002E48A2"/>
    <w:rsid w:val="002F3233"/>
    <w:rsid w:val="002F3A35"/>
    <w:rsid w:val="002F411C"/>
    <w:rsid w:val="002F4761"/>
    <w:rsid w:val="002F4D25"/>
    <w:rsid w:val="002F573D"/>
    <w:rsid w:val="002F5C79"/>
    <w:rsid w:val="002F5FA8"/>
    <w:rsid w:val="002F65AD"/>
    <w:rsid w:val="002F681A"/>
    <w:rsid w:val="002F6C76"/>
    <w:rsid w:val="002F7306"/>
    <w:rsid w:val="00300DF1"/>
    <w:rsid w:val="0030136C"/>
    <w:rsid w:val="003019E2"/>
    <w:rsid w:val="003039F5"/>
    <w:rsid w:val="00304849"/>
    <w:rsid w:val="003053FE"/>
    <w:rsid w:val="00310FF6"/>
    <w:rsid w:val="00311904"/>
    <w:rsid w:val="003124C9"/>
    <w:rsid w:val="00313B29"/>
    <w:rsid w:val="0031413F"/>
    <w:rsid w:val="003148BB"/>
    <w:rsid w:val="00314E06"/>
    <w:rsid w:val="00316D86"/>
    <w:rsid w:val="00317414"/>
    <w:rsid w:val="00317858"/>
    <w:rsid w:val="00317976"/>
    <w:rsid w:val="00323476"/>
    <w:rsid w:val="0032438A"/>
    <w:rsid w:val="00324FE3"/>
    <w:rsid w:val="003255E4"/>
    <w:rsid w:val="00326A58"/>
    <w:rsid w:val="00326FC6"/>
    <w:rsid w:val="0033091D"/>
    <w:rsid w:val="00332E12"/>
    <w:rsid w:val="00334689"/>
    <w:rsid w:val="00334DC6"/>
    <w:rsid w:val="00335447"/>
    <w:rsid w:val="0033695A"/>
    <w:rsid w:val="00336DBC"/>
    <w:rsid w:val="00337EE3"/>
    <w:rsid w:val="00342140"/>
    <w:rsid w:val="00343456"/>
    <w:rsid w:val="0034367F"/>
    <w:rsid w:val="003437EB"/>
    <w:rsid w:val="003439C6"/>
    <w:rsid w:val="003443DC"/>
    <w:rsid w:val="00346A52"/>
    <w:rsid w:val="00347BF3"/>
    <w:rsid w:val="00352686"/>
    <w:rsid w:val="00352EEA"/>
    <w:rsid w:val="00353B01"/>
    <w:rsid w:val="00355EA9"/>
    <w:rsid w:val="00355F79"/>
    <w:rsid w:val="00356B1F"/>
    <w:rsid w:val="003578DE"/>
    <w:rsid w:val="00357940"/>
    <w:rsid w:val="00357C47"/>
    <w:rsid w:val="00360CC4"/>
    <w:rsid w:val="00361BAE"/>
    <w:rsid w:val="0036268D"/>
    <w:rsid w:val="00364AB3"/>
    <w:rsid w:val="0036549B"/>
    <w:rsid w:val="00365FCE"/>
    <w:rsid w:val="0036775E"/>
    <w:rsid w:val="0037266C"/>
    <w:rsid w:val="003744AD"/>
    <w:rsid w:val="00376464"/>
    <w:rsid w:val="003770FF"/>
    <w:rsid w:val="00380B0B"/>
    <w:rsid w:val="00380D2E"/>
    <w:rsid w:val="00380DAD"/>
    <w:rsid w:val="003824BC"/>
    <w:rsid w:val="0038261B"/>
    <w:rsid w:val="00384034"/>
    <w:rsid w:val="00386775"/>
    <w:rsid w:val="003876F8"/>
    <w:rsid w:val="003911F6"/>
    <w:rsid w:val="00391447"/>
    <w:rsid w:val="0039160F"/>
    <w:rsid w:val="0039178D"/>
    <w:rsid w:val="00391C8B"/>
    <w:rsid w:val="00393B24"/>
    <w:rsid w:val="00394054"/>
    <w:rsid w:val="003941DD"/>
    <w:rsid w:val="00396257"/>
    <w:rsid w:val="00396BB3"/>
    <w:rsid w:val="00397EB8"/>
    <w:rsid w:val="003A13C5"/>
    <w:rsid w:val="003A1475"/>
    <w:rsid w:val="003A2A20"/>
    <w:rsid w:val="003A2C63"/>
    <w:rsid w:val="003A2D2A"/>
    <w:rsid w:val="003A4FD0"/>
    <w:rsid w:val="003A5CD1"/>
    <w:rsid w:val="003A69D1"/>
    <w:rsid w:val="003A7272"/>
    <w:rsid w:val="003A7705"/>
    <w:rsid w:val="003A77F1"/>
    <w:rsid w:val="003B1545"/>
    <w:rsid w:val="003B2AD2"/>
    <w:rsid w:val="003B3B8D"/>
    <w:rsid w:val="003B3FBB"/>
    <w:rsid w:val="003B4BA2"/>
    <w:rsid w:val="003B501E"/>
    <w:rsid w:val="003B6F81"/>
    <w:rsid w:val="003B7515"/>
    <w:rsid w:val="003C0BF6"/>
    <w:rsid w:val="003C1A50"/>
    <w:rsid w:val="003C2753"/>
    <w:rsid w:val="003C409D"/>
    <w:rsid w:val="003C4289"/>
    <w:rsid w:val="003C4ACB"/>
    <w:rsid w:val="003C4B69"/>
    <w:rsid w:val="003C5BA6"/>
    <w:rsid w:val="003C7575"/>
    <w:rsid w:val="003C75B3"/>
    <w:rsid w:val="003C7A17"/>
    <w:rsid w:val="003D08D1"/>
    <w:rsid w:val="003D1FD9"/>
    <w:rsid w:val="003D2304"/>
    <w:rsid w:val="003D2314"/>
    <w:rsid w:val="003D2801"/>
    <w:rsid w:val="003D421F"/>
    <w:rsid w:val="003D5604"/>
    <w:rsid w:val="003D7A6D"/>
    <w:rsid w:val="003E1E49"/>
    <w:rsid w:val="003E200D"/>
    <w:rsid w:val="003E2957"/>
    <w:rsid w:val="003E2FE8"/>
    <w:rsid w:val="003E315B"/>
    <w:rsid w:val="003E3238"/>
    <w:rsid w:val="003E77BE"/>
    <w:rsid w:val="003E77E7"/>
    <w:rsid w:val="003F0E85"/>
    <w:rsid w:val="003F13F5"/>
    <w:rsid w:val="003F1496"/>
    <w:rsid w:val="003F2C13"/>
    <w:rsid w:val="003F2F75"/>
    <w:rsid w:val="003F5834"/>
    <w:rsid w:val="003F5979"/>
    <w:rsid w:val="003F69DA"/>
    <w:rsid w:val="003F6D94"/>
    <w:rsid w:val="003F7219"/>
    <w:rsid w:val="004022EF"/>
    <w:rsid w:val="0040258A"/>
    <w:rsid w:val="00403FE2"/>
    <w:rsid w:val="00405821"/>
    <w:rsid w:val="00406E44"/>
    <w:rsid w:val="00410C55"/>
    <w:rsid w:val="00411942"/>
    <w:rsid w:val="00411B27"/>
    <w:rsid w:val="00412E2F"/>
    <w:rsid w:val="00412F68"/>
    <w:rsid w:val="00413F9B"/>
    <w:rsid w:val="0041673C"/>
    <w:rsid w:val="00416854"/>
    <w:rsid w:val="00417725"/>
    <w:rsid w:val="0042093E"/>
    <w:rsid w:val="0042145B"/>
    <w:rsid w:val="004224CC"/>
    <w:rsid w:val="0042264F"/>
    <w:rsid w:val="0042297E"/>
    <w:rsid w:val="004239A8"/>
    <w:rsid w:val="00424FD0"/>
    <w:rsid w:val="0042538A"/>
    <w:rsid w:val="00425C85"/>
    <w:rsid w:val="00425E23"/>
    <w:rsid w:val="0042675C"/>
    <w:rsid w:val="0042798C"/>
    <w:rsid w:val="004302CF"/>
    <w:rsid w:val="004329EB"/>
    <w:rsid w:val="00435B01"/>
    <w:rsid w:val="004365E7"/>
    <w:rsid w:val="0043682B"/>
    <w:rsid w:val="00437F26"/>
    <w:rsid w:val="00444097"/>
    <w:rsid w:val="00445487"/>
    <w:rsid w:val="00447486"/>
    <w:rsid w:val="00450720"/>
    <w:rsid w:val="00452611"/>
    <w:rsid w:val="00452C9A"/>
    <w:rsid w:val="00454769"/>
    <w:rsid w:val="004562EE"/>
    <w:rsid w:val="0045690E"/>
    <w:rsid w:val="004600EE"/>
    <w:rsid w:val="004601D8"/>
    <w:rsid w:val="004606A5"/>
    <w:rsid w:val="004613E8"/>
    <w:rsid w:val="004637E6"/>
    <w:rsid w:val="0046488C"/>
    <w:rsid w:val="004657F9"/>
    <w:rsid w:val="00466991"/>
    <w:rsid w:val="00466D78"/>
    <w:rsid w:val="00466E40"/>
    <w:rsid w:val="004671AC"/>
    <w:rsid w:val="00467344"/>
    <w:rsid w:val="004676AC"/>
    <w:rsid w:val="00470128"/>
    <w:rsid w:val="0047064C"/>
    <w:rsid w:val="00470696"/>
    <w:rsid w:val="0047119D"/>
    <w:rsid w:val="00473380"/>
    <w:rsid w:val="004762CE"/>
    <w:rsid w:val="00476892"/>
    <w:rsid w:val="0048167C"/>
    <w:rsid w:val="00481FB2"/>
    <w:rsid w:val="00483037"/>
    <w:rsid w:val="004831FD"/>
    <w:rsid w:val="00484223"/>
    <w:rsid w:val="00490023"/>
    <w:rsid w:val="004907F5"/>
    <w:rsid w:val="004910B5"/>
    <w:rsid w:val="00495028"/>
    <w:rsid w:val="004A08C9"/>
    <w:rsid w:val="004A0C31"/>
    <w:rsid w:val="004A0D5F"/>
    <w:rsid w:val="004A1532"/>
    <w:rsid w:val="004A1DBB"/>
    <w:rsid w:val="004A23D8"/>
    <w:rsid w:val="004A2A9E"/>
    <w:rsid w:val="004A3285"/>
    <w:rsid w:val="004A42E1"/>
    <w:rsid w:val="004A4F06"/>
    <w:rsid w:val="004B162C"/>
    <w:rsid w:val="004B25B1"/>
    <w:rsid w:val="004B316E"/>
    <w:rsid w:val="004B5B56"/>
    <w:rsid w:val="004B6014"/>
    <w:rsid w:val="004B7B8D"/>
    <w:rsid w:val="004C11F4"/>
    <w:rsid w:val="004C16E3"/>
    <w:rsid w:val="004C1F16"/>
    <w:rsid w:val="004C239B"/>
    <w:rsid w:val="004C3650"/>
    <w:rsid w:val="004C3B55"/>
    <w:rsid w:val="004C3DBE"/>
    <w:rsid w:val="004C4976"/>
    <w:rsid w:val="004C4B89"/>
    <w:rsid w:val="004C53A5"/>
    <w:rsid w:val="004C5C96"/>
    <w:rsid w:val="004C6799"/>
    <w:rsid w:val="004D06A4"/>
    <w:rsid w:val="004D5011"/>
    <w:rsid w:val="004D5E29"/>
    <w:rsid w:val="004D6E70"/>
    <w:rsid w:val="004D73D1"/>
    <w:rsid w:val="004E02FB"/>
    <w:rsid w:val="004E0C51"/>
    <w:rsid w:val="004E131A"/>
    <w:rsid w:val="004E1AF7"/>
    <w:rsid w:val="004E1CB4"/>
    <w:rsid w:val="004E437E"/>
    <w:rsid w:val="004E4804"/>
    <w:rsid w:val="004E76DD"/>
    <w:rsid w:val="004E7AB3"/>
    <w:rsid w:val="004E7D1B"/>
    <w:rsid w:val="004F02F1"/>
    <w:rsid w:val="004F0FA0"/>
    <w:rsid w:val="004F1A81"/>
    <w:rsid w:val="004F2639"/>
    <w:rsid w:val="004F2731"/>
    <w:rsid w:val="004F3F76"/>
    <w:rsid w:val="004F748A"/>
    <w:rsid w:val="004F7B5B"/>
    <w:rsid w:val="00500D2E"/>
    <w:rsid w:val="005040B8"/>
    <w:rsid w:val="0050482D"/>
    <w:rsid w:val="00504BD7"/>
    <w:rsid w:val="00507014"/>
    <w:rsid w:val="005110F7"/>
    <w:rsid w:val="005131E2"/>
    <w:rsid w:val="0051433C"/>
    <w:rsid w:val="005178CD"/>
    <w:rsid w:val="00517CA4"/>
    <w:rsid w:val="00520C38"/>
    <w:rsid w:val="0052105F"/>
    <w:rsid w:val="00521335"/>
    <w:rsid w:val="005218D9"/>
    <w:rsid w:val="00521CDB"/>
    <w:rsid w:val="00522166"/>
    <w:rsid w:val="00522728"/>
    <w:rsid w:val="00522F82"/>
    <w:rsid w:val="0052356D"/>
    <w:rsid w:val="005243FF"/>
    <w:rsid w:val="005244BF"/>
    <w:rsid w:val="00524FC1"/>
    <w:rsid w:val="005253E9"/>
    <w:rsid w:val="00526B0A"/>
    <w:rsid w:val="00527CBC"/>
    <w:rsid w:val="005308B6"/>
    <w:rsid w:val="00530ABA"/>
    <w:rsid w:val="00530BCC"/>
    <w:rsid w:val="00531744"/>
    <w:rsid w:val="00531849"/>
    <w:rsid w:val="005338B0"/>
    <w:rsid w:val="00533E8E"/>
    <w:rsid w:val="00534CEE"/>
    <w:rsid w:val="005354BB"/>
    <w:rsid w:val="00536186"/>
    <w:rsid w:val="00537186"/>
    <w:rsid w:val="005371ED"/>
    <w:rsid w:val="0053751C"/>
    <w:rsid w:val="00540177"/>
    <w:rsid w:val="00540722"/>
    <w:rsid w:val="00540C12"/>
    <w:rsid w:val="0054112B"/>
    <w:rsid w:val="00541CDC"/>
    <w:rsid w:val="0054357F"/>
    <w:rsid w:val="0054425B"/>
    <w:rsid w:val="00544CBB"/>
    <w:rsid w:val="005451F0"/>
    <w:rsid w:val="0054629C"/>
    <w:rsid w:val="00547EE1"/>
    <w:rsid w:val="00550999"/>
    <w:rsid w:val="005511F0"/>
    <w:rsid w:val="005531E8"/>
    <w:rsid w:val="00555247"/>
    <w:rsid w:val="00557167"/>
    <w:rsid w:val="00562927"/>
    <w:rsid w:val="005632D3"/>
    <w:rsid w:val="005638B4"/>
    <w:rsid w:val="00564259"/>
    <w:rsid w:val="00565960"/>
    <w:rsid w:val="00565E67"/>
    <w:rsid w:val="00566AEB"/>
    <w:rsid w:val="00566C1E"/>
    <w:rsid w:val="00570EE0"/>
    <w:rsid w:val="0057315F"/>
    <w:rsid w:val="00573325"/>
    <w:rsid w:val="00573881"/>
    <w:rsid w:val="00576104"/>
    <w:rsid w:val="005762B5"/>
    <w:rsid w:val="00576E40"/>
    <w:rsid w:val="00583171"/>
    <w:rsid w:val="00583AA8"/>
    <w:rsid w:val="005871F3"/>
    <w:rsid w:val="00590F3C"/>
    <w:rsid w:val="00592538"/>
    <w:rsid w:val="005935E9"/>
    <w:rsid w:val="00594262"/>
    <w:rsid w:val="00595A67"/>
    <w:rsid w:val="0059615C"/>
    <w:rsid w:val="005963F5"/>
    <w:rsid w:val="00596A25"/>
    <w:rsid w:val="005971C7"/>
    <w:rsid w:val="005A06B9"/>
    <w:rsid w:val="005A1C15"/>
    <w:rsid w:val="005A4889"/>
    <w:rsid w:val="005A6900"/>
    <w:rsid w:val="005B0F3A"/>
    <w:rsid w:val="005B1387"/>
    <w:rsid w:val="005B16B0"/>
    <w:rsid w:val="005B378C"/>
    <w:rsid w:val="005B728E"/>
    <w:rsid w:val="005B7FC6"/>
    <w:rsid w:val="005C0684"/>
    <w:rsid w:val="005C08B5"/>
    <w:rsid w:val="005C1CA5"/>
    <w:rsid w:val="005C2934"/>
    <w:rsid w:val="005C2AA7"/>
    <w:rsid w:val="005C2B36"/>
    <w:rsid w:val="005C2D28"/>
    <w:rsid w:val="005C3481"/>
    <w:rsid w:val="005C4ABC"/>
    <w:rsid w:val="005C4FF9"/>
    <w:rsid w:val="005C5831"/>
    <w:rsid w:val="005C67C8"/>
    <w:rsid w:val="005C726A"/>
    <w:rsid w:val="005D0249"/>
    <w:rsid w:val="005D083F"/>
    <w:rsid w:val="005D0E1C"/>
    <w:rsid w:val="005D2756"/>
    <w:rsid w:val="005D2799"/>
    <w:rsid w:val="005D28AE"/>
    <w:rsid w:val="005D3FBC"/>
    <w:rsid w:val="005D4B8E"/>
    <w:rsid w:val="005D4BB8"/>
    <w:rsid w:val="005D604A"/>
    <w:rsid w:val="005D6E8C"/>
    <w:rsid w:val="005D7587"/>
    <w:rsid w:val="005E2FB5"/>
    <w:rsid w:val="005E3054"/>
    <w:rsid w:val="005E32C8"/>
    <w:rsid w:val="005E4847"/>
    <w:rsid w:val="005E4FBB"/>
    <w:rsid w:val="005E7A08"/>
    <w:rsid w:val="005E7D5C"/>
    <w:rsid w:val="005F02DC"/>
    <w:rsid w:val="005F04E3"/>
    <w:rsid w:val="005F100C"/>
    <w:rsid w:val="005F10F3"/>
    <w:rsid w:val="005F2601"/>
    <w:rsid w:val="005F4DBB"/>
    <w:rsid w:val="005F650D"/>
    <w:rsid w:val="005F68DA"/>
    <w:rsid w:val="005F6D43"/>
    <w:rsid w:val="005F6E00"/>
    <w:rsid w:val="00602704"/>
    <w:rsid w:val="00603BDA"/>
    <w:rsid w:val="00604C97"/>
    <w:rsid w:val="00606DE1"/>
    <w:rsid w:val="006073F8"/>
    <w:rsid w:val="0060773B"/>
    <w:rsid w:val="006136C1"/>
    <w:rsid w:val="00614F2E"/>
    <w:rsid w:val="006155DC"/>
    <w:rsid w:val="006157B5"/>
    <w:rsid w:val="00616560"/>
    <w:rsid w:val="006220B7"/>
    <w:rsid w:val="00623468"/>
    <w:rsid w:val="00623A16"/>
    <w:rsid w:val="0062474D"/>
    <w:rsid w:val="006255F7"/>
    <w:rsid w:val="00625D32"/>
    <w:rsid w:val="00626FC6"/>
    <w:rsid w:val="006303B4"/>
    <w:rsid w:val="00630C72"/>
    <w:rsid w:val="00631A75"/>
    <w:rsid w:val="00632690"/>
    <w:rsid w:val="00633D3D"/>
    <w:rsid w:val="006349F5"/>
    <w:rsid w:val="00634DA2"/>
    <w:rsid w:val="006367C6"/>
    <w:rsid w:val="00641703"/>
    <w:rsid w:val="006431A6"/>
    <w:rsid w:val="006444EA"/>
    <w:rsid w:val="00644EE7"/>
    <w:rsid w:val="006459F6"/>
    <w:rsid w:val="00645E55"/>
    <w:rsid w:val="006462E7"/>
    <w:rsid w:val="006501AD"/>
    <w:rsid w:val="00650D47"/>
    <w:rsid w:val="00651A09"/>
    <w:rsid w:val="00651BFA"/>
    <w:rsid w:val="0065301D"/>
    <w:rsid w:val="00653B68"/>
    <w:rsid w:val="00654475"/>
    <w:rsid w:val="00654613"/>
    <w:rsid w:val="0065503B"/>
    <w:rsid w:val="006566F0"/>
    <w:rsid w:val="006576C8"/>
    <w:rsid w:val="00657946"/>
    <w:rsid w:val="00657DB0"/>
    <w:rsid w:val="00662C0C"/>
    <w:rsid w:val="00665A4B"/>
    <w:rsid w:val="00666A56"/>
    <w:rsid w:val="006675F8"/>
    <w:rsid w:val="006702A1"/>
    <w:rsid w:val="00671FD3"/>
    <w:rsid w:val="006721BF"/>
    <w:rsid w:val="00672C8F"/>
    <w:rsid w:val="006751D1"/>
    <w:rsid w:val="00675BB6"/>
    <w:rsid w:val="00675D42"/>
    <w:rsid w:val="00675F0E"/>
    <w:rsid w:val="00676C44"/>
    <w:rsid w:val="00677E3A"/>
    <w:rsid w:val="0068148B"/>
    <w:rsid w:val="00681AB6"/>
    <w:rsid w:val="0068387F"/>
    <w:rsid w:val="006851BF"/>
    <w:rsid w:val="0068536E"/>
    <w:rsid w:val="00686C34"/>
    <w:rsid w:val="00690789"/>
    <w:rsid w:val="0069292A"/>
    <w:rsid w:val="00692958"/>
    <w:rsid w:val="00692E2A"/>
    <w:rsid w:val="0069376A"/>
    <w:rsid w:val="00696135"/>
    <w:rsid w:val="00696355"/>
    <w:rsid w:val="006972B1"/>
    <w:rsid w:val="006A2A87"/>
    <w:rsid w:val="006A4073"/>
    <w:rsid w:val="006A670C"/>
    <w:rsid w:val="006A76F2"/>
    <w:rsid w:val="006A782F"/>
    <w:rsid w:val="006A7D55"/>
    <w:rsid w:val="006B08EA"/>
    <w:rsid w:val="006B16E0"/>
    <w:rsid w:val="006B38A1"/>
    <w:rsid w:val="006B5992"/>
    <w:rsid w:val="006B606C"/>
    <w:rsid w:val="006B7343"/>
    <w:rsid w:val="006B77A0"/>
    <w:rsid w:val="006C0AE4"/>
    <w:rsid w:val="006C256B"/>
    <w:rsid w:val="006C2F2F"/>
    <w:rsid w:val="006C4D2C"/>
    <w:rsid w:val="006C621E"/>
    <w:rsid w:val="006C682A"/>
    <w:rsid w:val="006C69BC"/>
    <w:rsid w:val="006C6EA3"/>
    <w:rsid w:val="006C7BEA"/>
    <w:rsid w:val="006D1BB2"/>
    <w:rsid w:val="006D2288"/>
    <w:rsid w:val="006D301D"/>
    <w:rsid w:val="006D4E6C"/>
    <w:rsid w:val="006D5CA4"/>
    <w:rsid w:val="006D60A7"/>
    <w:rsid w:val="006D6288"/>
    <w:rsid w:val="006D65E1"/>
    <w:rsid w:val="006D6D6A"/>
    <w:rsid w:val="006D7EFB"/>
    <w:rsid w:val="006E0261"/>
    <w:rsid w:val="006E0778"/>
    <w:rsid w:val="006E0C87"/>
    <w:rsid w:val="006E2662"/>
    <w:rsid w:val="006E26AD"/>
    <w:rsid w:val="006E30A3"/>
    <w:rsid w:val="006E372A"/>
    <w:rsid w:val="006E5931"/>
    <w:rsid w:val="006E6366"/>
    <w:rsid w:val="006E6672"/>
    <w:rsid w:val="006E6722"/>
    <w:rsid w:val="006E6FE7"/>
    <w:rsid w:val="006E7C29"/>
    <w:rsid w:val="006E7D01"/>
    <w:rsid w:val="006F0AD6"/>
    <w:rsid w:val="006F0FEE"/>
    <w:rsid w:val="006F1152"/>
    <w:rsid w:val="006F1F93"/>
    <w:rsid w:val="006F2039"/>
    <w:rsid w:val="006F7597"/>
    <w:rsid w:val="00700B9A"/>
    <w:rsid w:val="00700DD2"/>
    <w:rsid w:val="00700DF0"/>
    <w:rsid w:val="007022A4"/>
    <w:rsid w:val="00702311"/>
    <w:rsid w:val="007027B9"/>
    <w:rsid w:val="00704206"/>
    <w:rsid w:val="00704EE4"/>
    <w:rsid w:val="007051BC"/>
    <w:rsid w:val="00705563"/>
    <w:rsid w:val="007056CA"/>
    <w:rsid w:val="00705C1C"/>
    <w:rsid w:val="00705C26"/>
    <w:rsid w:val="00705E8C"/>
    <w:rsid w:val="00706576"/>
    <w:rsid w:val="00707984"/>
    <w:rsid w:val="00711B70"/>
    <w:rsid w:val="00713452"/>
    <w:rsid w:val="007152D1"/>
    <w:rsid w:val="0071560B"/>
    <w:rsid w:val="007158AA"/>
    <w:rsid w:val="00715E88"/>
    <w:rsid w:val="00716975"/>
    <w:rsid w:val="007223F6"/>
    <w:rsid w:val="00723133"/>
    <w:rsid w:val="00723136"/>
    <w:rsid w:val="00723D30"/>
    <w:rsid w:val="0072522E"/>
    <w:rsid w:val="007256BD"/>
    <w:rsid w:val="00725BF6"/>
    <w:rsid w:val="00725D00"/>
    <w:rsid w:val="00726879"/>
    <w:rsid w:val="007269B3"/>
    <w:rsid w:val="00730D42"/>
    <w:rsid w:val="007310EC"/>
    <w:rsid w:val="00731619"/>
    <w:rsid w:val="00731F50"/>
    <w:rsid w:val="0073201A"/>
    <w:rsid w:val="0073238B"/>
    <w:rsid w:val="007326AE"/>
    <w:rsid w:val="00732764"/>
    <w:rsid w:val="00732804"/>
    <w:rsid w:val="0073468C"/>
    <w:rsid w:val="00734CAA"/>
    <w:rsid w:val="00735013"/>
    <w:rsid w:val="00735CE7"/>
    <w:rsid w:val="00735F6F"/>
    <w:rsid w:val="00737292"/>
    <w:rsid w:val="0073754E"/>
    <w:rsid w:val="00737750"/>
    <w:rsid w:val="007415EB"/>
    <w:rsid w:val="007419D2"/>
    <w:rsid w:val="007444C6"/>
    <w:rsid w:val="00744D86"/>
    <w:rsid w:val="00745900"/>
    <w:rsid w:val="00752CAB"/>
    <w:rsid w:val="0075376A"/>
    <w:rsid w:val="00753FC2"/>
    <w:rsid w:val="007544B3"/>
    <w:rsid w:val="00754884"/>
    <w:rsid w:val="0075533C"/>
    <w:rsid w:val="0075552F"/>
    <w:rsid w:val="0075612A"/>
    <w:rsid w:val="0075616B"/>
    <w:rsid w:val="00757108"/>
    <w:rsid w:val="00757410"/>
    <w:rsid w:val="00757581"/>
    <w:rsid w:val="00760EE5"/>
    <w:rsid w:val="007611A0"/>
    <w:rsid w:val="007614A7"/>
    <w:rsid w:val="007632BA"/>
    <w:rsid w:val="0076383D"/>
    <w:rsid w:val="00765C0A"/>
    <w:rsid w:val="0076725D"/>
    <w:rsid w:val="00767BFF"/>
    <w:rsid w:val="007701CA"/>
    <w:rsid w:val="00770BDD"/>
    <w:rsid w:val="00770E5E"/>
    <w:rsid w:val="00772B10"/>
    <w:rsid w:val="00772DB0"/>
    <w:rsid w:val="00773A31"/>
    <w:rsid w:val="00774DBE"/>
    <w:rsid w:val="00776402"/>
    <w:rsid w:val="0077704E"/>
    <w:rsid w:val="007776D7"/>
    <w:rsid w:val="00785E25"/>
    <w:rsid w:val="00786786"/>
    <w:rsid w:val="007871C5"/>
    <w:rsid w:val="0079092B"/>
    <w:rsid w:val="00790E70"/>
    <w:rsid w:val="00792E92"/>
    <w:rsid w:val="00793B16"/>
    <w:rsid w:val="0079650A"/>
    <w:rsid w:val="00796D3F"/>
    <w:rsid w:val="00796DC7"/>
    <w:rsid w:val="007A0520"/>
    <w:rsid w:val="007A10FC"/>
    <w:rsid w:val="007A1288"/>
    <w:rsid w:val="007A1683"/>
    <w:rsid w:val="007A21E4"/>
    <w:rsid w:val="007A38C4"/>
    <w:rsid w:val="007A5C12"/>
    <w:rsid w:val="007A5EC5"/>
    <w:rsid w:val="007A7700"/>
    <w:rsid w:val="007A7CB0"/>
    <w:rsid w:val="007B2570"/>
    <w:rsid w:val="007B342A"/>
    <w:rsid w:val="007B3894"/>
    <w:rsid w:val="007B3B63"/>
    <w:rsid w:val="007B3DA6"/>
    <w:rsid w:val="007B5935"/>
    <w:rsid w:val="007B5A04"/>
    <w:rsid w:val="007B68A3"/>
    <w:rsid w:val="007B69B7"/>
    <w:rsid w:val="007C0EC7"/>
    <w:rsid w:val="007C1574"/>
    <w:rsid w:val="007C1C05"/>
    <w:rsid w:val="007C2541"/>
    <w:rsid w:val="007C28ED"/>
    <w:rsid w:val="007C43EC"/>
    <w:rsid w:val="007C5083"/>
    <w:rsid w:val="007D05BD"/>
    <w:rsid w:val="007D21D0"/>
    <w:rsid w:val="007D270F"/>
    <w:rsid w:val="007D276B"/>
    <w:rsid w:val="007D66A8"/>
    <w:rsid w:val="007D7684"/>
    <w:rsid w:val="007E003F"/>
    <w:rsid w:val="007E03F2"/>
    <w:rsid w:val="007E19CC"/>
    <w:rsid w:val="007E1B31"/>
    <w:rsid w:val="007E32BD"/>
    <w:rsid w:val="007E36BB"/>
    <w:rsid w:val="007E4EFC"/>
    <w:rsid w:val="007E64DA"/>
    <w:rsid w:val="007E7820"/>
    <w:rsid w:val="007E7B9D"/>
    <w:rsid w:val="007F166E"/>
    <w:rsid w:val="007F5F01"/>
    <w:rsid w:val="00800184"/>
    <w:rsid w:val="008007E9"/>
    <w:rsid w:val="00802E67"/>
    <w:rsid w:val="00805035"/>
    <w:rsid w:val="00806F41"/>
    <w:rsid w:val="008107E4"/>
    <w:rsid w:val="00811904"/>
    <w:rsid w:val="0081384A"/>
    <w:rsid w:val="008154E7"/>
    <w:rsid w:val="00815510"/>
    <w:rsid w:val="00815634"/>
    <w:rsid w:val="008164F2"/>
    <w:rsid w:val="008172DB"/>
    <w:rsid w:val="00821395"/>
    <w:rsid w:val="008238B6"/>
    <w:rsid w:val="0082439F"/>
    <w:rsid w:val="0082492B"/>
    <w:rsid w:val="0082511B"/>
    <w:rsid w:val="00825852"/>
    <w:rsid w:val="00827713"/>
    <w:rsid w:val="00827F8C"/>
    <w:rsid w:val="00830DAA"/>
    <w:rsid w:val="00830E26"/>
    <w:rsid w:val="00831250"/>
    <w:rsid w:val="00832C42"/>
    <w:rsid w:val="00833476"/>
    <w:rsid w:val="008335A1"/>
    <w:rsid w:val="008361B7"/>
    <w:rsid w:val="00836E41"/>
    <w:rsid w:val="0083748A"/>
    <w:rsid w:val="00840087"/>
    <w:rsid w:val="0084206E"/>
    <w:rsid w:val="0084322C"/>
    <w:rsid w:val="00843576"/>
    <w:rsid w:val="0084370B"/>
    <w:rsid w:val="00843890"/>
    <w:rsid w:val="00843B64"/>
    <w:rsid w:val="008457E3"/>
    <w:rsid w:val="00846334"/>
    <w:rsid w:val="00846A72"/>
    <w:rsid w:val="008478FC"/>
    <w:rsid w:val="00850C0B"/>
    <w:rsid w:val="00851E6D"/>
    <w:rsid w:val="00852423"/>
    <w:rsid w:val="00852EEF"/>
    <w:rsid w:val="00855DDF"/>
    <w:rsid w:val="00855E3A"/>
    <w:rsid w:val="00856341"/>
    <w:rsid w:val="008618BC"/>
    <w:rsid w:val="00861C1F"/>
    <w:rsid w:val="00861C3D"/>
    <w:rsid w:val="0086576B"/>
    <w:rsid w:val="00865DC3"/>
    <w:rsid w:val="00867BFF"/>
    <w:rsid w:val="00872018"/>
    <w:rsid w:val="00874108"/>
    <w:rsid w:val="00874422"/>
    <w:rsid w:val="00874C02"/>
    <w:rsid w:val="0087546D"/>
    <w:rsid w:val="00875880"/>
    <w:rsid w:val="00875E2D"/>
    <w:rsid w:val="0087795A"/>
    <w:rsid w:val="008806F0"/>
    <w:rsid w:val="008808D6"/>
    <w:rsid w:val="00881897"/>
    <w:rsid w:val="00881E30"/>
    <w:rsid w:val="0088393E"/>
    <w:rsid w:val="00883B03"/>
    <w:rsid w:val="0088480A"/>
    <w:rsid w:val="00884BA5"/>
    <w:rsid w:val="00885466"/>
    <w:rsid w:val="00885632"/>
    <w:rsid w:val="00885EC2"/>
    <w:rsid w:val="00886781"/>
    <w:rsid w:val="00887330"/>
    <w:rsid w:val="0088757A"/>
    <w:rsid w:val="00891E6B"/>
    <w:rsid w:val="0089313B"/>
    <w:rsid w:val="008934BF"/>
    <w:rsid w:val="008948AF"/>
    <w:rsid w:val="00894ADA"/>
    <w:rsid w:val="008957DD"/>
    <w:rsid w:val="00897D98"/>
    <w:rsid w:val="008A0534"/>
    <w:rsid w:val="008A19F2"/>
    <w:rsid w:val="008A418A"/>
    <w:rsid w:val="008A5862"/>
    <w:rsid w:val="008A64F2"/>
    <w:rsid w:val="008A6DF2"/>
    <w:rsid w:val="008A7807"/>
    <w:rsid w:val="008A784E"/>
    <w:rsid w:val="008A79A6"/>
    <w:rsid w:val="008A7A8E"/>
    <w:rsid w:val="008B02A1"/>
    <w:rsid w:val="008B1A64"/>
    <w:rsid w:val="008B22E0"/>
    <w:rsid w:val="008B2B9B"/>
    <w:rsid w:val="008B458F"/>
    <w:rsid w:val="008B4CC9"/>
    <w:rsid w:val="008C0D44"/>
    <w:rsid w:val="008C1039"/>
    <w:rsid w:val="008C27AE"/>
    <w:rsid w:val="008C33B5"/>
    <w:rsid w:val="008C53EC"/>
    <w:rsid w:val="008C58E7"/>
    <w:rsid w:val="008C5C26"/>
    <w:rsid w:val="008C753E"/>
    <w:rsid w:val="008D0E3F"/>
    <w:rsid w:val="008D1CDE"/>
    <w:rsid w:val="008D29C6"/>
    <w:rsid w:val="008D3DBC"/>
    <w:rsid w:val="008D421B"/>
    <w:rsid w:val="008D4997"/>
    <w:rsid w:val="008D4B29"/>
    <w:rsid w:val="008D672B"/>
    <w:rsid w:val="008D7C99"/>
    <w:rsid w:val="008D7D2E"/>
    <w:rsid w:val="008E0FCB"/>
    <w:rsid w:val="008E2454"/>
    <w:rsid w:val="008E51EC"/>
    <w:rsid w:val="008E52ED"/>
    <w:rsid w:val="008E57B6"/>
    <w:rsid w:val="008E6246"/>
    <w:rsid w:val="008E6922"/>
    <w:rsid w:val="008E7D83"/>
    <w:rsid w:val="008F1BAC"/>
    <w:rsid w:val="008F294F"/>
    <w:rsid w:val="008F4204"/>
    <w:rsid w:val="008F429D"/>
    <w:rsid w:val="008F5D1F"/>
    <w:rsid w:val="008F75B5"/>
    <w:rsid w:val="00901E64"/>
    <w:rsid w:val="0090237D"/>
    <w:rsid w:val="0090315B"/>
    <w:rsid w:val="00903B50"/>
    <w:rsid w:val="00903C8C"/>
    <w:rsid w:val="00903D5F"/>
    <w:rsid w:val="00905D25"/>
    <w:rsid w:val="00910100"/>
    <w:rsid w:val="00912D5F"/>
    <w:rsid w:val="00912F1F"/>
    <w:rsid w:val="0091412A"/>
    <w:rsid w:val="00915044"/>
    <w:rsid w:val="0091627F"/>
    <w:rsid w:val="00916A4D"/>
    <w:rsid w:val="00916B86"/>
    <w:rsid w:val="0091759D"/>
    <w:rsid w:val="009206A3"/>
    <w:rsid w:val="0092178C"/>
    <w:rsid w:val="009227FC"/>
    <w:rsid w:val="009232B1"/>
    <w:rsid w:val="009260F8"/>
    <w:rsid w:val="0092698A"/>
    <w:rsid w:val="009308F4"/>
    <w:rsid w:val="00930B88"/>
    <w:rsid w:val="009317F3"/>
    <w:rsid w:val="00931DAF"/>
    <w:rsid w:val="0093224F"/>
    <w:rsid w:val="00932B38"/>
    <w:rsid w:val="00932EFC"/>
    <w:rsid w:val="00934C0A"/>
    <w:rsid w:val="0093541F"/>
    <w:rsid w:val="00937B83"/>
    <w:rsid w:val="009405E7"/>
    <w:rsid w:val="00940DCC"/>
    <w:rsid w:val="0094179A"/>
    <w:rsid w:val="0094181E"/>
    <w:rsid w:val="00941907"/>
    <w:rsid w:val="00941B2C"/>
    <w:rsid w:val="009434C3"/>
    <w:rsid w:val="0094459E"/>
    <w:rsid w:val="00944DBC"/>
    <w:rsid w:val="009459AB"/>
    <w:rsid w:val="00946827"/>
    <w:rsid w:val="009476FA"/>
    <w:rsid w:val="00950977"/>
    <w:rsid w:val="00950EE5"/>
    <w:rsid w:val="00951A7B"/>
    <w:rsid w:val="00954B6C"/>
    <w:rsid w:val="00954D2B"/>
    <w:rsid w:val="009556C8"/>
    <w:rsid w:val="00955FB8"/>
    <w:rsid w:val="009564A6"/>
    <w:rsid w:val="00956AD6"/>
    <w:rsid w:val="00956C2F"/>
    <w:rsid w:val="009629C9"/>
    <w:rsid w:val="009666FE"/>
    <w:rsid w:val="00966B01"/>
    <w:rsid w:val="00967621"/>
    <w:rsid w:val="0096794E"/>
    <w:rsid w:val="00967E6A"/>
    <w:rsid w:val="00967EEA"/>
    <w:rsid w:val="009700B8"/>
    <w:rsid w:val="009706F6"/>
    <w:rsid w:val="00970C25"/>
    <w:rsid w:val="009719C6"/>
    <w:rsid w:val="00971ED1"/>
    <w:rsid w:val="0097218B"/>
    <w:rsid w:val="0097235C"/>
    <w:rsid w:val="0097318B"/>
    <w:rsid w:val="00973D81"/>
    <w:rsid w:val="009756B1"/>
    <w:rsid w:val="009770E6"/>
    <w:rsid w:val="009805DF"/>
    <w:rsid w:val="00980D4D"/>
    <w:rsid w:val="00981833"/>
    <w:rsid w:val="0098266A"/>
    <w:rsid w:val="009847ED"/>
    <w:rsid w:val="00985E29"/>
    <w:rsid w:val="00987ADA"/>
    <w:rsid w:val="00993B19"/>
    <w:rsid w:val="00994222"/>
    <w:rsid w:val="009944B9"/>
    <w:rsid w:val="009958BF"/>
    <w:rsid w:val="00996CCE"/>
    <w:rsid w:val="0099729B"/>
    <w:rsid w:val="009A2205"/>
    <w:rsid w:val="009A2892"/>
    <w:rsid w:val="009A3B0F"/>
    <w:rsid w:val="009A3F61"/>
    <w:rsid w:val="009A45BF"/>
    <w:rsid w:val="009A6BCF"/>
    <w:rsid w:val="009A790C"/>
    <w:rsid w:val="009A7BF4"/>
    <w:rsid w:val="009B065A"/>
    <w:rsid w:val="009B18B2"/>
    <w:rsid w:val="009B4A0F"/>
    <w:rsid w:val="009B5220"/>
    <w:rsid w:val="009B5C3E"/>
    <w:rsid w:val="009B608C"/>
    <w:rsid w:val="009B71DB"/>
    <w:rsid w:val="009B78A4"/>
    <w:rsid w:val="009C11D2"/>
    <w:rsid w:val="009C29B0"/>
    <w:rsid w:val="009C3B95"/>
    <w:rsid w:val="009C4B3E"/>
    <w:rsid w:val="009C6778"/>
    <w:rsid w:val="009C6C70"/>
    <w:rsid w:val="009C6E8B"/>
    <w:rsid w:val="009C74F7"/>
    <w:rsid w:val="009C7E58"/>
    <w:rsid w:val="009D0B63"/>
    <w:rsid w:val="009D1A84"/>
    <w:rsid w:val="009D1A85"/>
    <w:rsid w:val="009D2D27"/>
    <w:rsid w:val="009D2E4B"/>
    <w:rsid w:val="009D4225"/>
    <w:rsid w:val="009D59C3"/>
    <w:rsid w:val="009D645E"/>
    <w:rsid w:val="009D6738"/>
    <w:rsid w:val="009D7CE9"/>
    <w:rsid w:val="009E0C9E"/>
    <w:rsid w:val="009E307E"/>
    <w:rsid w:val="009E31AF"/>
    <w:rsid w:val="009E33BF"/>
    <w:rsid w:val="009E349A"/>
    <w:rsid w:val="009E64B0"/>
    <w:rsid w:val="009E71C2"/>
    <w:rsid w:val="009F4063"/>
    <w:rsid w:val="009F5862"/>
    <w:rsid w:val="009F6D59"/>
    <w:rsid w:val="009F7DB4"/>
    <w:rsid w:val="00A01488"/>
    <w:rsid w:val="00A014AD"/>
    <w:rsid w:val="00A01A7D"/>
    <w:rsid w:val="00A01D59"/>
    <w:rsid w:val="00A02E57"/>
    <w:rsid w:val="00A04105"/>
    <w:rsid w:val="00A0501C"/>
    <w:rsid w:val="00A06483"/>
    <w:rsid w:val="00A065A0"/>
    <w:rsid w:val="00A06693"/>
    <w:rsid w:val="00A074FD"/>
    <w:rsid w:val="00A07870"/>
    <w:rsid w:val="00A07F19"/>
    <w:rsid w:val="00A100C2"/>
    <w:rsid w:val="00A1348D"/>
    <w:rsid w:val="00A13AB9"/>
    <w:rsid w:val="00A1454C"/>
    <w:rsid w:val="00A16DDE"/>
    <w:rsid w:val="00A20AD5"/>
    <w:rsid w:val="00A232EE"/>
    <w:rsid w:val="00A24CE5"/>
    <w:rsid w:val="00A25724"/>
    <w:rsid w:val="00A2587C"/>
    <w:rsid w:val="00A26A5A"/>
    <w:rsid w:val="00A27947"/>
    <w:rsid w:val="00A300AF"/>
    <w:rsid w:val="00A3015B"/>
    <w:rsid w:val="00A31278"/>
    <w:rsid w:val="00A32030"/>
    <w:rsid w:val="00A33593"/>
    <w:rsid w:val="00A33597"/>
    <w:rsid w:val="00A3360E"/>
    <w:rsid w:val="00A33902"/>
    <w:rsid w:val="00A33F99"/>
    <w:rsid w:val="00A36095"/>
    <w:rsid w:val="00A37902"/>
    <w:rsid w:val="00A409B4"/>
    <w:rsid w:val="00A4175F"/>
    <w:rsid w:val="00A421C3"/>
    <w:rsid w:val="00A43600"/>
    <w:rsid w:val="00A43CFE"/>
    <w:rsid w:val="00A44411"/>
    <w:rsid w:val="00A44FB7"/>
    <w:rsid w:val="00A469FA"/>
    <w:rsid w:val="00A50EC0"/>
    <w:rsid w:val="00A52E8A"/>
    <w:rsid w:val="00A5530D"/>
    <w:rsid w:val="00A55B01"/>
    <w:rsid w:val="00A55BAC"/>
    <w:rsid w:val="00A561DE"/>
    <w:rsid w:val="00A56318"/>
    <w:rsid w:val="00A565B3"/>
    <w:rsid w:val="00A56B5B"/>
    <w:rsid w:val="00A601CD"/>
    <w:rsid w:val="00A602FB"/>
    <w:rsid w:val="00A603FF"/>
    <w:rsid w:val="00A61917"/>
    <w:rsid w:val="00A61E24"/>
    <w:rsid w:val="00A63259"/>
    <w:rsid w:val="00A6418D"/>
    <w:rsid w:val="00A64E64"/>
    <w:rsid w:val="00A652F6"/>
    <w:rsid w:val="00A65761"/>
    <w:rsid w:val="00A657DD"/>
    <w:rsid w:val="00A65C40"/>
    <w:rsid w:val="00A666A6"/>
    <w:rsid w:val="00A66DDB"/>
    <w:rsid w:val="00A675FD"/>
    <w:rsid w:val="00A700F1"/>
    <w:rsid w:val="00A70BCB"/>
    <w:rsid w:val="00A71A53"/>
    <w:rsid w:val="00A72437"/>
    <w:rsid w:val="00A73B8A"/>
    <w:rsid w:val="00A73E07"/>
    <w:rsid w:val="00A7425B"/>
    <w:rsid w:val="00A751BA"/>
    <w:rsid w:val="00A80557"/>
    <w:rsid w:val="00A80611"/>
    <w:rsid w:val="00A82D57"/>
    <w:rsid w:val="00A83EDC"/>
    <w:rsid w:val="00A8490D"/>
    <w:rsid w:val="00A85C78"/>
    <w:rsid w:val="00A86392"/>
    <w:rsid w:val="00A9108E"/>
    <w:rsid w:val="00A9173A"/>
    <w:rsid w:val="00A92991"/>
    <w:rsid w:val="00A92E5C"/>
    <w:rsid w:val="00A930B9"/>
    <w:rsid w:val="00A94A8A"/>
    <w:rsid w:val="00A952F8"/>
    <w:rsid w:val="00A96318"/>
    <w:rsid w:val="00A964B0"/>
    <w:rsid w:val="00A967C7"/>
    <w:rsid w:val="00A97533"/>
    <w:rsid w:val="00AA1622"/>
    <w:rsid w:val="00AA178B"/>
    <w:rsid w:val="00AA1FB0"/>
    <w:rsid w:val="00AA223F"/>
    <w:rsid w:val="00AA2FA4"/>
    <w:rsid w:val="00AA337D"/>
    <w:rsid w:val="00AA408D"/>
    <w:rsid w:val="00AA4ECA"/>
    <w:rsid w:val="00AA675C"/>
    <w:rsid w:val="00AA78AA"/>
    <w:rsid w:val="00AA7AB2"/>
    <w:rsid w:val="00AB0224"/>
    <w:rsid w:val="00AB3817"/>
    <w:rsid w:val="00AB4676"/>
    <w:rsid w:val="00AB5340"/>
    <w:rsid w:val="00AB7D49"/>
    <w:rsid w:val="00AC0A89"/>
    <w:rsid w:val="00AC1A88"/>
    <w:rsid w:val="00AC28E8"/>
    <w:rsid w:val="00AC303F"/>
    <w:rsid w:val="00AC3354"/>
    <w:rsid w:val="00AC3991"/>
    <w:rsid w:val="00AC420D"/>
    <w:rsid w:val="00AC5C44"/>
    <w:rsid w:val="00AC7C96"/>
    <w:rsid w:val="00AD0740"/>
    <w:rsid w:val="00AD389B"/>
    <w:rsid w:val="00AD46EB"/>
    <w:rsid w:val="00AD597C"/>
    <w:rsid w:val="00AD5D2C"/>
    <w:rsid w:val="00AE01FB"/>
    <w:rsid w:val="00AE136B"/>
    <w:rsid w:val="00AE237D"/>
    <w:rsid w:val="00AE3165"/>
    <w:rsid w:val="00AE35A0"/>
    <w:rsid w:val="00AE424F"/>
    <w:rsid w:val="00AE45E6"/>
    <w:rsid w:val="00AE502A"/>
    <w:rsid w:val="00AE52C8"/>
    <w:rsid w:val="00AF0255"/>
    <w:rsid w:val="00AF2E4D"/>
    <w:rsid w:val="00AF43B5"/>
    <w:rsid w:val="00AF7C07"/>
    <w:rsid w:val="00B004DB"/>
    <w:rsid w:val="00B01EDD"/>
    <w:rsid w:val="00B03FC2"/>
    <w:rsid w:val="00B049EB"/>
    <w:rsid w:val="00B04B0E"/>
    <w:rsid w:val="00B05AB2"/>
    <w:rsid w:val="00B06CE2"/>
    <w:rsid w:val="00B10DD6"/>
    <w:rsid w:val="00B143D5"/>
    <w:rsid w:val="00B14A1E"/>
    <w:rsid w:val="00B15C5C"/>
    <w:rsid w:val="00B161ED"/>
    <w:rsid w:val="00B16C0C"/>
    <w:rsid w:val="00B22C93"/>
    <w:rsid w:val="00B23283"/>
    <w:rsid w:val="00B25421"/>
    <w:rsid w:val="00B256F7"/>
    <w:rsid w:val="00B26339"/>
    <w:rsid w:val="00B27589"/>
    <w:rsid w:val="00B2781C"/>
    <w:rsid w:val="00B2783C"/>
    <w:rsid w:val="00B27D22"/>
    <w:rsid w:val="00B30EC4"/>
    <w:rsid w:val="00B3150A"/>
    <w:rsid w:val="00B32A82"/>
    <w:rsid w:val="00B32BAF"/>
    <w:rsid w:val="00B33844"/>
    <w:rsid w:val="00B365B3"/>
    <w:rsid w:val="00B405B7"/>
    <w:rsid w:val="00B40D6F"/>
    <w:rsid w:val="00B42174"/>
    <w:rsid w:val="00B42D6C"/>
    <w:rsid w:val="00B42EA1"/>
    <w:rsid w:val="00B436B4"/>
    <w:rsid w:val="00B4410E"/>
    <w:rsid w:val="00B44DFC"/>
    <w:rsid w:val="00B47FB8"/>
    <w:rsid w:val="00B5006A"/>
    <w:rsid w:val="00B506A2"/>
    <w:rsid w:val="00B5216C"/>
    <w:rsid w:val="00B52222"/>
    <w:rsid w:val="00B54F23"/>
    <w:rsid w:val="00B54FE7"/>
    <w:rsid w:val="00B56BAE"/>
    <w:rsid w:val="00B57116"/>
    <w:rsid w:val="00B61385"/>
    <w:rsid w:val="00B613EA"/>
    <w:rsid w:val="00B61505"/>
    <w:rsid w:val="00B6455E"/>
    <w:rsid w:val="00B65721"/>
    <w:rsid w:val="00B65EE9"/>
    <w:rsid w:val="00B66607"/>
    <w:rsid w:val="00B66901"/>
    <w:rsid w:val="00B712CF"/>
    <w:rsid w:val="00B712F6"/>
    <w:rsid w:val="00B71E6D"/>
    <w:rsid w:val="00B72070"/>
    <w:rsid w:val="00B73BAF"/>
    <w:rsid w:val="00B74421"/>
    <w:rsid w:val="00B7588A"/>
    <w:rsid w:val="00B75A40"/>
    <w:rsid w:val="00B779E1"/>
    <w:rsid w:val="00B77CF6"/>
    <w:rsid w:val="00B8112C"/>
    <w:rsid w:val="00B81428"/>
    <w:rsid w:val="00B8182C"/>
    <w:rsid w:val="00B830F3"/>
    <w:rsid w:val="00B8587D"/>
    <w:rsid w:val="00B8694A"/>
    <w:rsid w:val="00B90647"/>
    <w:rsid w:val="00B91A18"/>
    <w:rsid w:val="00B91EB3"/>
    <w:rsid w:val="00B91EE1"/>
    <w:rsid w:val="00B92273"/>
    <w:rsid w:val="00B9437C"/>
    <w:rsid w:val="00B9630B"/>
    <w:rsid w:val="00B9632F"/>
    <w:rsid w:val="00BA0090"/>
    <w:rsid w:val="00BA0392"/>
    <w:rsid w:val="00BA0B08"/>
    <w:rsid w:val="00BA0E36"/>
    <w:rsid w:val="00BA1A67"/>
    <w:rsid w:val="00BA22C6"/>
    <w:rsid w:val="00BA3DED"/>
    <w:rsid w:val="00BA430A"/>
    <w:rsid w:val="00BA432B"/>
    <w:rsid w:val="00BA66FE"/>
    <w:rsid w:val="00BA6928"/>
    <w:rsid w:val="00BA6CD9"/>
    <w:rsid w:val="00BB1EAA"/>
    <w:rsid w:val="00BB23B3"/>
    <w:rsid w:val="00BB29D2"/>
    <w:rsid w:val="00BB4364"/>
    <w:rsid w:val="00BB5CAD"/>
    <w:rsid w:val="00BB6490"/>
    <w:rsid w:val="00BB6AF8"/>
    <w:rsid w:val="00BC11BC"/>
    <w:rsid w:val="00BC13D9"/>
    <w:rsid w:val="00BC2C38"/>
    <w:rsid w:val="00BC305A"/>
    <w:rsid w:val="00BC358F"/>
    <w:rsid w:val="00BC6682"/>
    <w:rsid w:val="00BC7DF5"/>
    <w:rsid w:val="00BD03FB"/>
    <w:rsid w:val="00BD0A0C"/>
    <w:rsid w:val="00BD35F6"/>
    <w:rsid w:val="00BD441C"/>
    <w:rsid w:val="00BD4A48"/>
    <w:rsid w:val="00BD4BB4"/>
    <w:rsid w:val="00BD61A7"/>
    <w:rsid w:val="00BD6824"/>
    <w:rsid w:val="00BD79BC"/>
    <w:rsid w:val="00BD7DBC"/>
    <w:rsid w:val="00BE1448"/>
    <w:rsid w:val="00BE1FAF"/>
    <w:rsid w:val="00BE2099"/>
    <w:rsid w:val="00BE5B5F"/>
    <w:rsid w:val="00BE6728"/>
    <w:rsid w:val="00BE7989"/>
    <w:rsid w:val="00BE7B49"/>
    <w:rsid w:val="00BE7EAC"/>
    <w:rsid w:val="00BF0298"/>
    <w:rsid w:val="00BF09AF"/>
    <w:rsid w:val="00BF1DC5"/>
    <w:rsid w:val="00BF261B"/>
    <w:rsid w:val="00BF2D79"/>
    <w:rsid w:val="00BF3DEF"/>
    <w:rsid w:val="00BF40BB"/>
    <w:rsid w:val="00BF42CF"/>
    <w:rsid w:val="00BF7002"/>
    <w:rsid w:val="00BF74B6"/>
    <w:rsid w:val="00BF768F"/>
    <w:rsid w:val="00BF775F"/>
    <w:rsid w:val="00C019DA"/>
    <w:rsid w:val="00C02454"/>
    <w:rsid w:val="00C03698"/>
    <w:rsid w:val="00C03777"/>
    <w:rsid w:val="00C03C8E"/>
    <w:rsid w:val="00C04C69"/>
    <w:rsid w:val="00C05367"/>
    <w:rsid w:val="00C053C1"/>
    <w:rsid w:val="00C05624"/>
    <w:rsid w:val="00C0597A"/>
    <w:rsid w:val="00C06D0D"/>
    <w:rsid w:val="00C06D16"/>
    <w:rsid w:val="00C1021F"/>
    <w:rsid w:val="00C11E05"/>
    <w:rsid w:val="00C12F0A"/>
    <w:rsid w:val="00C1373B"/>
    <w:rsid w:val="00C15510"/>
    <w:rsid w:val="00C155D7"/>
    <w:rsid w:val="00C16D71"/>
    <w:rsid w:val="00C175D2"/>
    <w:rsid w:val="00C20572"/>
    <w:rsid w:val="00C20A06"/>
    <w:rsid w:val="00C20F3C"/>
    <w:rsid w:val="00C214B7"/>
    <w:rsid w:val="00C2221D"/>
    <w:rsid w:val="00C22CF3"/>
    <w:rsid w:val="00C23F60"/>
    <w:rsid w:val="00C24E6B"/>
    <w:rsid w:val="00C25BBB"/>
    <w:rsid w:val="00C25DF6"/>
    <w:rsid w:val="00C26F55"/>
    <w:rsid w:val="00C30C63"/>
    <w:rsid w:val="00C32DB9"/>
    <w:rsid w:val="00C33D0A"/>
    <w:rsid w:val="00C33F0C"/>
    <w:rsid w:val="00C36B8B"/>
    <w:rsid w:val="00C370B3"/>
    <w:rsid w:val="00C373D3"/>
    <w:rsid w:val="00C415C1"/>
    <w:rsid w:val="00C41F43"/>
    <w:rsid w:val="00C42646"/>
    <w:rsid w:val="00C4362C"/>
    <w:rsid w:val="00C469C6"/>
    <w:rsid w:val="00C46B98"/>
    <w:rsid w:val="00C47DBF"/>
    <w:rsid w:val="00C47E2F"/>
    <w:rsid w:val="00C5101E"/>
    <w:rsid w:val="00C52555"/>
    <w:rsid w:val="00C52868"/>
    <w:rsid w:val="00C552FF"/>
    <w:rsid w:val="00C558DA"/>
    <w:rsid w:val="00C55AF3"/>
    <w:rsid w:val="00C56384"/>
    <w:rsid w:val="00C56A52"/>
    <w:rsid w:val="00C60F54"/>
    <w:rsid w:val="00C61104"/>
    <w:rsid w:val="00C61F19"/>
    <w:rsid w:val="00C62A45"/>
    <w:rsid w:val="00C63B91"/>
    <w:rsid w:val="00C70DC1"/>
    <w:rsid w:val="00C71AC4"/>
    <w:rsid w:val="00C724B1"/>
    <w:rsid w:val="00C727A1"/>
    <w:rsid w:val="00C75BCD"/>
    <w:rsid w:val="00C76058"/>
    <w:rsid w:val="00C803DB"/>
    <w:rsid w:val="00C80DFB"/>
    <w:rsid w:val="00C83FD1"/>
    <w:rsid w:val="00C841D4"/>
    <w:rsid w:val="00C84759"/>
    <w:rsid w:val="00C90360"/>
    <w:rsid w:val="00C90A1C"/>
    <w:rsid w:val="00C91BA1"/>
    <w:rsid w:val="00C92C30"/>
    <w:rsid w:val="00C92FC5"/>
    <w:rsid w:val="00C93C91"/>
    <w:rsid w:val="00C9672C"/>
    <w:rsid w:val="00C974F9"/>
    <w:rsid w:val="00CA4AD0"/>
    <w:rsid w:val="00CA4B8B"/>
    <w:rsid w:val="00CA6C7F"/>
    <w:rsid w:val="00CB020C"/>
    <w:rsid w:val="00CB0B2F"/>
    <w:rsid w:val="00CC0244"/>
    <w:rsid w:val="00CC09FF"/>
    <w:rsid w:val="00CC10A6"/>
    <w:rsid w:val="00CC38E7"/>
    <w:rsid w:val="00CC4FBA"/>
    <w:rsid w:val="00CC548C"/>
    <w:rsid w:val="00CC5BD2"/>
    <w:rsid w:val="00CD051D"/>
    <w:rsid w:val="00CD1DB4"/>
    <w:rsid w:val="00CD30FA"/>
    <w:rsid w:val="00CD4CD8"/>
    <w:rsid w:val="00CD5EB8"/>
    <w:rsid w:val="00CD611E"/>
    <w:rsid w:val="00CD7044"/>
    <w:rsid w:val="00CD7D76"/>
    <w:rsid w:val="00CE042C"/>
    <w:rsid w:val="00CE06D4"/>
    <w:rsid w:val="00CE08B9"/>
    <w:rsid w:val="00CE4642"/>
    <w:rsid w:val="00CE524C"/>
    <w:rsid w:val="00CE64E1"/>
    <w:rsid w:val="00CE66F2"/>
    <w:rsid w:val="00CE78BA"/>
    <w:rsid w:val="00CE7F3B"/>
    <w:rsid w:val="00CF1312"/>
    <w:rsid w:val="00CF141F"/>
    <w:rsid w:val="00CF2885"/>
    <w:rsid w:val="00CF29F1"/>
    <w:rsid w:val="00CF2EC2"/>
    <w:rsid w:val="00CF4777"/>
    <w:rsid w:val="00CF644C"/>
    <w:rsid w:val="00D00B89"/>
    <w:rsid w:val="00D05CA0"/>
    <w:rsid w:val="00D067BB"/>
    <w:rsid w:val="00D0794F"/>
    <w:rsid w:val="00D07E2F"/>
    <w:rsid w:val="00D13377"/>
    <w:rsid w:val="00D1352A"/>
    <w:rsid w:val="00D150BD"/>
    <w:rsid w:val="00D16214"/>
    <w:rsid w:val="00D16261"/>
    <w:rsid w:val="00D169AF"/>
    <w:rsid w:val="00D17E35"/>
    <w:rsid w:val="00D205CE"/>
    <w:rsid w:val="00D20743"/>
    <w:rsid w:val="00D20B71"/>
    <w:rsid w:val="00D21CEA"/>
    <w:rsid w:val="00D242C8"/>
    <w:rsid w:val="00D25249"/>
    <w:rsid w:val="00D25612"/>
    <w:rsid w:val="00D26201"/>
    <w:rsid w:val="00D2636F"/>
    <w:rsid w:val="00D268B0"/>
    <w:rsid w:val="00D273D8"/>
    <w:rsid w:val="00D3332A"/>
    <w:rsid w:val="00D33DD0"/>
    <w:rsid w:val="00D34694"/>
    <w:rsid w:val="00D34D7F"/>
    <w:rsid w:val="00D37A06"/>
    <w:rsid w:val="00D37ED5"/>
    <w:rsid w:val="00D41251"/>
    <w:rsid w:val="00D41C47"/>
    <w:rsid w:val="00D4304F"/>
    <w:rsid w:val="00D44032"/>
    <w:rsid w:val="00D44066"/>
    <w:rsid w:val="00D44172"/>
    <w:rsid w:val="00D45EFE"/>
    <w:rsid w:val="00D46BBE"/>
    <w:rsid w:val="00D46EBA"/>
    <w:rsid w:val="00D47099"/>
    <w:rsid w:val="00D5084B"/>
    <w:rsid w:val="00D50BB9"/>
    <w:rsid w:val="00D53B36"/>
    <w:rsid w:val="00D54557"/>
    <w:rsid w:val="00D5469A"/>
    <w:rsid w:val="00D54BD8"/>
    <w:rsid w:val="00D55590"/>
    <w:rsid w:val="00D56F33"/>
    <w:rsid w:val="00D57DAE"/>
    <w:rsid w:val="00D57F76"/>
    <w:rsid w:val="00D611BA"/>
    <w:rsid w:val="00D63502"/>
    <w:rsid w:val="00D6376A"/>
    <w:rsid w:val="00D63B8C"/>
    <w:rsid w:val="00D64C5B"/>
    <w:rsid w:val="00D66172"/>
    <w:rsid w:val="00D6696F"/>
    <w:rsid w:val="00D67E84"/>
    <w:rsid w:val="00D713C8"/>
    <w:rsid w:val="00D71819"/>
    <w:rsid w:val="00D720EE"/>
    <w:rsid w:val="00D7393D"/>
    <w:rsid w:val="00D739CC"/>
    <w:rsid w:val="00D807B5"/>
    <w:rsid w:val="00D8093D"/>
    <w:rsid w:val="00D809A8"/>
    <w:rsid w:val="00D8108C"/>
    <w:rsid w:val="00D82A1E"/>
    <w:rsid w:val="00D82E8E"/>
    <w:rsid w:val="00D83811"/>
    <w:rsid w:val="00D842AE"/>
    <w:rsid w:val="00D844A6"/>
    <w:rsid w:val="00D859CE"/>
    <w:rsid w:val="00D870F2"/>
    <w:rsid w:val="00D91202"/>
    <w:rsid w:val="00D9211C"/>
    <w:rsid w:val="00D9229B"/>
    <w:rsid w:val="00D92DE0"/>
    <w:rsid w:val="00D92FEF"/>
    <w:rsid w:val="00D93A0F"/>
    <w:rsid w:val="00D947D6"/>
    <w:rsid w:val="00D970AD"/>
    <w:rsid w:val="00DA0C7D"/>
    <w:rsid w:val="00DA1522"/>
    <w:rsid w:val="00DA1BCA"/>
    <w:rsid w:val="00DA67D0"/>
    <w:rsid w:val="00DB40C1"/>
    <w:rsid w:val="00DB5C1E"/>
    <w:rsid w:val="00DB630C"/>
    <w:rsid w:val="00DB7486"/>
    <w:rsid w:val="00DC14A4"/>
    <w:rsid w:val="00DC1ACC"/>
    <w:rsid w:val="00DC2737"/>
    <w:rsid w:val="00DC302E"/>
    <w:rsid w:val="00DC30BA"/>
    <w:rsid w:val="00DC46DE"/>
    <w:rsid w:val="00DC46FF"/>
    <w:rsid w:val="00DC5254"/>
    <w:rsid w:val="00DC57F3"/>
    <w:rsid w:val="00DC78E7"/>
    <w:rsid w:val="00DC7C7C"/>
    <w:rsid w:val="00DC7E4E"/>
    <w:rsid w:val="00DD0970"/>
    <w:rsid w:val="00DD19C8"/>
    <w:rsid w:val="00DD1A4F"/>
    <w:rsid w:val="00DD1A78"/>
    <w:rsid w:val="00DD280A"/>
    <w:rsid w:val="00DD3107"/>
    <w:rsid w:val="00DD5B24"/>
    <w:rsid w:val="00DD79A5"/>
    <w:rsid w:val="00DD7C2C"/>
    <w:rsid w:val="00DE1DEE"/>
    <w:rsid w:val="00DE2F1E"/>
    <w:rsid w:val="00DE3AD2"/>
    <w:rsid w:val="00DE4927"/>
    <w:rsid w:val="00DF008E"/>
    <w:rsid w:val="00DF0692"/>
    <w:rsid w:val="00DF2034"/>
    <w:rsid w:val="00DF29A7"/>
    <w:rsid w:val="00DF4151"/>
    <w:rsid w:val="00DF4183"/>
    <w:rsid w:val="00DF48B4"/>
    <w:rsid w:val="00DF4E88"/>
    <w:rsid w:val="00DF518F"/>
    <w:rsid w:val="00DF70F3"/>
    <w:rsid w:val="00DF7225"/>
    <w:rsid w:val="00DF7BBE"/>
    <w:rsid w:val="00E003F4"/>
    <w:rsid w:val="00E00645"/>
    <w:rsid w:val="00E00C53"/>
    <w:rsid w:val="00E00C8A"/>
    <w:rsid w:val="00E00DBF"/>
    <w:rsid w:val="00E01B0E"/>
    <w:rsid w:val="00E03078"/>
    <w:rsid w:val="00E04407"/>
    <w:rsid w:val="00E048CD"/>
    <w:rsid w:val="00E056E5"/>
    <w:rsid w:val="00E06797"/>
    <w:rsid w:val="00E073F1"/>
    <w:rsid w:val="00E1186A"/>
    <w:rsid w:val="00E1265B"/>
    <w:rsid w:val="00E13A0F"/>
    <w:rsid w:val="00E13B48"/>
    <w:rsid w:val="00E1404F"/>
    <w:rsid w:val="00E14B32"/>
    <w:rsid w:val="00E1771D"/>
    <w:rsid w:val="00E21C83"/>
    <w:rsid w:val="00E2320D"/>
    <w:rsid w:val="00E23953"/>
    <w:rsid w:val="00E239E0"/>
    <w:rsid w:val="00E23E20"/>
    <w:rsid w:val="00E23F8D"/>
    <w:rsid w:val="00E24ADA"/>
    <w:rsid w:val="00E252CE"/>
    <w:rsid w:val="00E301F2"/>
    <w:rsid w:val="00E31CA8"/>
    <w:rsid w:val="00E32D45"/>
    <w:rsid w:val="00E32F59"/>
    <w:rsid w:val="00E332FA"/>
    <w:rsid w:val="00E333FC"/>
    <w:rsid w:val="00E33517"/>
    <w:rsid w:val="00E33EF3"/>
    <w:rsid w:val="00E35355"/>
    <w:rsid w:val="00E362D0"/>
    <w:rsid w:val="00E36F56"/>
    <w:rsid w:val="00E3727E"/>
    <w:rsid w:val="00E37A69"/>
    <w:rsid w:val="00E37CB1"/>
    <w:rsid w:val="00E40235"/>
    <w:rsid w:val="00E40D83"/>
    <w:rsid w:val="00E4175B"/>
    <w:rsid w:val="00E41A21"/>
    <w:rsid w:val="00E42F10"/>
    <w:rsid w:val="00E43CD6"/>
    <w:rsid w:val="00E448B8"/>
    <w:rsid w:val="00E4602E"/>
    <w:rsid w:val="00E464DC"/>
    <w:rsid w:val="00E46D9A"/>
    <w:rsid w:val="00E4742B"/>
    <w:rsid w:val="00E47DD4"/>
    <w:rsid w:val="00E51EC2"/>
    <w:rsid w:val="00E5257E"/>
    <w:rsid w:val="00E55881"/>
    <w:rsid w:val="00E55D2D"/>
    <w:rsid w:val="00E565FF"/>
    <w:rsid w:val="00E57A3C"/>
    <w:rsid w:val="00E6096B"/>
    <w:rsid w:val="00E6237E"/>
    <w:rsid w:val="00E627C7"/>
    <w:rsid w:val="00E63090"/>
    <w:rsid w:val="00E63BE7"/>
    <w:rsid w:val="00E64419"/>
    <w:rsid w:val="00E65388"/>
    <w:rsid w:val="00E6600C"/>
    <w:rsid w:val="00E662AF"/>
    <w:rsid w:val="00E71331"/>
    <w:rsid w:val="00E71CBD"/>
    <w:rsid w:val="00E72AB5"/>
    <w:rsid w:val="00E76963"/>
    <w:rsid w:val="00E769DA"/>
    <w:rsid w:val="00E76A58"/>
    <w:rsid w:val="00E7711D"/>
    <w:rsid w:val="00E7715E"/>
    <w:rsid w:val="00E80294"/>
    <w:rsid w:val="00E80935"/>
    <w:rsid w:val="00E80E4C"/>
    <w:rsid w:val="00E85B7D"/>
    <w:rsid w:val="00E85D64"/>
    <w:rsid w:val="00E87E79"/>
    <w:rsid w:val="00E90288"/>
    <w:rsid w:val="00E9121B"/>
    <w:rsid w:val="00E9214A"/>
    <w:rsid w:val="00E927B9"/>
    <w:rsid w:val="00E92A12"/>
    <w:rsid w:val="00E92A68"/>
    <w:rsid w:val="00E92F94"/>
    <w:rsid w:val="00E938E6"/>
    <w:rsid w:val="00E961E8"/>
    <w:rsid w:val="00E96398"/>
    <w:rsid w:val="00E96A8D"/>
    <w:rsid w:val="00E96F33"/>
    <w:rsid w:val="00EA0AE2"/>
    <w:rsid w:val="00EA1219"/>
    <w:rsid w:val="00EA2A3F"/>
    <w:rsid w:val="00EA39E5"/>
    <w:rsid w:val="00EA4772"/>
    <w:rsid w:val="00EA4A5D"/>
    <w:rsid w:val="00EA5A29"/>
    <w:rsid w:val="00EA69D1"/>
    <w:rsid w:val="00EA6F55"/>
    <w:rsid w:val="00EB0283"/>
    <w:rsid w:val="00EB0B94"/>
    <w:rsid w:val="00EB19CE"/>
    <w:rsid w:val="00EB2981"/>
    <w:rsid w:val="00EB6401"/>
    <w:rsid w:val="00EB7B34"/>
    <w:rsid w:val="00EC0A51"/>
    <w:rsid w:val="00EC0C13"/>
    <w:rsid w:val="00EC131A"/>
    <w:rsid w:val="00EC3B8E"/>
    <w:rsid w:val="00EC3D02"/>
    <w:rsid w:val="00EC521F"/>
    <w:rsid w:val="00EC5A46"/>
    <w:rsid w:val="00EC5B5C"/>
    <w:rsid w:val="00EC5BA2"/>
    <w:rsid w:val="00EC63AD"/>
    <w:rsid w:val="00EC63E2"/>
    <w:rsid w:val="00EC6AE7"/>
    <w:rsid w:val="00EC7DFC"/>
    <w:rsid w:val="00ED2369"/>
    <w:rsid w:val="00ED256E"/>
    <w:rsid w:val="00ED2D2C"/>
    <w:rsid w:val="00ED430A"/>
    <w:rsid w:val="00ED5B88"/>
    <w:rsid w:val="00ED6112"/>
    <w:rsid w:val="00ED663F"/>
    <w:rsid w:val="00ED6C70"/>
    <w:rsid w:val="00ED7E7D"/>
    <w:rsid w:val="00EE11FC"/>
    <w:rsid w:val="00EE15BC"/>
    <w:rsid w:val="00EE1B02"/>
    <w:rsid w:val="00EE5051"/>
    <w:rsid w:val="00EE5844"/>
    <w:rsid w:val="00EE5A7F"/>
    <w:rsid w:val="00EE5DA1"/>
    <w:rsid w:val="00EE618D"/>
    <w:rsid w:val="00EE6485"/>
    <w:rsid w:val="00EE6587"/>
    <w:rsid w:val="00EE6C21"/>
    <w:rsid w:val="00EE78CF"/>
    <w:rsid w:val="00EE7CE6"/>
    <w:rsid w:val="00EF0D1F"/>
    <w:rsid w:val="00EF1F05"/>
    <w:rsid w:val="00EF22B3"/>
    <w:rsid w:val="00EF2984"/>
    <w:rsid w:val="00EF2995"/>
    <w:rsid w:val="00EF2E5E"/>
    <w:rsid w:val="00EF33D5"/>
    <w:rsid w:val="00EF3C06"/>
    <w:rsid w:val="00EF4CFC"/>
    <w:rsid w:val="00EF61B8"/>
    <w:rsid w:val="00EF641B"/>
    <w:rsid w:val="00EF6DD2"/>
    <w:rsid w:val="00EF717F"/>
    <w:rsid w:val="00F0372E"/>
    <w:rsid w:val="00F03B69"/>
    <w:rsid w:val="00F03E65"/>
    <w:rsid w:val="00F040E0"/>
    <w:rsid w:val="00F04DD3"/>
    <w:rsid w:val="00F067AF"/>
    <w:rsid w:val="00F06B6C"/>
    <w:rsid w:val="00F07A50"/>
    <w:rsid w:val="00F10FFC"/>
    <w:rsid w:val="00F113DA"/>
    <w:rsid w:val="00F11570"/>
    <w:rsid w:val="00F1158E"/>
    <w:rsid w:val="00F1161B"/>
    <w:rsid w:val="00F1245B"/>
    <w:rsid w:val="00F12B54"/>
    <w:rsid w:val="00F13355"/>
    <w:rsid w:val="00F14007"/>
    <w:rsid w:val="00F159AB"/>
    <w:rsid w:val="00F15AAE"/>
    <w:rsid w:val="00F16647"/>
    <w:rsid w:val="00F1666E"/>
    <w:rsid w:val="00F16691"/>
    <w:rsid w:val="00F22180"/>
    <w:rsid w:val="00F256BF"/>
    <w:rsid w:val="00F266A4"/>
    <w:rsid w:val="00F27A51"/>
    <w:rsid w:val="00F30AC9"/>
    <w:rsid w:val="00F3174F"/>
    <w:rsid w:val="00F31F38"/>
    <w:rsid w:val="00F33FF4"/>
    <w:rsid w:val="00F34628"/>
    <w:rsid w:val="00F37DC8"/>
    <w:rsid w:val="00F41439"/>
    <w:rsid w:val="00F435F9"/>
    <w:rsid w:val="00F439B3"/>
    <w:rsid w:val="00F45C00"/>
    <w:rsid w:val="00F52573"/>
    <w:rsid w:val="00F52A70"/>
    <w:rsid w:val="00F53931"/>
    <w:rsid w:val="00F56117"/>
    <w:rsid w:val="00F56CF0"/>
    <w:rsid w:val="00F57709"/>
    <w:rsid w:val="00F609A8"/>
    <w:rsid w:val="00F65098"/>
    <w:rsid w:val="00F650C3"/>
    <w:rsid w:val="00F6525B"/>
    <w:rsid w:val="00F65D85"/>
    <w:rsid w:val="00F65EA9"/>
    <w:rsid w:val="00F66098"/>
    <w:rsid w:val="00F6647D"/>
    <w:rsid w:val="00F700D9"/>
    <w:rsid w:val="00F75302"/>
    <w:rsid w:val="00F756C8"/>
    <w:rsid w:val="00F75964"/>
    <w:rsid w:val="00F760B6"/>
    <w:rsid w:val="00F76714"/>
    <w:rsid w:val="00F801F0"/>
    <w:rsid w:val="00F8091E"/>
    <w:rsid w:val="00F82D7A"/>
    <w:rsid w:val="00F850B9"/>
    <w:rsid w:val="00F8615C"/>
    <w:rsid w:val="00F86A92"/>
    <w:rsid w:val="00F87947"/>
    <w:rsid w:val="00F87DAB"/>
    <w:rsid w:val="00F90180"/>
    <w:rsid w:val="00F90BCF"/>
    <w:rsid w:val="00F913AC"/>
    <w:rsid w:val="00F919B8"/>
    <w:rsid w:val="00F91EB3"/>
    <w:rsid w:val="00F93223"/>
    <w:rsid w:val="00F93ADA"/>
    <w:rsid w:val="00F94A40"/>
    <w:rsid w:val="00F96251"/>
    <w:rsid w:val="00F969E5"/>
    <w:rsid w:val="00F9773C"/>
    <w:rsid w:val="00FA01F6"/>
    <w:rsid w:val="00FA0259"/>
    <w:rsid w:val="00FA0463"/>
    <w:rsid w:val="00FA068F"/>
    <w:rsid w:val="00FA27C5"/>
    <w:rsid w:val="00FA43D7"/>
    <w:rsid w:val="00FA5B66"/>
    <w:rsid w:val="00FA6668"/>
    <w:rsid w:val="00FA6BB0"/>
    <w:rsid w:val="00FB07A3"/>
    <w:rsid w:val="00FB2FF5"/>
    <w:rsid w:val="00FB34D5"/>
    <w:rsid w:val="00FB3D3A"/>
    <w:rsid w:val="00FB407C"/>
    <w:rsid w:val="00FB4900"/>
    <w:rsid w:val="00FB6907"/>
    <w:rsid w:val="00FB754E"/>
    <w:rsid w:val="00FC01B7"/>
    <w:rsid w:val="00FC175B"/>
    <w:rsid w:val="00FC1D6E"/>
    <w:rsid w:val="00FC32D3"/>
    <w:rsid w:val="00FC34C7"/>
    <w:rsid w:val="00FC3576"/>
    <w:rsid w:val="00FC5C15"/>
    <w:rsid w:val="00FC65EB"/>
    <w:rsid w:val="00FC6ABD"/>
    <w:rsid w:val="00FC6B80"/>
    <w:rsid w:val="00FC7835"/>
    <w:rsid w:val="00FC7A1E"/>
    <w:rsid w:val="00FC7CA9"/>
    <w:rsid w:val="00FD3A30"/>
    <w:rsid w:val="00FD497B"/>
    <w:rsid w:val="00FD4FB6"/>
    <w:rsid w:val="00FD52FB"/>
    <w:rsid w:val="00FD5577"/>
    <w:rsid w:val="00FD5860"/>
    <w:rsid w:val="00FE2DD7"/>
    <w:rsid w:val="00FE352D"/>
    <w:rsid w:val="00FE3F9C"/>
    <w:rsid w:val="00FE40EB"/>
    <w:rsid w:val="00FE4BB5"/>
    <w:rsid w:val="00FE4D02"/>
    <w:rsid w:val="00FE65F3"/>
    <w:rsid w:val="00FE7D62"/>
    <w:rsid w:val="00FF0208"/>
    <w:rsid w:val="00FF207F"/>
    <w:rsid w:val="00FF2219"/>
    <w:rsid w:val="00FF236E"/>
    <w:rsid w:val="00FF2A9A"/>
    <w:rsid w:val="00FF3819"/>
    <w:rsid w:val="00FF3D46"/>
    <w:rsid w:val="00FF4B6D"/>
    <w:rsid w:val="00FF5D08"/>
    <w:rsid w:val="00FF72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35CD8BF8"/>
  <w15:docId w15:val="{A3DF2F54-7BBF-43D8-9040-4E899363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0D6941"/>
    <w:pPr>
      <w:spacing w:after="120"/>
      <w:ind w:left="1247" w:hanging="680"/>
      <w:outlineLvl w:val="2"/>
    </w:pPr>
    <w:rPr>
      <w:b/>
    </w:rPr>
  </w:style>
  <w:style w:type="paragraph" w:styleId="Heading4">
    <w:name w:val="heading 4"/>
    <w:basedOn w:val="Heading3"/>
    <w:next w:val="Normalnumber"/>
    <w:link w:val="Heading4Char"/>
    <w:qFormat/>
    <w:rsid w:val="000D6941"/>
    <w:pPr>
      <w:keepNext/>
      <w:outlineLvl w:val="3"/>
    </w:pPr>
  </w:style>
  <w:style w:type="paragraph" w:styleId="Heading5">
    <w:name w:val="heading 5"/>
    <w:basedOn w:val="Normal"/>
    <w:next w:val="Normal"/>
    <w:link w:val="Heading5Char"/>
    <w:qFormat/>
    <w:rsid w:val="000D6941"/>
    <w:pPr>
      <w:keepNext/>
      <w:outlineLvl w:val="4"/>
    </w:pPr>
    <w:rPr>
      <w:rFonts w:ascii="Univers" w:hAnsi="Univers"/>
      <w:b/>
      <w:sz w:val="24"/>
    </w:rPr>
  </w:style>
  <w:style w:type="paragraph" w:styleId="Heading6">
    <w:name w:val="heading 6"/>
    <w:basedOn w:val="Normal"/>
    <w:next w:val="Normal"/>
    <w:link w:val="Heading6Char"/>
    <w:qFormat/>
    <w:rsid w:val="000D6941"/>
    <w:pPr>
      <w:keepNext/>
      <w:ind w:left="578"/>
      <w:outlineLvl w:val="5"/>
    </w:pPr>
    <w:rPr>
      <w:b/>
      <w:bCs/>
      <w:sz w:val="24"/>
    </w:rPr>
  </w:style>
  <w:style w:type="paragraph" w:styleId="Heading7">
    <w:name w:val="heading 7"/>
    <w:basedOn w:val="Normal"/>
    <w:next w:val="Normal"/>
    <w:link w:val="Heading7Char"/>
    <w:qFormat/>
    <w:rsid w:val="000D6941"/>
    <w:pPr>
      <w:keepNext/>
      <w:widowControl w:val="0"/>
      <w:jc w:val="center"/>
      <w:outlineLvl w:val="6"/>
    </w:pPr>
    <w:rPr>
      <w:snapToGrid w:val="0"/>
      <w:u w:val="single"/>
      <w:lang w:val="en-US"/>
    </w:rPr>
  </w:style>
  <w:style w:type="paragraph" w:styleId="Heading8">
    <w:name w:val="heading 8"/>
    <w:basedOn w:val="Normal"/>
    <w:next w:val="Normal"/>
    <w:link w:val="Heading8Char"/>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qFormat/>
    <w:rsid w:val="001C2B40"/>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1C2B40"/>
    <w:pPr>
      <w:keepNext/>
      <w:keepLines/>
      <w:tabs>
        <w:tab w:val="right" w:pos="851"/>
      </w:tabs>
      <w:suppressAutoHyphens/>
      <w:spacing w:before="240" w:after="120"/>
      <w:ind w:left="1247" w:right="284" w:hanging="1247"/>
    </w:pPr>
    <w:rPr>
      <w:b/>
      <w:sz w:val="24"/>
      <w:szCs w:val="24"/>
    </w:rPr>
  </w:style>
  <w:style w:type="paragraph" w:customStyle="1" w:styleId="CH3">
    <w:name w:val="CH3"/>
    <w:basedOn w:val="Normalpool"/>
    <w:next w:val="Normalnumber"/>
    <w:qFormat/>
    <w:rsid w:val="00E33517"/>
    <w:pPr>
      <w:keepNext/>
      <w:keepLines/>
      <w:tabs>
        <w:tab w:val="right" w:pos="851"/>
      </w:tabs>
      <w:suppressAutoHyphens/>
      <w:spacing w:before="240" w:after="120"/>
      <w:ind w:left="1247" w:right="284" w:hanging="1247"/>
    </w:pPr>
    <w:rPr>
      <w:b/>
    </w:rPr>
  </w:style>
  <w:style w:type="paragraph" w:customStyle="1" w:styleId="CH4">
    <w:name w:val="CH4"/>
    <w:basedOn w:val="Normalpool"/>
    <w:next w:val="Normalnumber"/>
    <w:rsid w:val="00E33517"/>
    <w:pPr>
      <w:keepNext/>
      <w:keepLines/>
      <w:tabs>
        <w:tab w:val="right" w:pos="851"/>
      </w:tabs>
      <w:suppressAutoHyphens/>
      <w:spacing w:before="120" w:after="120"/>
      <w:ind w:left="1247" w:right="284" w:hanging="1247"/>
    </w:pPr>
    <w:rPr>
      <w: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1C2B40"/>
    <w:pPr>
      <w:keepNext/>
      <w:keepLines/>
      <w:tabs>
        <w:tab w:val="right" w:pos="851"/>
      </w:tabs>
      <w:suppressAutoHyphens/>
      <w:spacing w:before="120" w:after="120"/>
      <w:ind w:left="1247" w:right="284" w:hanging="1247"/>
    </w:pPr>
    <w:rPr>
      <w: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link w:val="NormalpoolChar"/>
    <w:rsid w:val="00811904"/>
    <w:pPr>
      <w:tabs>
        <w:tab w:val="left" w:pos="1247"/>
      </w:tabs>
    </w:pPr>
    <w:rPr>
      <w:lang w:val="en-GB"/>
    </w:rPr>
  </w:style>
  <w:style w:type="paragraph" w:customStyle="1" w:styleId="Footer-pool">
    <w:name w:val="Footer-pool"/>
    <w:basedOn w:val="Normalpool"/>
    <w:next w:val="Normalpool"/>
    <w:rsid w:val="00595A67"/>
    <w:pPr>
      <w:spacing w:before="60" w:after="120"/>
    </w:pPr>
    <w:rPr>
      <w:b/>
      <w:sz w:val="18"/>
    </w:rPr>
  </w:style>
  <w:style w:type="paragraph" w:customStyle="1" w:styleId="Header-pool">
    <w:name w:val="Header-pool"/>
    <w:basedOn w:val="Normalpool"/>
    <w:next w:val="Normalpool"/>
    <w:rsid w:val="005371ED"/>
    <w:pPr>
      <w:pBdr>
        <w:bottom w:val="single" w:sz="4" w:space="1" w:color="auto"/>
      </w:pBdr>
      <w:spacing w:after="120"/>
    </w:pPr>
    <w:rPr>
      <w:b/>
      <w:sz w:val="18"/>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fr,Ref"/>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Fußnotentextf, Char1,Geneva 9,Font: Geneva 9,Boston 10,f,-E Fußnotentext,Fußnotentext Ursprung,-E Fußnotentext1,-E Fußnotentext2,-E Fußnotentext3,Fußnotentext Char1,Fußnotentext Char Char,Fußnotentext Char1 Char Char,Char1,DNV-FT,93"/>
    <w:basedOn w:val="Normalpool"/>
    <w:link w:val="FootnoteTextChar"/>
    <w:uiPriority w:val="99"/>
    <w:qFormat/>
    <w:rsid w:val="000D6941"/>
    <w:pPr>
      <w:spacing w:before="20" w:after="40"/>
      <w:ind w:left="1247"/>
    </w:pPr>
    <w:rPr>
      <w:sz w:val="18"/>
    </w:rPr>
  </w:style>
  <w:style w:type="table" w:styleId="TableGrid">
    <w:name w:val="Table Grid"/>
    <w:basedOn w:val="TableNormal"/>
    <w:uiPriority w:val="39"/>
    <w:rsid w:val="0013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55DDF"/>
    <w:rPr>
      <w:sz w:val="18"/>
      <w:lang w:val="fr-FR"/>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rPr>
  </w:style>
  <w:style w:type="paragraph" w:customStyle="1" w:styleId="AATitle2">
    <w:name w:val="AA_Title2"/>
    <w:basedOn w:val="AATitle"/>
    <w:rsid w:val="00594262"/>
    <w:pPr>
      <w:tabs>
        <w:tab w:val="clear" w:pos="1247"/>
        <w:tab w:val="left" w:pos="624"/>
      </w:tabs>
      <w:spacing w:before="60"/>
      <w:ind w:right="4536"/>
    </w:pPr>
  </w:style>
  <w:style w:type="paragraph" w:customStyle="1" w:styleId="BBTitle">
    <w:name w:val="BB_Title"/>
    <w:basedOn w:val="Normalpool"/>
    <w:qFormat/>
    <w:rsid w:val="00160D74"/>
    <w:pPr>
      <w:keepNext/>
      <w:keepLines/>
      <w:suppressAutoHyphens/>
      <w:spacing w:before="320" w:after="240"/>
      <w:ind w:left="1247" w:right="567"/>
    </w:pPr>
    <w:rPr>
      <w:b/>
      <w:sz w:val="28"/>
      <w:szCs w:val="28"/>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rsid w:val="000D6941"/>
    <w:rPr>
      <w:rFonts w:ascii="Times New Roman" w:hAnsi="Times New Roman"/>
      <w:color w:val="auto"/>
      <w:sz w:val="20"/>
      <w:szCs w:val="20"/>
      <w:u w:val="none"/>
      <w:lang w:val="fr-FR"/>
    </w:rPr>
  </w:style>
  <w:style w:type="numbering" w:customStyle="1" w:styleId="Normallist">
    <w:name w:val="Normal_list"/>
    <w:basedOn w:val="NoList"/>
    <w:rsid w:val="003A77F1"/>
    <w:pPr>
      <w:numPr>
        <w:numId w:val="1"/>
      </w:numPr>
    </w:pPr>
  </w:style>
  <w:style w:type="paragraph" w:customStyle="1" w:styleId="NormalNonumber">
    <w:name w:val="Normal_No_number"/>
    <w:basedOn w:val="Normalpool"/>
    <w:rsid w:val="00160D74"/>
    <w:pPr>
      <w:spacing w:after="120"/>
      <w:ind w:left="1247"/>
    </w:pPr>
  </w:style>
  <w:style w:type="paragraph" w:customStyle="1" w:styleId="Normalnumber">
    <w:name w:val="Normal_number"/>
    <w:basedOn w:val="Normalpool"/>
    <w:link w:val="NormalnumberChar"/>
    <w:qFormat/>
    <w:rsid w:val="00BD0A0C"/>
    <w:pPr>
      <w:numPr>
        <w:numId w:val="4"/>
      </w:numPr>
      <w:tabs>
        <w:tab w:val="clear" w:pos="1247"/>
        <w:tab w:val="left" w:pos="624"/>
      </w:tabs>
      <w:spacing w:after="120"/>
    </w:pPr>
  </w:style>
  <w:style w:type="paragraph" w:customStyle="1" w:styleId="Titletable">
    <w:name w:val="Title_table"/>
    <w:basedOn w:val="Normalpool"/>
    <w:rsid w:val="00160D74"/>
    <w:pPr>
      <w:keepNext/>
      <w:keepLines/>
      <w:suppressAutoHyphens/>
      <w:spacing w:after="60"/>
      <w:ind w:left="1247"/>
    </w:pPr>
    <w:rPr>
      <w:b/>
      <w:bCs/>
    </w:rPr>
  </w:style>
  <w:style w:type="paragraph" w:styleId="TOC1">
    <w:name w:val="toc 1"/>
    <w:basedOn w:val="Normalpool"/>
    <w:next w:val="Normalpool"/>
    <w:rsid w:val="000D6941"/>
    <w:pPr>
      <w:tabs>
        <w:tab w:val="right" w:leader="dot" w:pos="9486"/>
      </w:tabs>
      <w:spacing w:before="240"/>
      <w:ind w:left="1814" w:hanging="567"/>
    </w:pPr>
    <w:rPr>
      <w:bCs/>
    </w:rPr>
  </w:style>
  <w:style w:type="paragraph" w:styleId="TOC2">
    <w:name w:val="toc 2"/>
    <w:basedOn w:val="Normalpool"/>
    <w:next w:val="Normalpool"/>
    <w:rsid w:val="000D6941"/>
    <w:pPr>
      <w:tabs>
        <w:tab w:val="right" w:leader="dot" w:pos="9486"/>
      </w:tabs>
      <w:ind w:left="2381" w:hanging="567"/>
    </w:pPr>
  </w:style>
  <w:style w:type="paragraph" w:styleId="TOC3">
    <w:name w:val="toc 3"/>
    <w:basedOn w:val="Normalpool"/>
    <w:next w:val="Normalpool"/>
    <w:rsid w:val="000D6941"/>
    <w:pPr>
      <w:tabs>
        <w:tab w:val="right" w:leader="dot" w:pos="9486"/>
      </w:tabs>
      <w:ind w:left="2948" w:hanging="567"/>
    </w:pPr>
    <w:rPr>
      <w:iCs/>
    </w:rPr>
  </w:style>
  <w:style w:type="paragraph" w:styleId="TOC4">
    <w:name w:val="toc 4"/>
    <w:basedOn w:val="Normalpool"/>
    <w:next w:val="Normalpool"/>
    <w:rsid w:val="000D6941"/>
    <w:pPr>
      <w:tabs>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rPr>
  </w:style>
  <w:style w:type="paragraph" w:customStyle="1" w:styleId="ZZAnxtitle">
    <w:name w:val="ZZ_Anx_title"/>
    <w:basedOn w:val="Normalpool"/>
    <w:rsid w:val="00160D74"/>
    <w:pPr>
      <w:spacing w:before="360" w:after="120"/>
      <w:ind w:left="1247"/>
    </w:pPr>
    <w:rPr>
      <w:b/>
      <w:bCs/>
      <w:sz w:val="28"/>
      <w:szCs w:val="26"/>
    </w:rPr>
  </w:style>
  <w:style w:type="paragraph" w:styleId="BalloonText">
    <w:name w:val="Balloon Text"/>
    <w:basedOn w:val="Normal"/>
    <w:link w:val="BalloonTextChar"/>
    <w:uiPriority w:val="99"/>
    <w:rsid w:val="000B7EE1"/>
    <w:rPr>
      <w:rFonts w:ascii="Tahoma" w:hAnsi="Tahoma" w:cs="Tahoma"/>
      <w:sz w:val="16"/>
      <w:szCs w:val="16"/>
    </w:rPr>
  </w:style>
  <w:style w:type="character" w:customStyle="1" w:styleId="BalloonTextChar">
    <w:name w:val="Balloon Text Char"/>
    <w:basedOn w:val="DefaultParagraphFont"/>
    <w:link w:val="BalloonText"/>
    <w:uiPriority w:val="99"/>
    <w:rsid w:val="000B7EE1"/>
    <w:rPr>
      <w:rFonts w:ascii="Tahoma" w:hAnsi="Tahoma" w:cs="Tahoma"/>
      <w:sz w:val="16"/>
      <w:szCs w:val="16"/>
      <w:lang w:val="fr-FR"/>
    </w:rPr>
  </w:style>
  <w:style w:type="paragraph" w:styleId="Revision">
    <w:name w:val="Revision"/>
    <w:hidden/>
    <w:uiPriority w:val="99"/>
    <w:semiHidden/>
    <w:rsid w:val="00095BE1"/>
    <w:rPr>
      <w:lang w:val="fr-FR"/>
    </w:rPr>
  </w:style>
  <w:style w:type="character" w:customStyle="1" w:styleId="FootnoteTextChar">
    <w:name w:val="Footnote Text Char"/>
    <w:aliases w:val="Fußnotentextf Char, Char1 Char,Geneva 9 Char,Font: Geneva 9 Char,Boston 10 Char,f Char,-E Fußnotentext Char,Fußnotentext Ursprung Char,-E Fußnotentext1 Char,-E Fußnotentext2 Char,-E Fußnotentext3 Char,Fußnotentext Char1 Char,93 Char"/>
    <w:basedOn w:val="DefaultParagraphFont"/>
    <w:link w:val="FootnoteText"/>
    <w:rsid w:val="00F53931"/>
    <w:rPr>
      <w:sz w:val="18"/>
      <w:lang w:val="fr-FR"/>
    </w:rPr>
  </w:style>
  <w:style w:type="character" w:customStyle="1" w:styleId="CH2Char">
    <w:name w:val="CH2 Char"/>
    <w:link w:val="CH2"/>
    <w:locked/>
    <w:rsid w:val="001C2B40"/>
    <w:rPr>
      <w:b/>
      <w:sz w:val="24"/>
      <w:szCs w:val="24"/>
      <w:lang w:val="en-GB"/>
    </w:rPr>
  </w:style>
  <w:style w:type="character" w:customStyle="1" w:styleId="NormalnumberChar">
    <w:name w:val="Normal_number Char"/>
    <w:link w:val="Normalnumber"/>
    <w:locked/>
    <w:rsid w:val="00BD0A0C"/>
    <w:rPr>
      <w:lang w:val="en-GB"/>
    </w:rPr>
  </w:style>
  <w:style w:type="character" w:styleId="CommentReference">
    <w:name w:val="annotation reference"/>
    <w:basedOn w:val="DefaultParagraphFont"/>
    <w:rsid w:val="00C03777"/>
    <w:rPr>
      <w:sz w:val="16"/>
      <w:szCs w:val="16"/>
    </w:rPr>
  </w:style>
  <w:style w:type="paragraph" w:styleId="CommentText">
    <w:name w:val="annotation text"/>
    <w:basedOn w:val="Normal"/>
    <w:link w:val="CommentTextChar"/>
    <w:rsid w:val="00C03777"/>
  </w:style>
  <w:style w:type="character" w:customStyle="1" w:styleId="CommentTextChar">
    <w:name w:val="Comment Text Char"/>
    <w:basedOn w:val="DefaultParagraphFont"/>
    <w:link w:val="CommentText"/>
    <w:rsid w:val="00C03777"/>
    <w:rPr>
      <w:lang w:val="fr-FR"/>
    </w:rPr>
  </w:style>
  <w:style w:type="paragraph" w:styleId="CommentSubject">
    <w:name w:val="annotation subject"/>
    <w:basedOn w:val="CommentText"/>
    <w:next w:val="CommentText"/>
    <w:link w:val="CommentSubjectChar"/>
    <w:rsid w:val="00C03777"/>
    <w:rPr>
      <w:b/>
      <w:bCs/>
    </w:rPr>
  </w:style>
  <w:style w:type="character" w:customStyle="1" w:styleId="CommentSubjectChar">
    <w:name w:val="Comment Subject Char"/>
    <w:basedOn w:val="CommentTextChar"/>
    <w:link w:val="CommentSubject"/>
    <w:rsid w:val="00C03777"/>
    <w:rPr>
      <w:b/>
      <w:bCs/>
      <w:lang w:val="fr-FR"/>
    </w:rPr>
  </w:style>
  <w:style w:type="character" w:styleId="Emphasis">
    <w:name w:val="Emphasis"/>
    <w:basedOn w:val="DefaultParagraphFont"/>
    <w:uiPriority w:val="20"/>
    <w:qFormat/>
    <w:rsid w:val="000B22BE"/>
    <w:rPr>
      <w:i/>
      <w:iCs/>
    </w:rPr>
  </w:style>
  <w:style w:type="paragraph" w:styleId="ListParagraph">
    <w:name w:val="List Paragraph"/>
    <w:basedOn w:val="Normal"/>
    <w:uiPriority w:val="34"/>
    <w:qFormat/>
    <w:rsid w:val="00C15510"/>
    <w:pPr>
      <w:ind w:left="720"/>
      <w:contextualSpacing/>
    </w:pPr>
  </w:style>
  <w:style w:type="character" w:customStyle="1" w:styleId="NormalpoolChar">
    <w:name w:val="Normal_pool Char"/>
    <w:link w:val="Normalpool"/>
    <w:locked/>
    <w:rsid w:val="00811904"/>
    <w:rPr>
      <w:lang w:val="en-GB"/>
    </w:rPr>
  </w:style>
  <w:style w:type="character" w:styleId="FollowedHyperlink">
    <w:name w:val="FollowedHyperlink"/>
    <w:basedOn w:val="DefaultParagraphFont"/>
    <w:semiHidden/>
    <w:unhideWhenUsed/>
    <w:rsid w:val="007C1574"/>
    <w:rPr>
      <w:color w:val="954F72" w:themeColor="followedHyperlink"/>
      <w:u w:val="single"/>
    </w:rPr>
  </w:style>
  <w:style w:type="numbering" w:customStyle="1" w:styleId="NoList1">
    <w:name w:val="No List1"/>
    <w:next w:val="NoList"/>
    <w:uiPriority w:val="99"/>
    <w:semiHidden/>
    <w:unhideWhenUsed/>
    <w:rsid w:val="001311E8"/>
  </w:style>
  <w:style w:type="numbering" w:customStyle="1" w:styleId="NoList2">
    <w:name w:val="No List2"/>
    <w:next w:val="NoList"/>
    <w:uiPriority w:val="99"/>
    <w:semiHidden/>
    <w:unhideWhenUsed/>
    <w:rsid w:val="00E23953"/>
  </w:style>
  <w:style w:type="character" w:customStyle="1" w:styleId="Heading1Char">
    <w:name w:val="Heading 1 Char"/>
    <w:basedOn w:val="DefaultParagraphFont"/>
    <w:link w:val="Heading1"/>
    <w:rsid w:val="00E23953"/>
    <w:rPr>
      <w:b/>
      <w:sz w:val="28"/>
      <w:lang w:val="en-GB"/>
    </w:rPr>
  </w:style>
  <w:style w:type="character" w:customStyle="1" w:styleId="Heading2Char">
    <w:name w:val="Heading 2 Char"/>
    <w:basedOn w:val="DefaultParagraphFont"/>
    <w:link w:val="Heading2"/>
    <w:rsid w:val="00E23953"/>
    <w:rPr>
      <w:b/>
      <w:sz w:val="24"/>
      <w:szCs w:val="24"/>
      <w:lang w:val="en-GB"/>
    </w:rPr>
  </w:style>
  <w:style w:type="character" w:customStyle="1" w:styleId="Heading3Char">
    <w:name w:val="Heading 3 Char"/>
    <w:basedOn w:val="DefaultParagraphFont"/>
    <w:link w:val="Heading3"/>
    <w:rsid w:val="00E23953"/>
    <w:rPr>
      <w:b/>
      <w:lang w:val="en-GB"/>
    </w:rPr>
  </w:style>
  <w:style w:type="character" w:customStyle="1" w:styleId="Heading4Char">
    <w:name w:val="Heading 4 Char"/>
    <w:basedOn w:val="DefaultParagraphFont"/>
    <w:link w:val="Heading4"/>
    <w:rsid w:val="00E23953"/>
    <w:rPr>
      <w:b/>
      <w:lang w:val="en-GB"/>
    </w:rPr>
  </w:style>
  <w:style w:type="character" w:customStyle="1" w:styleId="Heading5Char">
    <w:name w:val="Heading 5 Char"/>
    <w:basedOn w:val="DefaultParagraphFont"/>
    <w:link w:val="Heading5"/>
    <w:rsid w:val="00E23953"/>
    <w:rPr>
      <w:rFonts w:ascii="Univers" w:hAnsi="Univers"/>
      <w:b/>
      <w:sz w:val="24"/>
      <w:lang w:val="en-GB"/>
    </w:rPr>
  </w:style>
  <w:style w:type="character" w:customStyle="1" w:styleId="Heading6Char">
    <w:name w:val="Heading 6 Char"/>
    <w:basedOn w:val="DefaultParagraphFont"/>
    <w:link w:val="Heading6"/>
    <w:rsid w:val="00E23953"/>
    <w:rPr>
      <w:b/>
      <w:bCs/>
      <w:sz w:val="24"/>
      <w:lang w:val="en-GB"/>
    </w:rPr>
  </w:style>
  <w:style w:type="character" w:customStyle="1" w:styleId="Heading7Char">
    <w:name w:val="Heading 7 Char"/>
    <w:basedOn w:val="DefaultParagraphFont"/>
    <w:link w:val="Heading7"/>
    <w:rsid w:val="00E23953"/>
    <w:rPr>
      <w:snapToGrid w:val="0"/>
      <w:u w:val="single"/>
    </w:rPr>
  </w:style>
  <w:style w:type="character" w:customStyle="1" w:styleId="Heading8Char">
    <w:name w:val="Heading 8 Char"/>
    <w:basedOn w:val="DefaultParagraphFont"/>
    <w:link w:val="Heading8"/>
    <w:rsid w:val="00E23953"/>
    <w:rPr>
      <w:snapToGrid w:val="0"/>
      <w:u w:val="single"/>
    </w:rPr>
  </w:style>
  <w:style w:type="character" w:customStyle="1" w:styleId="Heading9Char">
    <w:name w:val="Heading 9 Char"/>
    <w:basedOn w:val="DefaultParagraphFont"/>
    <w:link w:val="Heading9"/>
    <w:rsid w:val="00E23953"/>
    <w:rPr>
      <w:snapToGrid w:val="0"/>
      <w:u w:val="single"/>
    </w:rPr>
  </w:style>
  <w:style w:type="numbering" w:customStyle="1" w:styleId="NoList11">
    <w:name w:val="No List11"/>
    <w:next w:val="NoList"/>
    <w:uiPriority w:val="99"/>
    <w:semiHidden/>
    <w:unhideWhenUsed/>
    <w:rsid w:val="00E23953"/>
  </w:style>
  <w:style w:type="table" w:customStyle="1" w:styleId="Tabledocright1">
    <w:name w:val="Table_doc_right1"/>
    <w:basedOn w:val="TableNormal"/>
    <w:rsid w:val="00E23953"/>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E23953"/>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TableGrid1">
    <w:name w:val="Table Grid1"/>
    <w:basedOn w:val="TableNormal"/>
    <w:next w:val="TableGrid"/>
    <w:uiPriority w:val="59"/>
    <w:rsid w:val="00E2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1">
    <w:name w:val="AA_Table1"/>
    <w:basedOn w:val="TableNormal"/>
    <w:semiHidden/>
    <w:rsid w:val="00E23953"/>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character" w:customStyle="1" w:styleId="FooterChar1">
    <w:name w:val="Footer Char1"/>
    <w:basedOn w:val="DefaultParagraphFont"/>
    <w:uiPriority w:val="99"/>
    <w:semiHidden/>
    <w:rsid w:val="00E23953"/>
  </w:style>
  <w:style w:type="character" w:customStyle="1" w:styleId="HeaderChar">
    <w:name w:val="Header Char"/>
    <w:basedOn w:val="DefaultParagraphFont"/>
    <w:link w:val="Header"/>
    <w:semiHidden/>
    <w:rsid w:val="00E23953"/>
    <w:rPr>
      <w:b/>
      <w:sz w:val="18"/>
      <w:lang w:val="en-GB"/>
    </w:rPr>
  </w:style>
  <w:style w:type="numbering" w:customStyle="1" w:styleId="Normallist1">
    <w:name w:val="Normal_list1"/>
    <w:basedOn w:val="NoList"/>
    <w:rsid w:val="00E23953"/>
  </w:style>
  <w:style w:type="numbering" w:customStyle="1" w:styleId="NoList111">
    <w:name w:val="No List111"/>
    <w:next w:val="NoList"/>
    <w:uiPriority w:val="99"/>
    <w:semiHidden/>
    <w:unhideWhenUsed/>
    <w:rsid w:val="00E23953"/>
  </w:style>
  <w:style w:type="character" w:styleId="UnresolvedMention">
    <w:name w:val="Unresolved Mention"/>
    <w:basedOn w:val="DefaultParagraphFont"/>
    <w:uiPriority w:val="99"/>
    <w:semiHidden/>
    <w:unhideWhenUsed/>
    <w:rsid w:val="00713452"/>
    <w:rPr>
      <w:color w:val="605E5C"/>
      <w:shd w:val="clear" w:color="auto" w:fill="E1DFDD"/>
    </w:rPr>
  </w:style>
  <w:style w:type="paragraph" w:styleId="NormalWeb">
    <w:name w:val="Normal (Web)"/>
    <w:basedOn w:val="Normal"/>
    <w:uiPriority w:val="99"/>
    <w:semiHidden/>
    <w:unhideWhenUsed/>
    <w:rsid w:val="00A3360E"/>
    <w:pPr>
      <w:tabs>
        <w:tab w:val="clear" w:pos="1247"/>
        <w:tab w:val="clear" w:pos="1814"/>
        <w:tab w:val="clear" w:pos="2381"/>
        <w:tab w:val="clear" w:pos="2948"/>
        <w:tab w:val="clear" w:pos="3515"/>
      </w:tabs>
      <w:spacing w:before="100" w:beforeAutospacing="1" w:after="100" w:afterAutospacing="1"/>
    </w:pPr>
    <w:rPr>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517">
      <w:bodyDiv w:val="1"/>
      <w:marLeft w:val="0"/>
      <w:marRight w:val="0"/>
      <w:marTop w:val="0"/>
      <w:marBottom w:val="0"/>
      <w:divBdr>
        <w:top w:val="none" w:sz="0" w:space="0" w:color="auto"/>
        <w:left w:val="none" w:sz="0" w:space="0" w:color="auto"/>
        <w:bottom w:val="none" w:sz="0" w:space="0" w:color="auto"/>
        <w:right w:val="none" w:sz="0" w:space="0" w:color="auto"/>
      </w:divBdr>
    </w:div>
    <w:div w:id="40981948">
      <w:bodyDiv w:val="1"/>
      <w:marLeft w:val="0"/>
      <w:marRight w:val="0"/>
      <w:marTop w:val="0"/>
      <w:marBottom w:val="0"/>
      <w:divBdr>
        <w:top w:val="none" w:sz="0" w:space="0" w:color="auto"/>
        <w:left w:val="none" w:sz="0" w:space="0" w:color="auto"/>
        <w:bottom w:val="none" w:sz="0" w:space="0" w:color="auto"/>
        <w:right w:val="none" w:sz="0" w:space="0" w:color="auto"/>
      </w:divBdr>
    </w:div>
    <w:div w:id="171646360">
      <w:bodyDiv w:val="1"/>
      <w:marLeft w:val="0"/>
      <w:marRight w:val="0"/>
      <w:marTop w:val="0"/>
      <w:marBottom w:val="0"/>
      <w:divBdr>
        <w:top w:val="none" w:sz="0" w:space="0" w:color="auto"/>
        <w:left w:val="none" w:sz="0" w:space="0" w:color="auto"/>
        <w:bottom w:val="none" w:sz="0" w:space="0" w:color="auto"/>
        <w:right w:val="none" w:sz="0" w:space="0" w:color="auto"/>
      </w:divBdr>
    </w:div>
    <w:div w:id="171838267">
      <w:bodyDiv w:val="1"/>
      <w:marLeft w:val="0"/>
      <w:marRight w:val="0"/>
      <w:marTop w:val="0"/>
      <w:marBottom w:val="0"/>
      <w:divBdr>
        <w:top w:val="none" w:sz="0" w:space="0" w:color="auto"/>
        <w:left w:val="none" w:sz="0" w:space="0" w:color="auto"/>
        <w:bottom w:val="none" w:sz="0" w:space="0" w:color="auto"/>
        <w:right w:val="none" w:sz="0" w:space="0" w:color="auto"/>
      </w:divBdr>
    </w:div>
    <w:div w:id="174654668">
      <w:bodyDiv w:val="1"/>
      <w:marLeft w:val="0"/>
      <w:marRight w:val="0"/>
      <w:marTop w:val="0"/>
      <w:marBottom w:val="0"/>
      <w:divBdr>
        <w:top w:val="none" w:sz="0" w:space="0" w:color="auto"/>
        <w:left w:val="none" w:sz="0" w:space="0" w:color="auto"/>
        <w:bottom w:val="none" w:sz="0" w:space="0" w:color="auto"/>
        <w:right w:val="none" w:sz="0" w:space="0" w:color="auto"/>
      </w:divBdr>
    </w:div>
    <w:div w:id="212232601">
      <w:bodyDiv w:val="1"/>
      <w:marLeft w:val="0"/>
      <w:marRight w:val="0"/>
      <w:marTop w:val="0"/>
      <w:marBottom w:val="0"/>
      <w:divBdr>
        <w:top w:val="none" w:sz="0" w:space="0" w:color="auto"/>
        <w:left w:val="none" w:sz="0" w:space="0" w:color="auto"/>
        <w:bottom w:val="none" w:sz="0" w:space="0" w:color="auto"/>
        <w:right w:val="none" w:sz="0" w:space="0" w:color="auto"/>
      </w:divBdr>
    </w:div>
    <w:div w:id="262617499">
      <w:bodyDiv w:val="1"/>
      <w:marLeft w:val="0"/>
      <w:marRight w:val="0"/>
      <w:marTop w:val="0"/>
      <w:marBottom w:val="0"/>
      <w:divBdr>
        <w:top w:val="none" w:sz="0" w:space="0" w:color="auto"/>
        <w:left w:val="none" w:sz="0" w:space="0" w:color="auto"/>
        <w:bottom w:val="none" w:sz="0" w:space="0" w:color="auto"/>
        <w:right w:val="none" w:sz="0" w:space="0" w:color="auto"/>
      </w:divBdr>
    </w:div>
    <w:div w:id="273174426">
      <w:bodyDiv w:val="1"/>
      <w:marLeft w:val="0"/>
      <w:marRight w:val="0"/>
      <w:marTop w:val="0"/>
      <w:marBottom w:val="0"/>
      <w:divBdr>
        <w:top w:val="none" w:sz="0" w:space="0" w:color="auto"/>
        <w:left w:val="none" w:sz="0" w:space="0" w:color="auto"/>
        <w:bottom w:val="none" w:sz="0" w:space="0" w:color="auto"/>
        <w:right w:val="none" w:sz="0" w:space="0" w:color="auto"/>
      </w:divBdr>
      <w:divsChild>
        <w:div w:id="635918022">
          <w:marLeft w:val="0"/>
          <w:marRight w:val="0"/>
          <w:marTop w:val="0"/>
          <w:marBottom w:val="0"/>
          <w:divBdr>
            <w:top w:val="none" w:sz="0" w:space="0" w:color="auto"/>
            <w:left w:val="none" w:sz="0" w:space="0" w:color="auto"/>
            <w:bottom w:val="none" w:sz="0" w:space="0" w:color="auto"/>
            <w:right w:val="none" w:sz="0" w:space="0" w:color="auto"/>
          </w:divBdr>
          <w:divsChild>
            <w:div w:id="1726485650">
              <w:marLeft w:val="0"/>
              <w:marRight w:val="0"/>
              <w:marTop w:val="0"/>
              <w:marBottom w:val="0"/>
              <w:divBdr>
                <w:top w:val="none" w:sz="0" w:space="0" w:color="auto"/>
                <w:left w:val="none" w:sz="0" w:space="0" w:color="auto"/>
                <w:bottom w:val="none" w:sz="0" w:space="0" w:color="auto"/>
                <w:right w:val="none" w:sz="0" w:space="0" w:color="auto"/>
              </w:divBdr>
              <w:divsChild>
                <w:div w:id="12846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250">
      <w:bodyDiv w:val="1"/>
      <w:marLeft w:val="0"/>
      <w:marRight w:val="0"/>
      <w:marTop w:val="0"/>
      <w:marBottom w:val="0"/>
      <w:divBdr>
        <w:top w:val="none" w:sz="0" w:space="0" w:color="auto"/>
        <w:left w:val="none" w:sz="0" w:space="0" w:color="auto"/>
        <w:bottom w:val="none" w:sz="0" w:space="0" w:color="auto"/>
        <w:right w:val="none" w:sz="0" w:space="0" w:color="auto"/>
      </w:divBdr>
    </w:div>
    <w:div w:id="328757996">
      <w:bodyDiv w:val="1"/>
      <w:marLeft w:val="0"/>
      <w:marRight w:val="0"/>
      <w:marTop w:val="0"/>
      <w:marBottom w:val="0"/>
      <w:divBdr>
        <w:top w:val="none" w:sz="0" w:space="0" w:color="auto"/>
        <w:left w:val="none" w:sz="0" w:space="0" w:color="auto"/>
        <w:bottom w:val="none" w:sz="0" w:space="0" w:color="auto"/>
        <w:right w:val="none" w:sz="0" w:space="0" w:color="auto"/>
      </w:divBdr>
    </w:div>
    <w:div w:id="333725324">
      <w:bodyDiv w:val="1"/>
      <w:marLeft w:val="0"/>
      <w:marRight w:val="0"/>
      <w:marTop w:val="0"/>
      <w:marBottom w:val="0"/>
      <w:divBdr>
        <w:top w:val="none" w:sz="0" w:space="0" w:color="auto"/>
        <w:left w:val="none" w:sz="0" w:space="0" w:color="auto"/>
        <w:bottom w:val="none" w:sz="0" w:space="0" w:color="auto"/>
        <w:right w:val="none" w:sz="0" w:space="0" w:color="auto"/>
      </w:divBdr>
    </w:div>
    <w:div w:id="390159472">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395787760">
      <w:bodyDiv w:val="1"/>
      <w:marLeft w:val="0"/>
      <w:marRight w:val="0"/>
      <w:marTop w:val="0"/>
      <w:marBottom w:val="0"/>
      <w:divBdr>
        <w:top w:val="none" w:sz="0" w:space="0" w:color="auto"/>
        <w:left w:val="none" w:sz="0" w:space="0" w:color="auto"/>
        <w:bottom w:val="none" w:sz="0" w:space="0" w:color="auto"/>
        <w:right w:val="none" w:sz="0" w:space="0" w:color="auto"/>
      </w:divBdr>
    </w:div>
    <w:div w:id="505436739">
      <w:bodyDiv w:val="1"/>
      <w:marLeft w:val="0"/>
      <w:marRight w:val="0"/>
      <w:marTop w:val="0"/>
      <w:marBottom w:val="0"/>
      <w:divBdr>
        <w:top w:val="none" w:sz="0" w:space="0" w:color="auto"/>
        <w:left w:val="none" w:sz="0" w:space="0" w:color="auto"/>
        <w:bottom w:val="none" w:sz="0" w:space="0" w:color="auto"/>
        <w:right w:val="none" w:sz="0" w:space="0" w:color="auto"/>
      </w:divBdr>
    </w:div>
    <w:div w:id="529681894">
      <w:bodyDiv w:val="1"/>
      <w:marLeft w:val="0"/>
      <w:marRight w:val="0"/>
      <w:marTop w:val="0"/>
      <w:marBottom w:val="0"/>
      <w:divBdr>
        <w:top w:val="none" w:sz="0" w:space="0" w:color="auto"/>
        <w:left w:val="none" w:sz="0" w:space="0" w:color="auto"/>
        <w:bottom w:val="none" w:sz="0" w:space="0" w:color="auto"/>
        <w:right w:val="none" w:sz="0" w:space="0" w:color="auto"/>
      </w:divBdr>
    </w:div>
    <w:div w:id="585774767">
      <w:bodyDiv w:val="1"/>
      <w:marLeft w:val="0"/>
      <w:marRight w:val="0"/>
      <w:marTop w:val="0"/>
      <w:marBottom w:val="0"/>
      <w:divBdr>
        <w:top w:val="none" w:sz="0" w:space="0" w:color="auto"/>
        <w:left w:val="none" w:sz="0" w:space="0" w:color="auto"/>
        <w:bottom w:val="none" w:sz="0" w:space="0" w:color="auto"/>
        <w:right w:val="none" w:sz="0" w:space="0" w:color="auto"/>
      </w:divBdr>
    </w:div>
    <w:div w:id="614361271">
      <w:bodyDiv w:val="1"/>
      <w:marLeft w:val="0"/>
      <w:marRight w:val="0"/>
      <w:marTop w:val="0"/>
      <w:marBottom w:val="0"/>
      <w:divBdr>
        <w:top w:val="none" w:sz="0" w:space="0" w:color="auto"/>
        <w:left w:val="none" w:sz="0" w:space="0" w:color="auto"/>
        <w:bottom w:val="none" w:sz="0" w:space="0" w:color="auto"/>
        <w:right w:val="none" w:sz="0" w:space="0" w:color="auto"/>
      </w:divBdr>
    </w:div>
    <w:div w:id="786655460">
      <w:bodyDiv w:val="1"/>
      <w:marLeft w:val="0"/>
      <w:marRight w:val="0"/>
      <w:marTop w:val="0"/>
      <w:marBottom w:val="0"/>
      <w:divBdr>
        <w:top w:val="none" w:sz="0" w:space="0" w:color="auto"/>
        <w:left w:val="none" w:sz="0" w:space="0" w:color="auto"/>
        <w:bottom w:val="none" w:sz="0" w:space="0" w:color="auto"/>
        <w:right w:val="none" w:sz="0" w:space="0" w:color="auto"/>
      </w:divBdr>
    </w:div>
    <w:div w:id="811943248">
      <w:bodyDiv w:val="1"/>
      <w:marLeft w:val="0"/>
      <w:marRight w:val="0"/>
      <w:marTop w:val="0"/>
      <w:marBottom w:val="0"/>
      <w:divBdr>
        <w:top w:val="none" w:sz="0" w:space="0" w:color="auto"/>
        <w:left w:val="none" w:sz="0" w:space="0" w:color="auto"/>
        <w:bottom w:val="none" w:sz="0" w:space="0" w:color="auto"/>
        <w:right w:val="none" w:sz="0" w:space="0" w:color="auto"/>
      </w:divBdr>
    </w:div>
    <w:div w:id="836845315">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25909603">
      <w:bodyDiv w:val="1"/>
      <w:marLeft w:val="0"/>
      <w:marRight w:val="0"/>
      <w:marTop w:val="0"/>
      <w:marBottom w:val="0"/>
      <w:divBdr>
        <w:top w:val="none" w:sz="0" w:space="0" w:color="auto"/>
        <w:left w:val="none" w:sz="0" w:space="0" w:color="auto"/>
        <w:bottom w:val="none" w:sz="0" w:space="0" w:color="auto"/>
        <w:right w:val="none" w:sz="0" w:space="0" w:color="auto"/>
      </w:divBdr>
    </w:div>
    <w:div w:id="1030451147">
      <w:bodyDiv w:val="1"/>
      <w:marLeft w:val="0"/>
      <w:marRight w:val="0"/>
      <w:marTop w:val="0"/>
      <w:marBottom w:val="0"/>
      <w:divBdr>
        <w:top w:val="none" w:sz="0" w:space="0" w:color="auto"/>
        <w:left w:val="none" w:sz="0" w:space="0" w:color="auto"/>
        <w:bottom w:val="none" w:sz="0" w:space="0" w:color="auto"/>
        <w:right w:val="none" w:sz="0" w:space="0" w:color="auto"/>
      </w:divBdr>
    </w:div>
    <w:div w:id="1060250447">
      <w:bodyDiv w:val="1"/>
      <w:marLeft w:val="0"/>
      <w:marRight w:val="0"/>
      <w:marTop w:val="0"/>
      <w:marBottom w:val="0"/>
      <w:divBdr>
        <w:top w:val="none" w:sz="0" w:space="0" w:color="auto"/>
        <w:left w:val="none" w:sz="0" w:space="0" w:color="auto"/>
        <w:bottom w:val="none" w:sz="0" w:space="0" w:color="auto"/>
        <w:right w:val="none" w:sz="0" w:space="0" w:color="auto"/>
      </w:divBdr>
    </w:div>
    <w:div w:id="1148667822">
      <w:bodyDiv w:val="1"/>
      <w:marLeft w:val="0"/>
      <w:marRight w:val="0"/>
      <w:marTop w:val="0"/>
      <w:marBottom w:val="0"/>
      <w:divBdr>
        <w:top w:val="none" w:sz="0" w:space="0" w:color="auto"/>
        <w:left w:val="none" w:sz="0" w:space="0" w:color="auto"/>
        <w:bottom w:val="none" w:sz="0" w:space="0" w:color="auto"/>
        <w:right w:val="none" w:sz="0" w:space="0" w:color="auto"/>
      </w:divBdr>
    </w:div>
    <w:div w:id="1164011351">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2393980">
      <w:bodyDiv w:val="1"/>
      <w:marLeft w:val="0"/>
      <w:marRight w:val="0"/>
      <w:marTop w:val="0"/>
      <w:marBottom w:val="0"/>
      <w:divBdr>
        <w:top w:val="none" w:sz="0" w:space="0" w:color="auto"/>
        <w:left w:val="none" w:sz="0" w:space="0" w:color="auto"/>
        <w:bottom w:val="none" w:sz="0" w:space="0" w:color="auto"/>
        <w:right w:val="none" w:sz="0" w:space="0" w:color="auto"/>
      </w:divBdr>
    </w:div>
    <w:div w:id="1272124462">
      <w:bodyDiv w:val="1"/>
      <w:marLeft w:val="0"/>
      <w:marRight w:val="0"/>
      <w:marTop w:val="0"/>
      <w:marBottom w:val="0"/>
      <w:divBdr>
        <w:top w:val="none" w:sz="0" w:space="0" w:color="auto"/>
        <w:left w:val="none" w:sz="0" w:space="0" w:color="auto"/>
        <w:bottom w:val="none" w:sz="0" w:space="0" w:color="auto"/>
        <w:right w:val="none" w:sz="0" w:space="0" w:color="auto"/>
      </w:divBdr>
    </w:div>
    <w:div w:id="1277635689">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71107949">
      <w:bodyDiv w:val="1"/>
      <w:marLeft w:val="0"/>
      <w:marRight w:val="0"/>
      <w:marTop w:val="0"/>
      <w:marBottom w:val="0"/>
      <w:divBdr>
        <w:top w:val="none" w:sz="0" w:space="0" w:color="auto"/>
        <w:left w:val="none" w:sz="0" w:space="0" w:color="auto"/>
        <w:bottom w:val="none" w:sz="0" w:space="0" w:color="auto"/>
        <w:right w:val="none" w:sz="0" w:space="0" w:color="auto"/>
      </w:divBdr>
    </w:div>
    <w:div w:id="1375420578">
      <w:bodyDiv w:val="1"/>
      <w:marLeft w:val="0"/>
      <w:marRight w:val="0"/>
      <w:marTop w:val="0"/>
      <w:marBottom w:val="0"/>
      <w:divBdr>
        <w:top w:val="none" w:sz="0" w:space="0" w:color="auto"/>
        <w:left w:val="none" w:sz="0" w:space="0" w:color="auto"/>
        <w:bottom w:val="none" w:sz="0" w:space="0" w:color="auto"/>
        <w:right w:val="none" w:sz="0" w:space="0" w:color="auto"/>
      </w:divBdr>
    </w:div>
    <w:div w:id="1427263912">
      <w:bodyDiv w:val="1"/>
      <w:marLeft w:val="0"/>
      <w:marRight w:val="0"/>
      <w:marTop w:val="0"/>
      <w:marBottom w:val="0"/>
      <w:divBdr>
        <w:top w:val="none" w:sz="0" w:space="0" w:color="auto"/>
        <w:left w:val="none" w:sz="0" w:space="0" w:color="auto"/>
        <w:bottom w:val="none" w:sz="0" w:space="0" w:color="auto"/>
        <w:right w:val="none" w:sz="0" w:space="0" w:color="auto"/>
      </w:divBdr>
    </w:div>
    <w:div w:id="1465073865">
      <w:bodyDiv w:val="1"/>
      <w:marLeft w:val="0"/>
      <w:marRight w:val="0"/>
      <w:marTop w:val="0"/>
      <w:marBottom w:val="0"/>
      <w:divBdr>
        <w:top w:val="none" w:sz="0" w:space="0" w:color="auto"/>
        <w:left w:val="none" w:sz="0" w:space="0" w:color="auto"/>
        <w:bottom w:val="none" w:sz="0" w:space="0" w:color="auto"/>
        <w:right w:val="none" w:sz="0" w:space="0" w:color="auto"/>
      </w:divBdr>
      <w:divsChild>
        <w:div w:id="331033215">
          <w:marLeft w:val="0"/>
          <w:marRight w:val="0"/>
          <w:marTop w:val="0"/>
          <w:marBottom w:val="0"/>
          <w:divBdr>
            <w:top w:val="none" w:sz="0" w:space="0" w:color="auto"/>
            <w:left w:val="none" w:sz="0" w:space="0" w:color="auto"/>
            <w:bottom w:val="none" w:sz="0" w:space="0" w:color="auto"/>
            <w:right w:val="none" w:sz="0" w:space="0" w:color="auto"/>
          </w:divBdr>
          <w:divsChild>
            <w:div w:id="1805074854">
              <w:marLeft w:val="0"/>
              <w:marRight w:val="0"/>
              <w:marTop w:val="0"/>
              <w:marBottom w:val="0"/>
              <w:divBdr>
                <w:top w:val="none" w:sz="0" w:space="0" w:color="auto"/>
                <w:left w:val="none" w:sz="0" w:space="0" w:color="auto"/>
                <w:bottom w:val="none" w:sz="0" w:space="0" w:color="auto"/>
                <w:right w:val="none" w:sz="0" w:space="0" w:color="auto"/>
              </w:divBdr>
              <w:divsChild>
                <w:div w:id="108993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863">
      <w:bodyDiv w:val="1"/>
      <w:marLeft w:val="0"/>
      <w:marRight w:val="0"/>
      <w:marTop w:val="0"/>
      <w:marBottom w:val="0"/>
      <w:divBdr>
        <w:top w:val="none" w:sz="0" w:space="0" w:color="auto"/>
        <w:left w:val="none" w:sz="0" w:space="0" w:color="auto"/>
        <w:bottom w:val="none" w:sz="0" w:space="0" w:color="auto"/>
        <w:right w:val="none" w:sz="0" w:space="0" w:color="auto"/>
      </w:divBdr>
      <w:divsChild>
        <w:div w:id="149710831">
          <w:marLeft w:val="0"/>
          <w:marRight w:val="0"/>
          <w:marTop w:val="0"/>
          <w:marBottom w:val="0"/>
          <w:divBdr>
            <w:top w:val="none" w:sz="0" w:space="0" w:color="auto"/>
            <w:left w:val="none" w:sz="0" w:space="0" w:color="auto"/>
            <w:bottom w:val="none" w:sz="0" w:space="0" w:color="auto"/>
            <w:right w:val="none" w:sz="0" w:space="0" w:color="auto"/>
          </w:divBdr>
          <w:divsChild>
            <w:div w:id="2092921137">
              <w:marLeft w:val="0"/>
              <w:marRight w:val="0"/>
              <w:marTop w:val="0"/>
              <w:marBottom w:val="0"/>
              <w:divBdr>
                <w:top w:val="none" w:sz="0" w:space="0" w:color="auto"/>
                <w:left w:val="none" w:sz="0" w:space="0" w:color="auto"/>
                <w:bottom w:val="none" w:sz="0" w:space="0" w:color="auto"/>
                <w:right w:val="none" w:sz="0" w:space="0" w:color="auto"/>
              </w:divBdr>
              <w:divsChild>
                <w:div w:id="3790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93813">
      <w:bodyDiv w:val="1"/>
      <w:marLeft w:val="0"/>
      <w:marRight w:val="0"/>
      <w:marTop w:val="0"/>
      <w:marBottom w:val="0"/>
      <w:divBdr>
        <w:top w:val="none" w:sz="0" w:space="0" w:color="auto"/>
        <w:left w:val="none" w:sz="0" w:space="0" w:color="auto"/>
        <w:bottom w:val="none" w:sz="0" w:space="0" w:color="auto"/>
        <w:right w:val="none" w:sz="0" w:space="0" w:color="auto"/>
      </w:divBdr>
    </w:div>
    <w:div w:id="1544825979">
      <w:bodyDiv w:val="1"/>
      <w:marLeft w:val="0"/>
      <w:marRight w:val="0"/>
      <w:marTop w:val="0"/>
      <w:marBottom w:val="0"/>
      <w:divBdr>
        <w:top w:val="none" w:sz="0" w:space="0" w:color="auto"/>
        <w:left w:val="none" w:sz="0" w:space="0" w:color="auto"/>
        <w:bottom w:val="none" w:sz="0" w:space="0" w:color="auto"/>
        <w:right w:val="none" w:sz="0" w:space="0" w:color="auto"/>
      </w:divBdr>
    </w:div>
    <w:div w:id="1562524421">
      <w:bodyDiv w:val="1"/>
      <w:marLeft w:val="0"/>
      <w:marRight w:val="0"/>
      <w:marTop w:val="0"/>
      <w:marBottom w:val="0"/>
      <w:divBdr>
        <w:top w:val="none" w:sz="0" w:space="0" w:color="auto"/>
        <w:left w:val="none" w:sz="0" w:space="0" w:color="auto"/>
        <w:bottom w:val="none" w:sz="0" w:space="0" w:color="auto"/>
        <w:right w:val="none" w:sz="0" w:space="0" w:color="auto"/>
      </w:divBdr>
    </w:div>
    <w:div w:id="1588079036">
      <w:bodyDiv w:val="1"/>
      <w:marLeft w:val="0"/>
      <w:marRight w:val="0"/>
      <w:marTop w:val="0"/>
      <w:marBottom w:val="0"/>
      <w:divBdr>
        <w:top w:val="none" w:sz="0" w:space="0" w:color="auto"/>
        <w:left w:val="none" w:sz="0" w:space="0" w:color="auto"/>
        <w:bottom w:val="none" w:sz="0" w:space="0" w:color="auto"/>
        <w:right w:val="none" w:sz="0" w:space="0" w:color="auto"/>
      </w:divBdr>
    </w:div>
    <w:div w:id="1612930986">
      <w:bodyDiv w:val="1"/>
      <w:marLeft w:val="0"/>
      <w:marRight w:val="0"/>
      <w:marTop w:val="0"/>
      <w:marBottom w:val="0"/>
      <w:divBdr>
        <w:top w:val="none" w:sz="0" w:space="0" w:color="auto"/>
        <w:left w:val="none" w:sz="0" w:space="0" w:color="auto"/>
        <w:bottom w:val="none" w:sz="0" w:space="0" w:color="auto"/>
        <w:right w:val="none" w:sz="0" w:space="0" w:color="auto"/>
      </w:divBdr>
    </w:div>
    <w:div w:id="1750888657">
      <w:bodyDiv w:val="1"/>
      <w:marLeft w:val="0"/>
      <w:marRight w:val="0"/>
      <w:marTop w:val="0"/>
      <w:marBottom w:val="0"/>
      <w:divBdr>
        <w:top w:val="none" w:sz="0" w:space="0" w:color="auto"/>
        <w:left w:val="none" w:sz="0" w:space="0" w:color="auto"/>
        <w:bottom w:val="none" w:sz="0" w:space="0" w:color="auto"/>
        <w:right w:val="none" w:sz="0" w:space="0" w:color="auto"/>
      </w:divBdr>
    </w:div>
    <w:div w:id="1787888077">
      <w:bodyDiv w:val="1"/>
      <w:marLeft w:val="0"/>
      <w:marRight w:val="0"/>
      <w:marTop w:val="0"/>
      <w:marBottom w:val="0"/>
      <w:divBdr>
        <w:top w:val="none" w:sz="0" w:space="0" w:color="auto"/>
        <w:left w:val="none" w:sz="0" w:space="0" w:color="auto"/>
        <w:bottom w:val="none" w:sz="0" w:space="0" w:color="auto"/>
        <w:right w:val="none" w:sz="0" w:space="0" w:color="auto"/>
      </w:divBdr>
    </w:div>
    <w:div w:id="1832943539">
      <w:bodyDiv w:val="1"/>
      <w:marLeft w:val="0"/>
      <w:marRight w:val="0"/>
      <w:marTop w:val="0"/>
      <w:marBottom w:val="0"/>
      <w:divBdr>
        <w:top w:val="none" w:sz="0" w:space="0" w:color="auto"/>
        <w:left w:val="none" w:sz="0" w:space="0" w:color="auto"/>
        <w:bottom w:val="none" w:sz="0" w:space="0" w:color="auto"/>
        <w:right w:val="none" w:sz="0" w:space="0" w:color="auto"/>
      </w:divBdr>
    </w:div>
    <w:div w:id="1874145322">
      <w:bodyDiv w:val="1"/>
      <w:marLeft w:val="0"/>
      <w:marRight w:val="0"/>
      <w:marTop w:val="0"/>
      <w:marBottom w:val="0"/>
      <w:divBdr>
        <w:top w:val="none" w:sz="0" w:space="0" w:color="auto"/>
        <w:left w:val="none" w:sz="0" w:space="0" w:color="auto"/>
        <w:bottom w:val="none" w:sz="0" w:space="0" w:color="auto"/>
        <w:right w:val="none" w:sz="0" w:space="0" w:color="auto"/>
      </w:divBdr>
    </w:div>
    <w:div w:id="2023621878">
      <w:bodyDiv w:val="1"/>
      <w:marLeft w:val="0"/>
      <w:marRight w:val="0"/>
      <w:marTop w:val="0"/>
      <w:marBottom w:val="0"/>
      <w:divBdr>
        <w:top w:val="none" w:sz="0" w:space="0" w:color="auto"/>
        <w:left w:val="none" w:sz="0" w:space="0" w:color="auto"/>
        <w:bottom w:val="none" w:sz="0" w:space="0" w:color="auto"/>
        <w:right w:val="none" w:sz="0" w:space="0" w:color="auto"/>
      </w:divBdr>
    </w:div>
    <w:div w:id="2063746368">
      <w:bodyDiv w:val="1"/>
      <w:marLeft w:val="0"/>
      <w:marRight w:val="0"/>
      <w:marTop w:val="0"/>
      <w:marBottom w:val="0"/>
      <w:divBdr>
        <w:top w:val="none" w:sz="0" w:space="0" w:color="auto"/>
        <w:left w:val="none" w:sz="0" w:space="0" w:color="auto"/>
        <w:bottom w:val="none" w:sz="0" w:space="0" w:color="auto"/>
        <w:right w:val="none" w:sz="0" w:space="0" w:color="auto"/>
      </w:divBdr>
    </w:div>
    <w:div w:id="21039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basel.int/tabid/8333/Default.aspx" TargetMode="External"/><Relationship Id="rId3" Type="http://schemas.openxmlformats.org/officeDocument/2006/relationships/hyperlink" Target="https://www.unenvironment.org/cobsea/events/workshop/training-trainers-monitoring-and-assessment-marine-plastic-litter-and-microplastics" TargetMode="External"/><Relationship Id="rId7" Type="http://schemas.openxmlformats.org/officeDocument/2006/relationships/hyperlink" Target="http://www.basel.int/tabid/7992/Default.aspx" TargetMode="External"/><Relationship Id="rId12" Type="http://schemas.openxmlformats.org/officeDocument/2006/relationships/hyperlink" Target="http://www.basel.int/tabid/8096/Default.aspx" TargetMode="External"/><Relationship Id="rId2" Type="http://schemas.openxmlformats.org/officeDocument/2006/relationships/hyperlink" Target="https://papersmart.unon.org/resolution/uploads/3_aheg_inf_7_-_marine_litter-_guidelines_for_designing_regional_action_plans_summary.pdf" TargetMode="External"/><Relationship Id="rId1" Type="http://schemas.openxmlformats.org/officeDocument/2006/relationships/hyperlink" Target="https://www.gpmarinelitter.org/who-we-are/regional-nodes" TargetMode="External"/><Relationship Id="rId6" Type="http://schemas.openxmlformats.org/officeDocument/2006/relationships/hyperlink" Target="http://www.basel.int/tabid/8426/Default.aspx" TargetMode="External"/><Relationship Id="rId11" Type="http://schemas.openxmlformats.org/officeDocument/2006/relationships/hyperlink" Target="http://www.basel.int/tabid/8402/Default.aspx" TargetMode="External"/><Relationship Id="rId5" Type="http://schemas.openxmlformats.org/officeDocument/2006/relationships/hyperlink" Target="https://www.oneplanetnetwork.org/sites/default/files/unep_ci_2020_can_i_recycle_this.pdf" TargetMode="External"/><Relationship Id="rId10" Type="http://schemas.openxmlformats.org/officeDocument/2006/relationships/hyperlink" Target="http://www.basel.int/tabid/8341/Default.aspx" TargetMode="External"/><Relationship Id="rId4" Type="http://schemas.openxmlformats.org/officeDocument/2006/relationships/hyperlink" Target="https://www.gpmarinelitter.org/what-we-do/gpml-digital-platform" TargetMode="External"/><Relationship Id="rId9" Type="http://schemas.openxmlformats.org/officeDocument/2006/relationships/hyperlink" Target="http://www.basel.int/tabid/8340/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49DCCFF06D044688251B3E010FA2BB" ma:contentTypeVersion="11" ma:contentTypeDescription="Create a new document." ma:contentTypeScope="" ma:versionID="b6f641573d54f8d8378caecf1fa365de">
  <xsd:schema xmlns:xsd="http://www.w3.org/2001/XMLSchema" xmlns:xs="http://www.w3.org/2001/XMLSchema" xmlns:p="http://schemas.microsoft.com/office/2006/metadata/properties" xmlns:ns2="786100a8-bbaa-48b6-aa10-6d2082f346b4" xmlns:ns3="25a4600d-fc45-4aed-ad1e-9b44b590e5cc" targetNamespace="http://schemas.microsoft.com/office/2006/metadata/properties" ma:root="true" ma:fieldsID="889ed279879ba929ffe081c12af4a8a5" ns2:_="" ns3:_="">
    <xsd:import namespace="786100a8-bbaa-48b6-aa10-6d2082f346b4"/>
    <xsd:import namespace="25a4600d-fc45-4aed-ad1e-9b44b590e5c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6100a8-bbaa-48b6-aa10-6d2082f3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4600d-fc45-4aed-ad1e-9b44b590e5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1483-E708-4C2A-8D07-DCDADBD8994B}">
  <ds:schemaRefs>
    <ds:schemaRef ds:uri="http://schemas.microsoft.com/sharepoint/v3/contenttype/forms"/>
  </ds:schemaRefs>
</ds:datastoreItem>
</file>

<file path=customXml/itemProps2.xml><?xml version="1.0" encoding="utf-8"?>
<ds:datastoreItem xmlns:ds="http://schemas.openxmlformats.org/officeDocument/2006/customXml" ds:itemID="{A9484484-F3E7-4709-BF00-5FF929C65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6100a8-bbaa-48b6-aa10-6d2082f346b4"/>
    <ds:schemaRef ds:uri="25a4600d-fc45-4aed-ad1e-9b44b590e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08C0EC-7008-43F9-8978-94AE4AD0428D}">
  <ds:schemaRefs>
    <ds:schemaRef ds:uri="25a4600d-fc45-4aed-ad1e-9b44b590e5cc"/>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786100a8-bbaa-48b6-aa10-6d2082f346b4"/>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3E9D089-86F5-4E59-AC87-05A5DE9B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6265</Words>
  <Characters>35714</Characters>
  <Application>Microsoft Office Word</Application>
  <DocSecurity>0</DocSecurity>
  <Lines>297</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Information on reports and updates by the Technology and Economic Assessment Panel</vt:lpstr>
      <vt:lpstr>Information on reports and updates by the Technology and Economic Assessment Panel</vt:lpstr>
    </vt:vector>
  </TitlesOfParts>
  <Company>unon</Company>
  <LinksUpToDate>false</LinksUpToDate>
  <CharactersWithSpaces>41896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reports and updates by the Technology and Economic Assessment Panel</dc:title>
  <dc:subject/>
  <dc:creator>Veronica Gathu</dc:creator>
  <cp:keywords/>
  <cp:lastModifiedBy>Herimalala Raveloarinjato</cp:lastModifiedBy>
  <cp:revision>2</cp:revision>
  <cp:lastPrinted>2020-12-23T10:19:00Z</cp:lastPrinted>
  <dcterms:created xsi:type="dcterms:W3CDTF">2021-01-08T10:24:00Z</dcterms:created>
  <dcterms:modified xsi:type="dcterms:W3CDTF">2021-01-08T10:24:00Z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0x0101001C49DCCFF06D044688251B3E010FA2BB</vt:lpwstr>
  </property>
</Properties>
</file>