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5295"/>
        <w:gridCol w:w="3108"/>
      </w:tblGrid>
      <w:tr w:rsidR="00455F0E" w14:paraId="0E9F84D5" w14:textId="77777777" w:rsidTr="00B251E1">
        <w:trPr>
          <w:cantSplit/>
          <w:jc w:val="center"/>
        </w:trPr>
        <w:tc>
          <w:tcPr>
            <w:tcW w:w="6533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14:paraId="720A43F2" w14:textId="77777777" w:rsidR="00455F0E" w:rsidRPr="000C79D8" w:rsidRDefault="00455F0E">
            <w:pPr>
              <w:rPr>
                <w:rFonts w:ascii="Arial" w:eastAsia="Times New Roman" w:hAnsi="Arial" w:cs="Arial"/>
                <w:b/>
                <w:sz w:val="27"/>
                <w:szCs w:val="27"/>
                <w:lang w:val="ru-RU"/>
              </w:rPr>
            </w:pPr>
            <w:r w:rsidRPr="000C79D8">
              <w:rPr>
                <w:rFonts w:ascii="Arial" w:hAnsi="Arial" w:cs="Arial"/>
                <w:b/>
                <w:sz w:val="27"/>
                <w:szCs w:val="27"/>
                <w:lang w:val="ru-RU"/>
              </w:rPr>
              <w:t>ОРГАНИЗАЦИЯ</w:t>
            </w:r>
          </w:p>
          <w:p w14:paraId="0EDD937A" w14:textId="77777777" w:rsidR="00455F0E" w:rsidRPr="000C79D8" w:rsidRDefault="00455F0E">
            <w:pPr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  <w:r w:rsidRPr="000C79D8">
              <w:rPr>
                <w:rFonts w:ascii="Arial" w:hAnsi="Arial" w:cs="Arial"/>
                <w:b/>
                <w:sz w:val="27"/>
                <w:szCs w:val="27"/>
                <w:lang w:val="ru-RU"/>
              </w:rPr>
              <w:t>ОБЪЕДИНЕННЫХ</w:t>
            </w:r>
          </w:p>
          <w:p w14:paraId="656F6CD6" w14:textId="77777777" w:rsidR="00455F0E" w:rsidRDefault="00455F0E">
            <w:pPr>
              <w:rPr>
                <w:b/>
                <w:sz w:val="32"/>
                <w:szCs w:val="32"/>
              </w:rPr>
            </w:pPr>
            <w:r w:rsidRPr="000C79D8">
              <w:rPr>
                <w:rFonts w:ascii="Arial" w:hAnsi="Arial" w:cs="Arial"/>
                <w:b/>
                <w:sz w:val="27"/>
                <w:szCs w:val="27"/>
                <w:lang w:val="ru-RU"/>
              </w:rPr>
              <w:t>НАЦИЙ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14:paraId="7EAF2C73" w14:textId="77777777" w:rsidR="00455F0E" w:rsidRDefault="00455F0E">
            <w:pPr>
              <w:spacing w:after="120"/>
              <w:jc w:val="right"/>
              <w:rPr>
                <w:rFonts w:ascii="Arial" w:hAnsi="Arial" w:cs="Arial"/>
                <w:b/>
                <w:sz w:val="64"/>
                <w:szCs w:val="64"/>
                <w:lang w:val="en-US"/>
              </w:rPr>
            </w:pPr>
            <w:r>
              <w:rPr>
                <w:rFonts w:ascii="Arial" w:hAnsi="Arial" w:cs="Arial"/>
                <w:b/>
                <w:sz w:val="64"/>
                <w:szCs w:val="64"/>
                <w:lang w:val="en-US"/>
              </w:rPr>
              <w:t>EP</w:t>
            </w:r>
          </w:p>
          <w:p w14:paraId="21492866" w14:textId="344CF996" w:rsidR="00455F0E" w:rsidRPr="002F2BCF" w:rsidRDefault="00455F0E">
            <w:pPr>
              <w:rPr>
                <w:b/>
                <w:sz w:val="22"/>
                <w:szCs w:val="20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UNEP</w:t>
            </w:r>
            <w:r>
              <w:rPr>
                <w:lang w:val="en-US"/>
              </w:rPr>
              <w:t>/EA.</w:t>
            </w:r>
            <w:r w:rsidR="003908C6">
              <w:rPr>
                <w:lang w:val="en-US"/>
              </w:rPr>
              <w:t>5</w:t>
            </w:r>
            <w:r>
              <w:rPr>
                <w:lang w:val="en-US"/>
              </w:rPr>
              <w:t>/</w:t>
            </w:r>
            <w:r w:rsidR="002F2BCF">
              <w:rPr>
                <w:lang w:val="uk-UA"/>
              </w:rPr>
              <w:t>8</w:t>
            </w:r>
          </w:p>
        </w:tc>
      </w:tr>
      <w:tr w:rsidR="00455F0E" w14:paraId="7E929D76" w14:textId="77777777" w:rsidTr="00B251E1">
        <w:trPr>
          <w:cantSplit/>
          <w:trHeight w:val="20"/>
          <w:jc w:val="center"/>
        </w:trPr>
        <w:tc>
          <w:tcPr>
            <w:tcW w:w="1241" w:type="dxa"/>
            <w:tcBorders>
              <w:top w:val="single" w:sz="2" w:space="0" w:color="auto"/>
            </w:tcBorders>
          </w:tcPr>
          <w:p w14:paraId="18B7A690" w14:textId="77777777" w:rsidR="00455F0E" w:rsidRDefault="00455F0E">
            <w:pPr>
              <w:rPr>
                <w:sz w:val="16"/>
                <w:lang w:val="en-US"/>
              </w:rPr>
            </w:pPr>
          </w:p>
        </w:tc>
        <w:tc>
          <w:tcPr>
            <w:tcW w:w="5292" w:type="dxa"/>
            <w:tcBorders>
              <w:top w:val="single" w:sz="2" w:space="0" w:color="auto"/>
            </w:tcBorders>
          </w:tcPr>
          <w:p w14:paraId="587DAB37" w14:textId="77777777" w:rsidR="00455F0E" w:rsidRDefault="00455F0E">
            <w:pPr>
              <w:rPr>
                <w:sz w:val="16"/>
                <w:lang w:val="en-US"/>
              </w:rPr>
            </w:pPr>
          </w:p>
        </w:tc>
        <w:tc>
          <w:tcPr>
            <w:tcW w:w="3106" w:type="dxa"/>
            <w:vMerge w:val="restart"/>
            <w:tcBorders>
              <w:top w:val="single" w:sz="2" w:space="0" w:color="auto"/>
              <w:left w:val="nil"/>
              <w:bottom w:val="single" w:sz="24" w:space="0" w:color="auto"/>
              <w:right w:val="nil"/>
            </w:tcBorders>
          </w:tcPr>
          <w:p w14:paraId="681E5311" w14:textId="77777777" w:rsidR="00455F0E" w:rsidRDefault="00455F0E">
            <w:pPr>
              <w:rPr>
                <w:lang w:val="en-US"/>
              </w:rPr>
            </w:pPr>
          </w:p>
          <w:p w14:paraId="6E659734" w14:textId="64530732" w:rsidR="00455F0E" w:rsidRDefault="00455F0E">
            <w:pPr>
              <w:rPr>
                <w:lang w:val="en-US"/>
              </w:rPr>
            </w:pPr>
            <w:r>
              <w:rPr>
                <w:lang w:val="en-US"/>
              </w:rPr>
              <w:t xml:space="preserve">Distr.: </w:t>
            </w:r>
            <w:r w:rsidR="00222F56">
              <w:rPr>
                <w:lang w:val="en-US"/>
              </w:rPr>
              <w:t>General</w:t>
            </w:r>
          </w:p>
          <w:p w14:paraId="4A669289" w14:textId="394F936D" w:rsidR="00455F0E" w:rsidRDefault="00E52F3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455F0E">
              <w:rPr>
                <w:lang w:val="en-US"/>
              </w:rPr>
              <w:t xml:space="preserve"> </w:t>
            </w:r>
            <w:r>
              <w:rPr>
                <w:lang w:val="en-US"/>
              </w:rPr>
              <w:t>Decem</w:t>
            </w:r>
            <w:r w:rsidR="003908C6">
              <w:rPr>
                <w:lang w:val="en-US"/>
              </w:rPr>
              <w:t>ber</w:t>
            </w:r>
            <w:r w:rsidR="00455F0E">
              <w:rPr>
                <w:lang w:val="en-US"/>
              </w:rPr>
              <w:t xml:space="preserve"> 20</w:t>
            </w:r>
            <w:r w:rsidR="003908C6">
              <w:rPr>
                <w:lang w:val="en-US"/>
              </w:rPr>
              <w:t>20</w:t>
            </w:r>
          </w:p>
          <w:p w14:paraId="5C107A4B" w14:textId="77777777" w:rsidR="00455F0E" w:rsidRDefault="00455F0E">
            <w:pPr>
              <w:rPr>
                <w:lang w:val="en-US"/>
              </w:rPr>
            </w:pPr>
          </w:p>
          <w:p w14:paraId="7F3077FE" w14:textId="77777777" w:rsidR="00455F0E" w:rsidRDefault="00455F0E">
            <w:pPr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17848EF" w14:textId="77777777" w:rsidR="00455F0E" w:rsidRDefault="00455F0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  <w:tr w:rsidR="00455F0E" w:rsidRPr="00E0168F" w14:paraId="395D44DF" w14:textId="77777777" w:rsidTr="00455F0E">
        <w:trPr>
          <w:cantSplit/>
          <w:jc w:val="center"/>
        </w:trPr>
        <w:tc>
          <w:tcPr>
            <w:tcW w:w="1241" w:type="dxa"/>
            <w:hideMark/>
          </w:tcPr>
          <w:p w14:paraId="59AFB140" w14:textId="77777777" w:rsidR="00455F0E" w:rsidRDefault="00455F0E">
            <w:pPr>
              <w:rPr>
                <w:sz w:val="16"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CC349E1" wp14:editId="5AF5FB27">
                  <wp:extent cx="650240" cy="554990"/>
                  <wp:effectExtent l="0" t="0" r="0" b="0"/>
                  <wp:docPr id="1" name="Picture 1" descr="Description: 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2" w:type="dxa"/>
            <w:vMerge w:val="restart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442FD385" w14:textId="77777777" w:rsidR="00455F0E" w:rsidRDefault="00455F0E">
            <w:pPr>
              <w:rPr>
                <w:rFonts w:ascii="Arial" w:hAnsi="Arial" w:cs="Arial"/>
                <w:b/>
                <w:sz w:val="22"/>
                <w:lang w:val="en-US"/>
              </w:rPr>
            </w:pPr>
          </w:p>
          <w:p w14:paraId="79D26509" w14:textId="77777777" w:rsidR="00455F0E" w:rsidRDefault="00455F0E">
            <w:pPr>
              <w:rPr>
                <w:rFonts w:ascii="Arial" w:hAnsi="Arial" w:cs="Arial"/>
                <w:b/>
                <w:lang w:val="en-US"/>
              </w:rPr>
            </w:pPr>
          </w:p>
          <w:p w14:paraId="177B14AA" w14:textId="77777777" w:rsidR="00455F0E" w:rsidRDefault="00455F0E">
            <w:pPr>
              <w:rPr>
                <w:rFonts w:ascii="Arial" w:hAnsi="Arial" w:cs="Arial"/>
                <w:b/>
                <w:lang w:val="en-US"/>
              </w:rPr>
            </w:pPr>
          </w:p>
          <w:p w14:paraId="67D4841D" w14:textId="77777777" w:rsidR="00455F0E" w:rsidRDefault="00455F0E">
            <w:pPr>
              <w:rPr>
                <w:rFonts w:ascii="Arial" w:hAnsi="Arial" w:cs="Arial"/>
                <w:b/>
                <w:lang w:val="en-US"/>
              </w:rPr>
            </w:pPr>
          </w:p>
          <w:p w14:paraId="5EDD3BE1" w14:textId="77777777" w:rsidR="00455F0E" w:rsidRDefault="00455F0E" w:rsidP="00B251E1">
            <w:pPr>
              <w:spacing w:after="120"/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  <w:r w:rsidRPr="00455F0E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Ассамблея Организации Объединенных Наций по окружающей среде Программы Организации Объединенных </w:t>
            </w:r>
            <w:r w:rsidRPr="00455F0E">
              <w:rPr>
                <w:rFonts w:ascii="Arial" w:hAnsi="Arial" w:cs="Arial"/>
                <w:b/>
                <w:sz w:val="28"/>
                <w:szCs w:val="28"/>
                <w:lang w:val="ru-RU"/>
              </w:rPr>
              <w:br/>
              <w:t>Наций по окружающей среде</w:t>
            </w:r>
          </w:p>
        </w:tc>
        <w:tc>
          <w:tcPr>
            <w:tcW w:w="3106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684EFD6E" w14:textId="77777777" w:rsidR="00455F0E" w:rsidRPr="00455F0E" w:rsidRDefault="00455F0E">
            <w:pPr>
              <w:rPr>
                <w:sz w:val="22"/>
                <w:lang w:val="ru-RU"/>
              </w:rPr>
            </w:pPr>
          </w:p>
        </w:tc>
      </w:tr>
      <w:tr w:rsidR="00455F0E" w:rsidRPr="00E0168F" w14:paraId="0ABD3407" w14:textId="77777777" w:rsidTr="00455F0E">
        <w:trPr>
          <w:cantSplit/>
          <w:trHeight w:val="20"/>
          <w:jc w:val="center"/>
        </w:trPr>
        <w:tc>
          <w:tcPr>
            <w:tcW w:w="1241" w:type="dxa"/>
          </w:tcPr>
          <w:p w14:paraId="4A27E5AB" w14:textId="77777777" w:rsidR="00455F0E" w:rsidRPr="00455F0E" w:rsidRDefault="00455F0E">
            <w:pPr>
              <w:rPr>
                <w:sz w:val="16"/>
                <w:szCs w:val="20"/>
                <w:lang w:val="ru-RU"/>
              </w:rPr>
            </w:pPr>
          </w:p>
        </w:tc>
        <w:tc>
          <w:tcPr>
            <w:tcW w:w="5292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77A2B5F9" w14:textId="77777777" w:rsidR="00455F0E" w:rsidRDefault="00455F0E">
            <w:pPr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</w:p>
        </w:tc>
        <w:tc>
          <w:tcPr>
            <w:tcW w:w="3106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382BFE07" w14:textId="77777777" w:rsidR="00455F0E" w:rsidRPr="00455F0E" w:rsidRDefault="00455F0E">
            <w:pPr>
              <w:rPr>
                <w:sz w:val="22"/>
                <w:lang w:val="ru-RU"/>
              </w:rPr>
            </w:pPr>
          </w:p>
        </w:tc>
      </w:tr>
      <w:bookmarkStart w:id="0" w:name="_MON_992911701"/>
      <w:bookmarkEnd w:id="0"/>
      <w:tr w:rsidR="00455F0E" w14:paraId="12F6C859" w14:textId="77777777" w:rsidTr="00455F0E">
        <w:trPr>
          <w:cantSplit/>
          <w:trHeight w:val="962"/>
          <w:jc w:val="center"/>
        </w:trPr>
        <w:tc>
          <w:tcPr>
            <w:tcW w:w="1241" w:type="dxa"/>
            <w:tcBorders>
              <w:top w:val="nil"/>
              <w:left w:val="nil"/>
              <w:bottom w:val="single" w:sz="24" w:space="0" w:color="auto"/>
              <w:right w:val="nil"/>
            </w:tcBorders>
            <w:hideMark/>
          </w:tcPr>
          <w:p w14:paraId="1781B016" w14:textId="77777777" w:rsidR="00455F0E" w:rsidRDefault="00455F0E">
            <w:pPr>
              <w:rPr>
                <w:sz w:val="22"/>
                <w:lang w:val="en-US"/>
              </w:rPr>
            </w:pPr>
            <w:r>
              <w:rPr>
                <w:rFonts w:eastAsia="Times New Roman"/>
                <w:sz w:val="22"/>
                <w:szCs w:val="20"/>
                <w:lang w:val="ru-RU"/>
              </w:rPr>
              <w:object w:dxaOrig="1020" w:dyaOrig="900" w14:anchorId="29B0ECC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45pt;height:45.45pt" o:ole="" fillcolor="window">
                  <v:imagedata r:id="rId12" o:title="" cropbottom="13140f"/>
                </v:shape>
                <o:OLEObject Type="Embed" ProgID="Word.Picture.8" ShapeID="_x0000_i1025" DrawAspect="Content" ObjectID="_1671521317" r:id="rId13"/>
              </w:object>
            </w:r>
          </w:p>
        </w:tc>
        <w:tc>
          <w:tcPr>
            <w:tcW w:w="5292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654CF0AA" w14:textId="77777777" w:rsidR="00455F0E" w:rsidRDefault="00455F0E">
            <w:pPr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</w:p>
        </w:tc>
        <w:tc>
          <w:tcPr>
            <w:tcW w:w="3106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53B99E32" w14:textId="77777777" w:rsidR="00455F0E" w:rsidRDefault="00455F0E">
            <w:pPr>
              <w:rPr>
                <w:sz w:val="22"/>
                <w:lang w:val="en-US"/>
              </w:rPr>
            </w:pPr>
          </w:p>
        </w:tc>
      </w:tr>
    </w:tbl>
    <w:p w14:paraId="2070AC31" w14:textId="77777777" w:rsidR="00455F0E" w:rsidRDefault="00455F0E" w:rsidP="00455F0E">
      <w:pPr>
        <w:rPr>
          <w:b/>
          <w:szCs w:val="20"/>
          <w:lang w:val="ru-RU"/>
        </w:rPr>
      </w:pPr>
      <w:r w:rsidRPr="00455F0E">
        <w:rPr>
          <w:b/>
          <w:lang w:val="ru-RU"/>
        </w:rPr>
        <w:t>Ассамблея</w:t>
      </w:r>
      <w:r>
        <w:rPr>
          <w:b/>
          <w:lang w:val="ru-RU"/>
        </w:rPr>
        <w:t xml:space="preserve"> Организации Объединенных Наций</w:t>
      </w:r>
      <w:r w:rsidRPr="00455F0E">
        <w:rPr>
          <w:b/>
          <w:lang w:val="ru-RU"/>
        </w:rPr>
        <w:br/>
        <w:t>по окружаю</w:t>
      </w:r>
      <w:r>
        <w:rPr>
          <w:b/>
          <w:lang w:val="ru-RU"/>
        </w:rPr>
        <w:t>щей среде Программы Организации</w:t>
      </w:r>
      <w:r w:rsidRPr="00455F0E">
        <w:rPr>
          <w:b/>
          <w:lang w:val="ru-RU"/>
        </w:rPr>
        <w:br/>
        <w:t>Объединенных Наций по окружающей среде</w:t>
      </w:r>
    </w:p>
    <w:p w14:paraId="1D8A8D93" w14:textId="14E398BF" w:rsidR="00455F0E" w:rsidRPr="00455F0E" w:rsidRDefault="003908C6" w:rsidP="00455F0E">
      <w:pPr>
        <w:rPr>
          <w:b/>
          <w:lang w:val="ru-RU"/>
        </w:rPr>
      </w:pPr>
      <w:r>
        <w:rPr>
          <w:b/>
          <w:lang w:val="ru-RU"/>
        </w:rPr>
        <w:t>Пятая</w:t>
      </w:r>
      <w:r w:rsidR="00455F0E" w:rsidRPr="00455F0E">
        <w:rPr>
          <w:b/>
          <w:lang w:val="ru-RU"/>
        </w:rPr>
        <w:t xml:space="preserve"> сессия</w:t>
      </w:r>
    </w:p>
    <w:p w14:paraId="79DF3C7B" w14:textId="77777777" w:rsidR="00EB439B" w:rsidRDefault="00EB439B" w:rsidP="00EB439B">
      <w:pPr>
        <w:rPr>
          <w:lang w:val="ru-RU"/>
        </w:rPr>
      </w:pPr>
      <w:r>
        <w:rPr>
          <w:lang w:val="ru-RU"/>
        </w:rPr>
        <w:t>Найроби</w:t>
      </w:r>
      <w:r w:rsidRPr="005F468C">
        <w:rPr>
          <w:lang w:val="ru-RU"/>
        </w:rPr>
        <w:t xml:space="preserve"> </w:t>
      </w:r>
      <w:r>
        <w:rPr>
          <w:lang w:val="ru-RU"/>
        </w:rPr>
        <w:t>(в онлайн-режиме)</w:t>
      </w:r>
      <w:r w:rsidRPr="00455F0E">
        <w:rPr>
          <w:lang w:val="ru-RU"/>
        </w:rPr>
        <w:t xml:space="preserve">, </w:t>
      </w:r>
      <w:r>
        <w:rPr>
          <w:lang w:val="ru-RU"/>
        </w:rPr>
        <w:t>22</w:t>
      </w:r>
      <w:r w:rsidRPr="00455F0E">
        <w:rPr>
          <w:lang w:val="ru-RU"/>
        </w:rPr>
        <w:t>-</w:t>
      </w:r>
      <w:r>
        <w:rPr>
          <w:lang w:val="ru-RU"/>
        </w:rPr>
        <w:t>26</w:t>
      </w:r>
      <w:r w:rsidRPr="00455F0E">
        <w:rPr>
          <w:lang w:val="ru-RU"/>
        </w:rPr>
        <w:t xml:space="preserve"> </w:t>
      </w:r>
      <w:r>
        <w:rPr>
          <w:lang w:val="ru-RU"/>
        </w:rPr>
        <w:t>февраля</w:t>
      </w:r>
      <w:r w:rsidRPr="00455F0E">
        <w:rPr>
          <w:lang w:val="ru-RU"/>
        </w:rPr>
        <w:t xml:space="preserve"> 20</w:t>
      </w:r>
      <w:r>
        <w:rPr>
          <w:lang w:val="ru-RU"/>
        </w:rPr>
        <w:t>21</w:t>
      </w:r>
      <w:r w:rsidRPr="00455F0E">
        <w:rPr>
          <w:lang w:val="ru-RU"/>
        </w:rPr>
        <w:t xml:space="preserve"> года</w:t>
      </w:r>
      <w:r w:rsidRPr="007123EC">
        <w:rPr>
          <w:rStyle w:val="FootnoteReference"/>
          <w:vertAlign w:val="baseline"/>
          <w:lang w:val="ru-RU"/>
        </w:rPr>
        <w:footnoteReference w:customMarkFollows="1" w:id="1"/>
        <w:t>*</w:t>
      </w:r>
    </w:p>
    <w:p w14:paraId="04203352" w14:textId="77777777" w:rsidR="00EB439B" w:rsidRDefault="00EB439B" w:rsidP="00EB439B">
      <w:pPr>
        <w:spacing w:after="60"/>
        <w:rPr>
          <w:lang w:val="ru-RU"/>
        </w:rPr>
      </w:pPr>
      <w:r>
        <w:rPr>
          <w:lang w:val="ru-RU"/>
        </w:rPr>
        <w:t xml:space="preserve">Пункт </w:t>
      </w:r>
      <w:r w:rsidRPr="002C7A02">
        <w:rPr>
          <w:lang w:val="ru-RU"/>
        </w:rPr>
        <w:t>5</w:t>
      </w:r>
      <w:r>
        <w:rPr>
          <w:lang w:val="ru-RU"/>
        </w:rPr>
        <w:t xml:space="preserve"> предварительной повестки дня</w:t>
      </w:r>
      <w:r w:rsidRPr="007123EC">
        <w:rPr>
          <w:rStyle w:val="FootnoteReference"/>
          <w:vertAlign w:val="baseline"/>
          <w:lang w:val="ru-RU"/>
        </w:rPr>
        <w:footnoteReference w:customMarkFollows="1" w:id="2"/>
        <w:t>**</w:t>
      </w:r>
    </w:p>
    <w:p w14:paraId="47ADF955" w14:textId="23D0F0E1" w:rsidR="007F405D" w:rsidRPr="006615BC" w:rsidRDefault="007F405D" w:rsidP="007F405D">
      <w:pPr>
        <w:spacing w:after="120"/>
        <w:ind w:right="1701"/>
        <w:rPr>
          <w:b/>
          <w:lang w:val="ru-RU"/>
        </w:rPr>
      </w:pPr>
      <w:r w:rsidRPr="006615BC">
        <w:rPr>
          <w:b/>
          <w:lang w:val="ru-RU"/>
        </w:rPr>
        <w:t>Вопросы международной природоохранной политики и экологического регулирования</w:t>
      </w:r>
    </w:p>
    <w:p w14:paraId="74DFF25C" w14:textId="77777777" w:rsidR="0051558D" w:rsidRPr="0051558D" w:rsidRDefault="0051558D" w:rsidP="000637F0">
      <w:pPr>
        <w:spacing w:before="320" w:after="240"/>
        <w:ind w:left="1247" w:right="567"/>
        <w:rPr>
          <w:rFonts w:eastAsia="Times New Roman"/>
          <w:b/>
          <w:bCs/>
          <w:sz w:val="28"/>
          <w:szCs w:val="28"/>
          <w:lang w:val="ru-RU"/>
        </w:rPr>
      </w:pPr>
      <w:r w:rsidRPr="0051558D">
        <w:rPr>
          <w:rFonts w:eastAsia="Times New Roman"/>
          <w:b/>
          <w:bCs/>
          <w:sz w:val="28"/>
          <w:szCs w:val="28"/>
          <w:lang w:val="ru-RU"/>
        </w:rPr>
        <w:t>Ход осуществления резолюции 4/6 «Морской пластиковый мусор и микрочастицы пластмасс»</w:t>
      </w:r>
    </w:p>
    <w:p w14:paraId="4E61AB88" w14:textId="70CE6A30" w:rsidR="0051558D" w:rsidRPr="0051558D" w:rsidRDefault="0051558D" w:rsidP="0051558D">
      <w:pPr>
        <w:spacing w:after="120"/>
        <w:ind w:left="1247"/>
        <w:rPr>
          <w:rFonts w:eastAsia="Times New Roman"/>
          <w:b/>
          <w:bCs/>
          <w:sz w:val="24"/>
          <w:szCs w:val="24"/>
          <w:lang w:val="ru-RU"/>
        </w:rPr>
      </w:pPr>
      <w:r w:rsidRPr="0051558D">
        <w:rPr>
          <w:rFonts w:eastAsia="Times New Roman"/>
          <w:b/>
          <w:bCs/>
          <w:sz w:val="24"/>
          <w:szCs w:val="24"/>
          <w:lang w:val="ru-RU"/>
        </w:rPr>
        <w:tab/>
        <w:t>Доклад Директора-исполнителя</w:t>
      </w:r>
    </w:p>
    <w:p w14:paraId="13FE60D8" w14:textId="39CC9BAA" w:rsidR="0051558D" w:rsidRPr="0051558D" w:rsidRDefault="0051558D" w:rsidP="0051558D">
      <w:pPr>
        <w:spacing w:after="120"/>
        <w:ind w:left="1247"/>
        <w:rPr>
          <w:rFonts w:eastAsia="Times New Roman"/>
          <w:b/>
          <w:bCs/>
          <w:sz w:val="28"/>
          <w:szCs w:val="28"/>
          <w:lang w:val="ru-RU"/>
        </w:rPr>
      </w:pPr>
      <w:r w:rsidRPr="0051558D">
        <w:rPr>
          <w:rFonts w:eastAsia="Times New Roman"/>
          <w:b/>
          <w:bCs/>
          <w:sz w:val="28"/>
          <w:szCs w:val="28"/>
          <w:lang w:val="ru-RU"/>
        </w:rPr>
        <w:tab/>
        <w:t>Введение</w:t>
      </w:r>
    </w:p>
    <w:p w14:paraId="20D5E92E" w14:textId="3954B570" w:rsidR="0051558D" w:rsidRPr="0051558D" w:rsidRDefault="000637F0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C5233A">
        <w:rPr>
          <w:rFonts w:eastAsia="Times New Roman"/>
          <w:szCs w:val="20"/>
          <w:lang w:val="ru-RU"/>
        </w:rPr>
        <w:t>1.</w:t>
      </w:r>
      <w:r w:rsidRPr="00C5233A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В пункте 9 своей резолюции 4/6 о морском пластиковом мусоре и микрочастицах пластмасс Ассамблея Организации Объединенных Наций по окружающей среде Программы Организации Объединенных Наций по окружающей среде (ЮНЕП) поручила Директору</w:t>
      </w:r>
      <w:r>
        <w:rPr>
          <w:rFonts w:eastAsia="Times New Roman"/>
          <w:szCs w:val="20"/>
          <w:lang w:val="ru-RU"/>
        </w:rPr>
        <w:noBreakHyphen/>
      </w:r>
      <w:r w:rsidR="0051558D" w:rsidRPr="0051558D">
        <w:rPr>
          <w:rFonts w:eastAsia="Times New Roman"/>
          <w:szCs w:val="20"/>
          <w:lang w:val="ru-RU"/>
        </w:rPr>
        <w:t>исполнителю ЮНЕП представить Ассамблее по окружающей среде на ее пятой сессии доклад о ходе осуществления этой резолюции. Настоящий доклад подготовлен в ответ на эту просьбу.</w:t>
      </w:r>
    </w:p>
    <w:p w14:paraId="495F51B7" w14:textId="10DAFE96" w:rsidR="0051558D" w:rsidRPr="0051558D" w:rsidRDefault="000637F0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C5233A">
        <w:rPr>
          <w:rFonts w:eastAsia="Times New Roman"/>
          <w:szCs w:val="20"/>
          <w:lang w:val="ru-RU"/>
        </w:rPr>
        <w:t>2.</w:t>
      </w:r>
      <w:r w:rsidRPr="00C5233A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Резолюция 4/6 основана на трех предыдущих резолюциях Ассамблеи по окружающей среде, касающихся морского мусора и микрочастиц пластмасс (резолюции 1/6, 2/11 и 3/7). </w:t>
      </w:r>
    </w:p>
    <w:p w14:paraId="68CEC8AC" w14:textId="131794B2" w:rsidR="0051558D" w:rsidRPr="0051558D" w:rsidRDefault="00C629FC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C5233A">
        <w:rPr>
          <w:rFonts w:eastAsia="Times New Roman"/>
          <w:szCs w:val="20"/>
          <w:lang w:val="ru-RU"/>
        </w:rPr>
        <w:t>3.</w:t>
      </w:r>
      <w:r w:rsidRPr="00C5233A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В соответствии с пунктом 2 резолюции 4/6 Ассамблея по окружающей среде поручила Директору-исполнителю ЮНЕП, при условии наличия ресурсов и на основе результатов работы существующих механизмов, незамедлительно укрепить научно-технические знания в отношении морского мусора, включая пластиковый мусор и микрочастицы пластмасс, посредством следующих мероприятий:</w:t>
      </w:r>
    </w:p>
    <w:p w14:paraId="5FF55D9A" w14:textId="279DF739" w:rsidR="0051558D" w:rsidRPr="0051558D" w:rsidRDefault="00C629FC" w:rsidP="00C629FC">
      <w:pPr>
        <w:spacing w:after="120"/>
        <w:ind w:left="1247" w:firstLine="624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t>a</w:t>
      </w:r>
      <w:r w:rsidRPr="00D30E85">
        <w:rPr>
          <w:rFonts w:eastAsia="Times New Roman"/>
          <w:szCs w:val="20"/>
          <w:lang w:val="ru-RU"/>
        </w:rPr>
        <w:t>)</w:t>
      </w:r>
      <w:r w:rsidRPr="00D30E85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реализация существующих соответствующих научно-консультативных инициатив с участием, по мере целесообразности, государств-членов для внесения вклада в мероприятия, предусмотренные в пунктах 3 и 7 резолюции; </w:t>
      </w:r>
    </w:p>
    <w:p w14:paraId="6314C518" w14:textId="05D0DB5F" w:rsidR="0051558D" w:rsidRPr="0051558D" w:rsidRDefault="00C629FC" w:rsidP="00C629FC">
      <w:pPr>
        <w:spacing w:after="120"/>
        <w:ind w:left="1247" w:firstLine="624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lastRenderedPageBreak/>
        <w:t>b</w:t>
      </w:r>
      <w:r w:rsidRPr="00C5233A">
        <w:rPr>
          <w:rFonts w:eastAsia="Times New Roman"/>
          <w:szCs w:val="20"/>
          <w:lang w:val="ru-RU"/>
        </w:rPr>
        <w:t>)</w:t>
      </w:r>
      <w:r w:rsidRPr="00C5233A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сбор имеющихся научных и других соответствующих данных и информации для подготовки оценки источников, путей поступления и опасности мусора, включая загрязнение пластиковым мусором и микрочастицами пластмасс и их присутствие в реках и океанах; научных знаний об отрицательном воздействии на экосистемы и потенциальном отрицательном воздействии на здоровье человека; об экологически безопасных технологических инновациях; </w:t>
      </w:r>
    </w:p>
    <w:p w14:paraId="2EDA15FE" w14:textId="7BD0804F" w:rsidR="0051558D" w:rsidRPr="0051558D" w:rsidRDefault="003066FF" w:rsidP="00C629FC">
      <w:pPr>
        <w:spacing w:after="120"/>
        <w:ind w:left="1247" w:firstLine="624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t>c</w:t>
      </w:r>
      <w:r w:rsidRPr="00D30E85">
        <w:rPr>
          <w:rFonts w:eastAsia="Times New Roman"/>
          <w:szCs w:val="20"/>
          <w:lang w:val="ru-RU"/>
        </w:rPr>
        <w:t>)</w:t>
      </w:r>
      <w:r w:rsidRPr="00D30E85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выработка рекомендаций в отношении показателей для согласования методологий мониторинга, представления сведений и оценки с учетом ключевых источников морского мусора, включая пластиковый мусор и микрочастицы пластмасс; </w:t>
      </w:r>
    </w:p>
    <w:p w14:paraId="7F8A76CE" w14:textId="03FB10F3" w:rsidR="0051558D" w:rsidRPr="0051558D" w:rsidRDefault="003066FF" w:rsidP="00C629FC">
      <w:pPr>
        <w:spacing w:after="120"/>
        <w:ind w:left="1247" w:firstLine="624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t>d</w:t>
      </w:r>
      <w:r w:rsidRPr="00C5233A">
        <w:rPr>
          <w:rFonts w:eastAsia="Times New Roman"/>
          <w:szCs w:val="20"/>
          <w:lang w:val="ru-RU"/>
        </w:rPr>
        <w:t>)</w:t>
      </w:r>
      <w:r w:rsidRPr="00C5233A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получение информации в целях обоснования политики и действий в отношении экологически безопасных технологических инноваций, вариантов и мер по уменьшению риска сброса мусора, включая пластиковый мусор и микрочастицы пластмасс, в морскую среду.</w:t>
      </w:r>
    </w:p>
    <w:p w14:paraId="7DFCAC40" w14:textId="25CD15DF" w:rsidR="0051558D" w:rsidRPr="0051558D" w:rsidRDefault="003066FF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C5233A">
        <w:rPr>
          <w:rFonts w:eastAsia="Times New Roman"/>
          <w:szCs w:val="20"/>
          <w:lang w:val="ru-RU"/>
        </w:rPr>
        <w:t>4.</w:t>
      </w:r>
      <w:r w:rsidRPr="00C5233A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В пункте 3 резолюции Ассамблея по окружающей среде постановила создать платформу многостороннего партнерства в рамках ЮНЕП для принятия незамедлительных мер по устранению в долгосрочной перспективе на основе подхода, предусматривающего учет жизненного цикла, сброса мусора и микрочастиц пластмасс в океаны. Различные возможные функции платформы включают: </w:t>
      </w:r>
    </w:p>
    <w:p w14:paraId="61691759" w14:textId="6615321F" w:rsidR="0051558D" w:rsidRPr="0051558D" w:rsidRDefault="003066FF" w:rsidP="003066FF">
      <w:pPr>
        <w:spacing w:after="120"/>
        <w:ind w:left="1247" w:firstLine="624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t>a</w:t>
      </w:r>
      <w:r w:rsidRPr="00D30E85">
        <w:rPr>
          <w:rFonts w:eastAsia="Times New Roman"/>
          <w:szCs w:val="20"/>
          <w:lang w:val="ru-RU"/>
        </w:rPr>
        <w:t>)</w:t>
      </w:r>
      <w:r w:rsidRPr="00D30E85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выполнение функций форума, позволяющего осуществлять обмен опытом и координацию действий на регулярной или специальной основе; </w:t>
      </w:r>
    </w:p>
    <w:p w14:paraId="17B1942A" w14:textId="427A3A23" w:rsidR="0051558D" w:rsidRPr="0051558D" w:rsidRDefault="003066FF" w:rsidP="003066FF">
      <w:pPr>
        <w:spacing w:after="120"/>
        <w:ind w:left="1247" w:firstLine="624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t>b</w:t>
      </w:r>
      <w:r w:rsidRPr="00D30E85">
        <w:rPr>
          <w:rFonts w:eastAsia="Times New Roman"/>
          <w:szCs w:val="20"/>
          <w:lang w:val="ru-RU"/>
        </w:rPr>
        <w:t>)</w:t>
      </w:r>
      <w:r w:rsidRPr="00D30E85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выполнение функций хранилища информации для проведения оценок, концептуальных и практических методических материалов и текущих планов действий, методов регулирования и руководящих положений; </w:t>
      </w:r>
    </w:p>
    <w:p w14:paraId="128DD924" w14:textId="1B10A137" w:rsidR="0051558D" w:rsidRPr="0051558D" w:rsidRDefault="003066FF" w:rsidP="003066FF">
      <w:pPr>
        <w:spacing w:after="120"/>
        <w:ind w:left="1247" w:firstLine="624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t>c</w:t>
      </w:r>
      <w:r w:rsidRPr="00D30E85">
        <w:rPr>
          <w:rFonts w:eastAsia="Times New Roman"/>
          <w:szCs w:val="20"/>
          <w:lang w:val="ru-RU"/>
        </w:rPr>
        <w:t>)</w:t>
      </w:r>
      <w:r w:rsidRPr="00D30E85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повышение глобальной осведомленности по этому вопросу среди широкого круга адресатов, включая правительства, лиц, ответственны</w:t>
      </w:r>
      <w:r w:rsidR="008F1318">
        <w:rPr>
          <w:rFonts w:eastAsia="Times New Roman"/>
          <w:szCs w:val="20"/>
          <w:lang w:val="ru-RU"/>
        </w:rPr>
        <w:t>х</w:t>
      </w:r>
      <w:r w:rsidR="0051558D" w:rsidRPr="0051558D">
        <w:rPr>
          <w:rFonts w:eastAsia="Times New Roman"/>
          <w:szCs w:val="20"/>
          <w:lang w:val="ru-RU"/>
        </w:rPr>
        <w:t xml:space="preserve"> за разработку политики, распорядителей ресурсов, работников сферы просвещения, организации частного сектора и общественность;</w:t>
      </w:r>
    </w:p>
    <w:p w14:paraId="66CFF14C" w14:textId="296D5FB8" w:rsidR="0051558D" w:rsidRPr="0051558D" w:rsidRDefault="003066FF" w:rsidP="003066FF">
      <w:pPr>
        <w:spacing w:after="120"/>
        <w:ind w:left="1247" w:firstLine="624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t>d</w:t>
      </w:r>
      <w:r w:rsidRPr="00D30E85">
        <w:rPr>
          <w:rFonts w:eastAsia="Times New Roman"/>
          <w:szCs w:val="20"/>
          <w:lang w:val="ru-RU"/>
        </w:rPr>
        <w:t>)</w:t>
      </w:r>
      <w:r w:rsidRPr="00D30E85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создание и ведение базы данных технической и научной информации, связанной с морским мусором; </w:t>
      </w:r>
    </w:p>
    <w:p w14:paraId="5268EBCA" w14:textId="46C17E5A" w:rsidR="0051558D" w:rsidRPr="0051558D" w:rsidRDefault="003066FF" w:rsidP="003066FF">
      <w:pPr>
        <w:spacing w:after="120"/>
        <w:ind w:left="1247" w:firstLine="624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t>e</w:t>
      </w:r>
      <w:r w:rsidRPr="00D30E85">
        <w:rPr>
          <w:rFonts w:eastAsia="Times New Roman"/>
          <w:szCs w:val="20"/>
          <w:lang w:val="ru-RU"/>
        </w:rPr>
        <w:t>)</w:t>
      </w:r>
      <w:r w:rsidRPr="00D30E85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популяризация сотрудничества между соответствующими научными механизмами для содействия доступу к научным данным и информации; </w:t>
      </w:r>
    </w:p>
    <w:p w14:paraId="1E2A95E7" w14:textId="3C75AADE" w:rsidR="0051558D" w:rsidRPr="0051558D" w:rsidRDefault="003066FF" w:rsidP="003066FF">
      <w:pPr>
        <w:spacing w:after="120"/>
        <w:ind w:left="1247" w:firstLine="624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t>f</w:t>
      </w:r>
      <w:r w:rsidRPr="00C5233A">
        <w:rPr>
          <w:rFonts w:eastAsia="Times New Roman"/>
          <w:szCs w:val="20"/>
          <w:lang w:val="ru-RU"/>
        </w:rPr>
        <w:t>)</w:t>
      </w:r>
      <w:r w:rsidRPr="00C5233A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популяризация действий в рамках конвенций и программ по региональным морям, направленных на решение проблемы морского мусора посредством планов действий, протоколов, партнерств и других мероприятий. </w:t>
      </w:r>
    </w:p>
    <w:p w14:paraId="62C57983" w14:textId="79EF958C" w:rsidR="0051558D" w:rsidRPr="0051558D" w:rsidRDefault="003066FF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C5233A">
        <w:rPr>
          <w:rFonts w:eastAsia="Times New Roman"/>
          <w:szCs w:val="20"/>
          <w:lang w:val="ru-RU"/>
        </w:rPr>
        <w:t>5.</w:t>
      </w:r>
      <w:r w:rsidRPr="00C5233A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В пункте 5 резолюции Ассамблея по окружающей среде поручила Директору</w:t>
      </w:r>
      <w:r>
        <w:rPr>
          <w:rFonts w:eastAsia="Times New Roman"/>
          <w:szCs w:val="20"/>
          <w:lang w:val="ru-RU"/>
        </w:rPr>
        <w:noBreakHyphen/>
      </w:r>
      <w:r w:rsidR="0051558D" w:rsidRPr="0051558D">
        <w:rPr>
          <w:rFonts w:eastAsia="Times New Roman"/>
          <w:szCs w:val="20"/>
          <w:lang w:val="ru-RU"/>
        </w:rPr>
        <w:t>исполнителю в рамках Десятилетней стратегии действий по переходу к использованию рациональных моделей потребления и производства разработать руководящие принципы использования и производства пластмасс в целях информирования потребителей, в том числе о стандартах и маркировке; стимулировать хозяйствующи</w:t>
      </w:r>
      <w:r w:rsidR="00116102">
        <w:rPr>
          <w:rFonts w:eastAsia="Times New Roman"/>
          <w:szCs w:val="20"/>
          <w:lang w:val="ru-RU"/>
        </w:rPr>
        <w:t>х</w:t>
      </w:r>
      <w:r w:rsidR="0051558D" w:rsidRPr="0051558D">
        <w:rPr>
          <w:rFonts w:eastAsia="Times New Roman"/>
          <w:szCs w:val="20"/>
          <w:lang w:val="ru-RU"/>
        </w:rPr>
        <w:t xml:space="preserve"> субъект</w:t>
      </w:r>
      <w:r w:rsidR="00116102">
        <w:rPr>
          <w:rFonts w:eastAsia="Times New Roman"/>
          <w:szCs w:val="20"/>
          <w:lang w:val="ru-RU"/>
        </w:rPr>
        <w:t>ов</w:t>
      </w:r>
      <w:r w:rsidR="0051558D" w:rsidRPr="0051558D">
        <w:rPr>
          <w:rFonts w:eastAsia="Times New Roman"/>
          <w:szCs w:val="20"/>
          <w:lang w:val="ru-RU"/>
        </w:rPr>
        <w:t xml:space="preserve"> и предприятия розничной торговли к принятию обязательства использовать экологичные методы и продукцию; оказывать поддержку правительствам в популяризации использования информационных инструментов и стимулов для содействия рациональному потреблению и производству.</w:t>
      </w:r>
    </w:p>
    <w:p w14:paraId="4CD37214" w14:textId="52737F3E" w:rsidR="0051558D" w:rsidRPr="0051558D" w:rsidRDefault="003066FF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C5233A">
        <w:rPr>
          <w:rFonts w:eastAsia="Times New Roman"/>
          <w:szCs w:val="20"/>
          <w:lang w:val="ru-RU"/>
        </w:rPr>
        <w:t>6.</w:t>
      </w:r>
      <w:r w:rsidRPr="00C5233A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В пункте 7 этой резолюции Ассамблея по окружающей среде продлила мандат специальной группы </w:t>
      </w:r>
      <w:r w:rsidR="00802875">
        <w:rPr>
          <w:rFonts w:eastAsia="Times New Roman"/>
          <w:szCs w:val="20"/>
          <w:lang w:val="ru-RU"/>
        </w:rPr>
        <w:t xml:space="preserve">экспертов </w:t>
      </w:r>
      <w:r w:rsidR="0051558D" w:rsidRPr="0051558D">
        <w:rPr>
          <w:rFonts w:eastAsia="Times New Roman"/>
          <w:szCs w:val="20"/>
          <w:lang w:val="ru-RU"/>
        </w:rPr>
        <w:t xml:space="preserve">открытого состава по </w:t>
      </w:r>
      <w:r w:rsidR="00802875">
        <w:rPr>
          <w:rFonts w:eastAsia="Times New Roman"/>
          <w:szCs w:val="20"/>
          <w:lang w:val="ru-RU"/>
        </w:rPr>
        <w:t xml:space="preserve">проблеме </w:t>
      </w:r>
      <w:r w:rsidR="0051558D" w:rsidRPr="0051558D">
        <w:rPr>
          <w:rFonts w:eastAsia="Times New Roman"/>
          <w:szCs w:val="20"/>
          <w:lang w:val="ru-RU"/>
        </w:rPr>
        <w:t>мусор</w:t>
      </w:r>
      <w:r w:rsidR="00802875">
        <w:rPr>
          <w:rFonts w:eastAsia="Times New Roman"/>
          <w:szCs w:val="20"/>
          <w:lang w:val="ru-RU"/>
        </w:rPr>
        <w:t>а</w:t>
      </w:r>
      <w:r w:rsidR="0051558D" w:rsidRPr="0051558D">
        <w:rPr>
          <w:rFonts w:eastAsia="Times New Roman"/>
          <w:szCs w:val="20"/>
          <w:lang w:val="ru-RU"/>
        </w:rPr>
        <w:t xml:space="preserve"> и микрочастиц пластмасс</w:t>
      </w:r>
      <w:r w:rsidR="00802875">
        <w:rPr>
          <w:rFonts w:eastAsia="Times New Roman"/>
          <w:szCs w:val="20"/>
          <w:lang w:val="ru-RU"/>
        </w:rPr>
        <w:t xml:space="preserve"> в морской среде</w:t>
      </w:r>
      <w:r w:rsidR="0051558D" w:rsidRPr="0051558D">
        <w:rPr>
          <w:rFonts w:eastAsia="Times New Roman"/>
          <w:szCs w:val="20"/>
          <w:lang w:val="ru-RU"/>
        </w:rPr>
        <w:t>, учрежденной в соответствии с ее резолюцией 3/7, и поручила группе</w:t>
      </w:r>
      <w:r w:rsidR="00E23F4C">
        <w:rPr>
          <w:rFonts w:eastAsia="Times New Roman"/>
          <w:szCs w:val="20"/>
          <w:lang w:val="ru-RU"/>
        </w:rPr>
        <w:t xml:space="preserve"> экспертов</w:t>
      </w:r>
      <w:r w:rsidR="0051558D" w:rsidRPr="0051558D">
        <w:rPr>
          <w:rFonts w:eastAsia="Times New Roman"/>
          <w:szCs w:val="20"/>
          <w:lang w:val="ru-RU"/>
        </w:rPr>
        <w:t xml:space="preserve">, опираясь на результаты ее предыдущей работы: </w:t>
      </w:r>
    </w:p>
    <w:p w14:paraId="66CC3AC9" w14:textId="7D8AF0FB" w:rsidR="0051558D" w:rsidRPr="0051558D" w:rsidRDefault="000102B6" w:rsidP="000102B6">
      <w:pPr>
        <w:spacing w:after="120"/>
        <w:ind w:left="1247" w:firstLine="624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t>a</w:t>
      </w:r>
      <w:r w:rsidRPr="00D30E85">
        <w:rPr>
          <w:rFonts w:eastAsia="Times New Roman"/>
          <w:szCs w:val="20"/>
          <w:lang w:val="ru-RU"/>
        </w:rPr>
        <w:t>)</w:t>
      </w:r>
      <w:r w:rsidRPr="00D30E85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рассмотреть текущую деятельность и мероприятия всех субъектов по сокращению объема пласт</w:t>
      </w:r>
      <w:r w:rsidR="00E26502">
        <w:rPr>
          <w:rFonts w:eastAsia="Times New Roman"/>
          <w:szCs w:val="20"/>
          <w:lang w:val="ru-RU"/>
        </w:rPr>
        <w:t xml:space="preserve">икового </w:t>
      </w:r>
      <w:r w:rsidR="0051558D" w:rsidRPr="0051558D">
        <w:rPr>
          <w:rFonts w:eastAsia="Times New Roman"/>
          <w:szCs w:val="20"/>
          <w:lang w:val="ru-RU"/>
        </w:rPr>
        <w:t>мусора и микрочастиц пластмасс</w:t>
      </w:r>
      <w:r w:rsidR="00E26502">
        <w:rPr>
          <w:rFonts w:eastAsia="Times New Roman"/>
          <w:szCs w:val="20"/>
          <w:lang w:val="ru-RU"/>
        </w:rPr>
        <w:t xml:space="preserve"> в морской среде</w:t>
      </w:r>
      <w:r w:rsidR="0051558D" w:rsidRPr="0051558D">
        <w:rPr>
          <w:rFonts w:eastAsia="Times New Roman"/>
          <w:szCs w:val="20"/>
          <w:lang w:val="ru-RU"/>
        </w:rPr>
        <w:t>;</w:t>
      </w:r>
    </w:p>
    <w:p w14:paraId="43F822D6" w14:textId="564BC3B8" w:rsidR="0051558D" w:rsidRPr="0051558D" w:rsidRDefault="000102B6" w:rsidP="000102B6">
      <w:pPr>
        <w:spacing w:after="120"/>
        <w:ind w:left="1247" w:firstLine="624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t>b</w:t>
      </w:r>
      <w:r w:rsidRPr="00D30E85">
        <w:rPr>
          <w:rFonts w:eastAsia="Times New Roman"/>
          <w:szCs w:val="20"/>
          <w:lang w:val="ru-RU"/>
        </w:rPr>
        <w:t>)</w:t>
      </w:r>
      <w:r w:rsidRPr="00D30E85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выявить технические и финансовые ресурсы и механизмы для оказания поддержки странам в решении проблемы пластикового мусора и микрочастиц пластмасс</w:t>
      </w:r>
      <w:r w:rsidR="00E26502">
        <w:rPr>
          <w:rFonts w:eastAsia="Times New Roman"/>
          <w:szCs w:val="20"/>
          <w:lang w:val="ru-RU"/>
        </w:rPr>
        <w:t xml:space="preserve"> в морской среде</w:t>
      </w:r>
      <w:r w:rsidR="0051558D" w:rsidRPr="0051558D">
        <w:rPr>
          <w:rFonts w:eastAsia="Times New Roman"/>
          <w:szCs w:val="20"/>
          <w:lang w:val="ru-RU"/>
        </w:rPr>
        <w:t>;</w:t>
      </w:r>
    </w:p>
    <w:p w14:paraId="215D4236" w14:textId="5F0B3307" w:rsidR="0051558D" w:rsidRPr="0051558D" w:rsidRDefault="000102B6" w:rsidP="000102B6">
      <w:pPr>
        <w:spacing w:after="120"/>
        <w:ind w:left="1247" w:firstLine="624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t>c</w:t>
      </w:r>
      <w:r w:rsidRPr="00D30E85">
        <w:rPr>
          <w:rFonts w:eastAsia="Times New Roman"/>
          <w:szCs w:val="20"/>
          <w:lang w:val="ru-RU"/>
        </w:rPr>
        <w:t>)</w:t>
      </w:r>
      <w:r w:rsidRPr="00D30E85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содействовать партнерствам, которые осуществляют такую деятельность, как составление кадастров источников, улучшение регулирования отходов, повышение осведомленности и популяризаци</w:t>
      </w:r>
      <w:r w:rsidR="00210E67">
        <w:rPr>
          <w:rFonts w:eastAsia="Times New Roman"/>
          <w:szCs w:val="20"/>
          <w:lang w:val="ru-RU"/>
        </w:rPr>
        <w:t>я</w:t>
      </w:r>
      <w:r w:rsidR="0051558D" w:rsidRPr="0051558D">
        <w:rPr>
          <w:rFonts w:eastAsia="Times New Roman"/>
          <w:szCs w:val="20"/>
          <w:lang w:val="ru-RU"/>
        </w:rPr>
        <w:t xml:space="preserve"> инноваций в отношении предотвращения образования морского мусора;</w:t>
      </w:r>
    </w:p>
    <w:p w14:paraId="11C1DCA0" w14:textId="33A05178" w:rsidR="0051558D" w:rsidRPr="0051558D" w:rsidRDefault="000102B6" w:rsidP="000102B6">
      <w:pPr>
        <w:spacing w:after="120"/>
        <w:ind w:left="1247" w:firstLine="624"/>
        <w:rPr>
          <w:rFonts w:eastAsia="Times New Roman"/>
          <w:szCs w:val="20"/>
          <w:lang w:val="ru-RU"/>
        </w:rPr>
      </w:pPr>
      <w:r>
        <w:rPr>
          <w:rFonts w:eastAsia="Times New Roman"/>
          <w:szCs w:val="20"/>
        </w:rPr>
        <w:lastRenderedPageBreak/>
        <w:t>d</w:t>
      </w:r>
      <w:r w:rsidRPr="00C5233A">
        <w:rPr>
          <w:rFonts w:eastAsia="Times New Roman"/>
          <w:szCs w:val="20"/>
          <w:lang w:val="ru-RU"/>
        </w:rPr>
        <w:t>)</w:t>
      </w:r>
      <w:r w:rsidRPr="00C5233A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анализировать эффективность имеющихся и потенциальных вариантов реагирования и мероприятий в отношении мусора и микрочастиц пластмасс</w:t>
      </w:r>
      <w:r w:rsidR="00E26502">
        <w:rPr>
          <w:rFonts w:eastAsia="Times New Roman"/>
          <w:szCs w:val="20"/>
          <w:lang w:val="ru-RU"/>
        </w:rPr>
        <w:t xml:space="preserve"> в морской среде</w:t>
      </w:r>
      <w:r w:rsidR="0051558D" w:rsidRPr="0051558D">
        <w:rPr>
          <w:rFonts w:eastAsia="Times New Roman"/>
          <w:szCs w:val="20"/>
          <w:lang w:val="ru-RU"/>
        </w:rPr>
        <w:t>.</w:t>
      </w:r>
    </w:p>
    <w:p w14:paraId="553992C8" w14:textId="3A61C577" w:rsidR="0051558D" w:rsidRPr="0051558D" w:rsidRDefault="000102B6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C5233A">
        <w:rPr>
          <w:rFonts w:eastAsia="Times New Roman"/>
          <w:szCs w:val="20"/>
          <w:lang w:val="ru-RU"/>
        </w:rPr>
        <w:t>7.</w:t>
      </w:r>
      <w:r w:rsidRPr="00C5233A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В пункте 8 резолюции Ассамблея по окружающей среде предложила Группе по рациональному природопользованию взаимодействовать </w:t>
      </w:r>
      <w:r w:rsidR="0051558D" w:rsidRPr="00C5233A">
        <w:rPr>
          <w:rFonts w:eastAsia="Times New Roman"/>
          <w:szCs w:val="20"/>
          <w:lang w:val="ru-RU"/>
        </w:rPr>
        <w:t xml:space="preserve">со специальной группой </w:t>
      </w:r>
      <w:r w:rsidR="00F43467" w:rsidRPr="00C5233A">
        <w:rPr>
          <w:rFonts w:eastAsia="Times New Roman"/>
          <w:szCs w:val="20"/>
          <w:lang w:val="ru-RU"/>
        </w:rPr>
        <w:t xml:space="preserve">экспертов </w:t>
      </w:r>
      <w:r w:rsidR="0051558D" w:rsidRPr="00C5233A">
        <w:rPr>
          <w:rFonts w:eastAsia="Times New Roman"/>
          <w:szCs w:val="20"/>
          <w:lang w:val="ru-RU"/>
        </w:rPr>
        <w:t>открытого</w:t>
      </w:r>
      <w:r w:rsidR="0051558D" w:rsidRPr="0051558D">
        <w:rPr>
          <w:rFonts w:eastAsia="Times New Roman"/>
          <w:szCs w:val="20"/>
          <w:lang w:val="ru-RU"/>
        </w:rPr>
        <w:t xml:space="preserve"> состава по </w:t>
      </w:r>
      <w:r w:rsidR="00F43467">
        <w:rPr>
          <w:rFonts w:eastAsia="Times New Roman"/>
          <w:szCs w:val="20"/>
          <w:lang w:val="ru-RU"/>
        </w:rPr>
        <w:t xml:space="preserve">проблеме </w:t>
      </w:r>
      <w:r w:rsidR="0051558D" w:rsidRPr="0051558D">
        <w:rPr>
          <w:rFonts w:eastAsia="Times New Roman"/>
          <w:szCs w:val="20"/>
          <w:lang w:val="ru-RU"/>
        </w:rPr>
        <w:t>мусор</w:t>
      </w:r>
      <w:r w:rsidR="00F43467">
        <w:rPr>
          <w:rFonts w:eastAsia="Times New Roman"/>
          <w:szCs w:val="20"/>
          <w:lang w:val="ru-RU"/>
        </w:rPr>
        <w:t>а</w:t>
      </w:r>
      <w:r w:rsidR="0051558D" w:rsidRPr="0051558D">
        <w:rPr>
          <w:rFonts w:eastAsia="Times New Roman"/>
          <w:szCs w:val="20"/>
          <w:lang w:val="ru-RU"/>
        </w:rPr>
        <w:t xml:space="preserve"> и микрочастиц пластмасс </w:t>
      </w:r>
      <w:r w:rsidR="007004C2">
        <w:rPr>
          <w:rFonts w:eastAsia="Times New Roman"/>
          <w:szCs w:val="20"/>
          <w:lang w:val="ru-RU"/>
        </w:rPr>
        <w:t xml:space="preserve">в морской среде </w:t>
      </w:r>
      <w:r w:rsidR="0051558D" w:rsidRPr="0051558D">
        <w:rPr>
          <w:rFonts w:eastAsia="Times New Roman"/>
          <w:szCs w:val="20"/>
          <w:lang w:val="ru-RU"/>
        </w:rPr>
        <w:t xml:space="preserve">и вносить вклад в ее работу, обеспечив, в частности, составление перечня всех соответствующих учреждений, программ и инициатив Организации Объединенных Наций и других источников экспертных знаний, связанных с проблемой морского мусора, включая пластиковый мусор и микрочастицы пластмасс. </w:t>
      </w:r>
    </w:p>
    <w:p w14:paraId="1CC0E663" w14:textId="53E138CD" w:rsidR="0051558D" w:rsidRPr="0051558D" w:rsidRDefault="000102B6" w:rsidP="0051558D">
      <w:pPr>
        <w:spacing w:after="120"/>
        <w:ind w:left="1247"/>
        <w:rPr>
          <w:szCs w:val="20"/>
          <w:lang w:val="ru-RU"/>
        </w:rPr>
      </w:pPr>
      <w:r w:rsidRPr="00C5233A">
        <w:rPr>
          <w:rFonts w:eastAsia="Times New Roman"/>
          <w:szCs w:val="20"/>
          <w:lang w:val="ru-RU"/>
        </w:rPr>
        <w:t>8.</w:t>
      </w:r>
      <w:r w:rsidRPr="00C5233A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Глобальное </w:t>
      </w:r>
      <w:r w:rsidR="00E3123E">
        <w:rPr>
          <w:rFonts w:eastAsia="Times New Roman"/>
          <w:szCs w:val="20"/>
          <w:lang w:val="ru-RU"/>
        </w:rPr>
        <w:t xml:space="preserve">партнерство </w:t>
      </w:r>
      <w:r w:rsidR="0051558D" w:rsidRPr="0051558D">
        <w:rPr>
          <w:rFonts w:eastAsia="Times New Roman"/>
          <w:szCs w:val="20"/>
          <w:lang w:val="ru-RU"/>
        </w:rPr>
        <w:t>по морскому мусору является ключевой платформой для обеспечения координации и сотрудничества между заинтересованными сторонами в целях предотвращения загрязнения среды морским мусором и пластмассами. Оно является основным механизмом ЮНЕП по осуществлению деятельности, связанной с мусором и микрочастицами пластмасс</w:t>
      </w:r>
      <w:r w:rsidR="00CF01EC">
        <w:rPr>
          <w:rFonts w:eastAsia="Times New Roman"/>
          <w:szCs w:val="20"/>
          <w:lang w:val="ru-RU"/>
        </w:rPr>
        <w:t xml:space="preserve"> в морской среде</w:t>
      </w:r>
      <w:r w:rsidR="0051558D" w:rsidRPr="0051558D">
        <w:rPr>
          <w:rFonts w:eastAsia="Times New Roman"/>
          <w:szCs w:val="20"/>
          <w:lang w:val="ru-RU"/>
        </w:rPr>
        <w:t>.</w:t>
      </w:r>
    </w:p>
    <w:p w14:paraId="2F5334BD" w14:textId="75931B0D" w:rsidR="0051558D" w:rsidRPr="0051558D" w:rsidRDefault="000102B6" w:rsidP="0051558D">
      <w:pPr>
        <w:spacing w:after="120"/>
        <w:ind w:left="1247"/>
        <w:rPr>
          <w:szCs w:val="20"/>
          <w:lang w:val="ru-RU"/>
        </w:rPr>
      </w:pPr>
      <w:r w:rsidRPr="00C5233A">
        <w:rPr>
          <w:rFonts w:eastAsia="Times New Roman"/>
          <w:szCs w:val="20"/>
          <w:lang w:val="ru-RU"/>
        </w:rPr>
        <w:t>9.</w:t>
      </w:r>
      <w:r w:rsidRPr="00C5233A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ЮНЕП обеспечивает секретариатское обслуживание Глобальному партнерству и, в соответствии с содержащейся в пункте 7 резолюции 3/7 просьбой увеличить вклад в деятельность партнерства. укрепила эти секретариатские услуги и осуществила различные мероприятия через это партнерство, о которых говорится ниже.</w:t>
      </w:r>
    </w:p>
    <w:p w14:paraId="261B0928" w14:textId="5CBD059C" w:rsidR="0051558D" w:rsidRPr="0051558D" w:rsidRDefault="003747B4" w:rsidP="0051558D">
      <w:pPr>
        <w:spacing w:after="120"/>
        <w:ind w:left="1247"/>
        <w:rPr>
          <w:szCs w:val="20"/>
          <w:lang w:val="ru-RU"/>
        </w:rPr>
      </w:pPr>
      <w:r w:rsidRPr="00C5233A">
        <w:rPr>
          <w:rFonts w:eastAsia="Times New Roman"/>
          <w:szCs w:val="20"/>
          <w:lang w:val="ru-RU"/>
        </w:rPr>
        <w:t>10.</w:t>
      </w:r>
      <w:r w:rsidRPr="00C5233A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Резолюция 4/6 осуществлялась на глобальном, региональном и национальном уровнях в координации с учреждениями Организации Объединенных Наций, многосторонними природоохранными соглашениями и конвенциями и планами действий по региональным морям, а также с членами Глобального партнерства по морскому мусору и его руководящим комитетом и региональными центрами. К числу других участвующих субъектов относятся правительства и основные группы, а также заинтересованные стороны, действующие, например, через специальную группу экспертов открытого состава, сети и группы </w:t>
      </w:r>
      <w:r w:rsidR="00630B40">
        <w:rPr>
          <w:rFonts w:eastAsia="Times New Roman"/>
          <w:szCs w:val="20"/>
          <w:lang w:val="ru-RU"/>
        </w:rPr>
        <w:t xml:space="preserve">на базе ЮНЕП </w:t>
      </w:r>
      <w:r w:rsidR="0051558D" w:rsidRPr="0051558D">
        <w:rPr>
          <w:rFonts w:eastAsia="Times New Roman"/>
          <w:szCs w:val="20"/>
          <w:lang w:val="ru-RU"/>
        </w:rPr>
        <w:t>и сотрудничающие центры, включая «ГРИД-Арендал».</w:t>
      </w:r>
    </w:p>
    <w:p w14:paraId="763B1CD8" w14:textId="5A8D2849" w:rsidR="0051558D" w:rsidRPr="0051558D" w:rsidRDefault="003747B4" w:rsidP="0051558D">
      <w:pPr>
        <w:spacing w:after="120"/>
        <w:ind w:left="1247"/>
        <w:rPr>
          <w:szCs w:val="20"/>
          <w:lang w:val="ru-RU"/>
        </w:rPr>
      </w:pPr>
      <w:r w:rsidRPr="00C5233A">
        <w:rPr>
          <w:rFonts w:eastAsia="Times New Roman"/>
          <w:szCs w:val="20"/>
          <w:lang w:val="ru-RU"/>
        </w:rPr>
        <w:t>11.</w:t>
      </w:r>
      <w:r w:rsidRPr="00C5233A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Внебюджетное финансирование было одним из основных источников поддержки осуществления резолюции 4/6. Основными донорами на цели осуществления деятельности, связанной с мусором и микрочастицами пластмасс</w:t>
      </w:r>
      <w:r w:rsidR="0023392F">
        <w:rPr>
          <w:rFonts w:eastAsia="Times New Roman"/>
          <w:szCs w:val="20"/>
          <w:lang w:val="ru-RU"/>
        </w:rPr>
        <w:t xml:space="preserve"> в морской среде</w:t>
      </w:r>
      <w:r w:rsidR="0051558D" w:rsidRPr="0051558D">
        <w:rPr>
          <w:rFonts w:eastAsia="Times New Roman"/>
          <w:szCs w:val="20"/>
          <w:lang w:val="ru-RU"/>
        </w:rPr>
        <w:t>, в период 2019</w:t>
      </w:r>
      <w:r w:rsidRPr="00C5233A">
        <w:rPr>
          <w:rFonts w:eastAsia="Times New Roman"/>
          <w:szCs w:val="20"/>
          <w:lang w:val="ru-RU"/>
        </w:rPr>
        <w:t>-</w:t>
      </w:r>
      <w:r w:rsidR="0051558D" w:rsidRPr="0051558D">
        <w:rPr>
          <w:rFonts w:eastAsia="Times New Roman"/>
          <w:szCs w:val="20"/>
          <w:lang w:val="ru-RU"/>
        </w:rPr>
        <w:t xml:space="preserve">2020 годов, были Канада, Монако, Норвегия, Франция, Швеция, Япония и Совет министров Северных стран. </w:t>
      </w:r>
    </w:p>
    <w:p w14:paraId="54CE7817" w14:textId="2CD4EAC7" w:rsidR="0051558D" w:rsidRPr="0051558D" w:rsidRDefault="003747B4" w:rsidP="003747B4">
      <w:pPr>
        <w:spacing w:after="240"/>
        <w:ind w:left="1247"/>
        <w:rPr>
          <w:rFonts w:eastAsia="Times"/>
          <w:szCs w:val="20"/>
          <w:lang w:val="ru-RU"/>
        </w:rPr>
      </w:pPr>
      <w:r w:rsidRPr="00C5233A">
        <w:rPr>
          <w:rFonts w:eastAsia="Times New Roman"/>
          <w:szCs w:val="20"/>
          <w:lang w:val="ru-RU"/>
        </w:rPr>
        <w:t>12.</w:t>
      </w:r>
      <w:r w:rsidRPr="00C5233A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Работа по осуществлению резолюции 4/6 способствовала также осуществлению ряда других резолюций Ассамблеи по окружающей среде, включая резолюцию 4/11 «Охрана морской среды от загрязнения в результате осуществляемой на суше деятельности»; резолюцию 4/1 «Инновационные пути обеспечения рационального потребления и производства»; резолюцию 4/5 «Устойчивая инфраструктура»; резолюцию 4/7 «Экологически обоснованное регулирование отходов»; резолюцию 4/8 «Рациональное регулирование химических веществ и отходов»; резолюцию 4/9 «Решение проблемы загрязнения пластмассовыми изделиями одноразового </w:t>
      </w:r>
      <w:r w:rsidR="000F6CB3">
        <w:rPr>
          <w:rFonts w:eastAsia="Times New Roman"/>
          <w:szCs w:val="20"/>
          <w:lang w:val="ru-RU"/>
        </w:rPr>
        <w:t>ис</w:t>
      </w:r>
      <w:r w:rsidR="0051558D" w:rsidRPr="0051558D">
        <w:rPr>
          <w:rFonts w:eastAsia="Times New Roman"/>
          <w:szCs w:val="20"/>
          <w:lang w:val="ru-RU"/>
        </w:rPr>
        <w:t xml:space="preserve">пользования»; резолюцию 4/12 «Устойчивое регулирование для здорового состояния мангровых зарослей во всем мире»; резолюцию 4/13 «Устойчивое регулирование коралловых рифов»; резолюцию 4/17 «Содействие гендерному равенству и правам человека и расширение прав и возможностей женщин и девочек в сфере экологического регулирования»; </w:t>
      </w:r>
      <w:r w:rsidR="00D22599">
        <w:rPr>
          <w:rFonts w:eastAsia="Times New Roman"/>
          <w:szCs w:val="20"/>
          <w:lang w:val="ru-RU"/>
        </w:rPr>
        <w:t xml:space="preserve">и </w:t>
      </w:r>
      <w:r w:rsidR="0051558D" w:rsidRPr="0051558D">
        <w:rPr>
          <w:rFonts w:eastAsia="Times New Roman"/>
          <w:szCs w:val="20"/>
          <w:lang w:val="ru-RU"/>
        </w:rPr>
        <w:t>резолюцию 4/20 «Пятая программа по разработке и периодическому обзору экологического права (</w:t>
      </w:r>
      <w:r w:rsidRPr="00C5233A">
        <w:rPr>
          <w:rFonts w:eastAsia="Times New Roman"/>
          <w:szCs w:val="20"/>
          <w:lang w:val="ru-RU"/>
        </w:rPr>
        <w:t>«</w:t>
      </w:r>
      <w:r w:rsidR="0051558D" w:rsidRPr="0051558D">
        <w:rPr>
          <w:rFonts w:eastAsia="Times New Roman"/>
          <w:szCs w:val="20"/>
          <w:lang w:val="ru-RU"/>
        </w:rPr>
        <w:t>Монтевидейская программа-V</w:t>
      </w:r>
      <w:r w:rsidRPr="00C5233A">
        <w:rPr>
          <w:rFonts w:eastAsia="Times New Roman"/>
          <w:szCs w:val="20"/>
          <w:lang w:val="ru-RU"/>
        </w:rPr>
        <w:t>»</w:t>
      </w:r>
      <w:r w:rsidR="0051558D" w:rsidRPr="0051558D">
        <w:rPr>
          <w:rFonts w:eastAsia="Times New Roman"/>
          <w:szCs w:val="20"/>
          <w:lang w:val="ru-RU"/>
        </w:rPr>
        <w:t>): реализация на благо людей и планеты».</w:t>
      </w:r>
    </w:p>
    <w:p w14:paraId="0FE1DA4F" w14:textId="2B266880" w:rsidR="0051558D" w:rsidRPr="0051558D" w:rsidRDefault="0051558D" w:rsidP="003747B4">
      <w:pPr>
        <w:tabs>
          <w:tab w:val="right" w:pos="851"/>
        </w:tabs>
        <w:spacing w:after="120"/>
        <w:ind w:left="1247" w:right="284" w:hanging="1247"/>
        <w:rPr>
          <w:rFonts w:eastAsia="Times New Roman"/>
          <w:b/>
          <w:bCs/>
          <w:sz w:val="28"/>
          <w:szCs w:val="28"/>
          <w:lang w:val="ru-RU"/>
        </w:rPr>
      </w:pPr>
      <w:r w:rsidRPr="0051558D">
        <w:rPr>
          <w:rFonts w:eastAsia="Times New Roman"/>
          <w:b/>
          <w:bCs/>
          <w:sz w:val="28"/>
          <w:szCs w:val="28"/>
          <w:lang w:val="ru-RU"/>
        </w:rPr>
        <w:tab/>
        <w:t>I.</w:t>
      </w:r>
      <w:r w:rsidRPr="0051558D">
        <w:rPr>
          <w:rFonts w:eastAsia="Times New Roman"/>
          <w:b/>
          <w:bCs/>
          <w:sz w:val="28"/>
          <w:szCs w:val="28"/>
          <w:lang w:val="ru-RU"/>
        </w:rPr>
        <w:tab/>
        <w:t>Ход осуществления резолюции 4/6</w:t>
      </w:r>
    </w:p>
    <w:p w14:paraId="6680B4E8" w14:textId="77777777" w:rsidR="0051558D" w:rsidRPr="0051558D" w:rsidRDefault="0051558D" w:rsidP="003747B4">
      <w:pPr>
        <w:tabs>
          <w:tab w:val="right" w:pos="851"/>
        </w:tabs>
        <w:spacing w:after="120"/>
        <w:ind w:left="1247" w:right="284" w:hanging="1247"/>
        <w:rPr>
          <w:rFonts w:eastAsia="Times New Roman"/>
          <w:b/>
          <w:bCs/>
          <w:sz w:val="24"/>
          <w:szCs w:val="24"/>
          <w:lang w:val="ru-RU"/>
        </w:rPr>
      </w:pPr>
      <w:r w:rsidRPr="0051558D">
        <w:rPr>
          <w:rFonts w:eastAsia="Times New Roman"/>
          <w:b/>
          <w:bCs/>
          <w:sz w:val="24"/>
          <w:szCs w:val="24"/>
          <w:lang w:val="ru-RU"/>
        </w:rPr>
        <w:tab/>
        <w:t>A.</w:t>
      </w:r>
      <w:r w:rsidRPr="0051558D">
        <w:rPr>
          <w:rFonts w:eastAsia="Times New Roman"/>
          <w:b/>
          <w:bCs/>
          <w:sz w:val="24"/>
          <w:szCs w:val="24"/>
          <w:lang w:val="ru-RU"/>
        </w:rPr>
        <w:tab/>
        <w:t xml:space="preserve">Общая деятельность по осуществлению </w:t>
      </w:r>
    </w:p>
    <w:p w14:paraId="72A90890" w14:textId="6116CE69" w:rsidR="0051558D" w:rsidRPr="0051558D" w:rsidRDefault="004B683A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C5233A">
        <w:rPr>
          <w:rFonts w:eastAsia="Times New Roman"/>
          <w:szCs w:val="20"/>
          <w:lang w:val="ru-RU"/>
        </w:rPr>
        <w:t>13.</w:t>
      </w:r>
      <w:r w:rsidRPr="00C5233A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Осуществление деятельности в соответствии с резолюцией 4/6 способствует реализации ожидаемых достижений ряда подпрограмм ЮНЕП, включая ожидаемое достижение</w:t>
      </w:r>
      <w:r w:rsidR="00E90DE0">
        <w:rPr>
          <w:rFonts w:eastAsia="Times New Roman"/>
          <w:szCs w:val="20"/>
          <w:lang w:val="ru-RU"/>
        </w:rPr>
        <w:t> </w:t>
      </w:r>
      <w:r w:rsidR="0051558D" w:rsidRPr="0051558D">
        <w:rPr>
          <w:rFonts w:eastAsia="Times New Roman"/>
          <w:szCs w:val="20"/>
          <w:lang w:val="ru-RU"/>
        </w:rPr>
        <w:t>a)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3"/>
      </w:r>
      <w:r w:rsidR="0051558D" w:rsidRPr="0062144E">
        <w:rPr>
          <w:rFonts w:eastAsia="Times New Roman"/>
          <w:szCs w:val="20"/>
          <w:lang w:val="ru-RU"/>
        </w:rPr>
        <w:t> </w:t>
      </w:r>
      <w:r w:rsidR="0051558D" w:rsidRPr="0051558D">
        <w:rPr>
          <w:rFonts w:eastAsia="Times New Roman"/>
          <w:szCs w:val="20"/>
          <w:lang w:val="ru-RU"/>
        </w:rPr>
        <w:t xml:space="preserve">подпрограммы 3 </w:t>
      </w:r>
      <w:r w:rsidR="00C13A4B">
        <w:rPr>
          <w:rFonts w:eastAsia="Times New Roman"/>
          <w:szCs w:val="20"/>
          <w:lang w:val="ru-RU"/>
        </w:rPr>
        <w:t>«З</w:t>
      </w:r>
      <w:r w:rsidR="0051558D" w:rsidRPr="0051558D">
        <w:rPr>
          <w:rFonts w:eastAsia="Times New Roman"/>
          <w:szCs w:val="20"/>
          <w:lang w:val="ru-RU"/>
        </w:rPr>
        <w:t>доровы</w:t>
      </w:r>
      <w:r w:rsidR="006B0937">
        <w:rPr>
          <w:rFonts w:eastAsia="Times New Roman"/>
          <w:szCs w:val="20"/>
          <w:lang w:val="ru-RU"/>
        </w:rPr>
        <w:t>е</w:t>
      </w:r>
      <w:r w:rsidR="0051558D" w:rsidRPr="0051558D">
        <w:rPr>
          <w:rFonts w:eastAsia="Times New Roman"/>
          <w:szCs w:val="20"/>
          <w:lang w:val="ru-RU"/>
        </w:rPr>
        <w:t xml:space="preserve"> и продуктивны</w:t>
      </w:r>
      <w:r w:rsidR="006B0937">
        <w:rPr>
          <w:rFonts w:eastAsia="Times New Roman"/>
          <w:szCs w:val="20"/>
          <w:lang w:val="ru-RU"/>
        </w:rPr>
        <w:t>е</w:t>
      </w:r>
      <w:r w:rsidR="0051558D" w:rsidRPr="0051558D">
        <w:rPr>
          <w:rFonts w:eastAsia="Times New Roman"/>
          <w:szCs w:val="20"/>
          <w:lang w:val="ru-RU"/>
        </w:rPr>
        <w:t xml:space="preserve"> экосистем</w:t>
      </w:r>
      <w:r w:rsidR="006B0937">
        <w:rPr>
          <w:rFonts w:eastAsia="Times New Roman"/>
          <w:szCs w:val="20"/>
          <w:lang w:val="ru-RU"/>
        </w:rPr>
        <w:t>ы»</w:t>
      </w:r>
      <w:r w:rsidR="0051558D" w:rsidRPr="0051558D">
        <w:rPr>
          <w:rFonts w:eastAsia="Times New Roman"/>
          <w:szCs w:val="20"/>
          <w:lang w:val="ru-RU"/>
        </w:rPr>
        <w:t xml:space="preserve">; ожидаемое </w:t>
      </w:r>
      <w:r w:rsidR="0051558D" w:rsidRPr="0051558D">
        <w:rPr>
          <w:rFonts w:eastAsia="Times New Roman"/>
          <w:szCs w:val="20"/>
          <w:lang w:val="ru-RU"/>
        </w:rPr>
        <w:lastRenderedPageBreak/>
        <w:t>достижение b)</w:t>
      </w:r>
      <w:r w:rsidR="0062144E" w:rsidRPr="0051558D">
        <w:rPr>
          <w:rFonts w:eastAsia="Times New Roman"/>
          <w:szCs w:val="20"/>
          <w:vertAlign w:val="superscript"/>
          <w:lang w:val="ru-RU"/>
        </w:rPr>
        <w:footnoteReference w:id="4"/>
      </w:r>
      <w:r w:rsidR="0051558D" w:rsidRPr="0051558D">
        <w:rPr>
          <w:rFonts w:eastAsia="Times New Roman"/>
          <w:szCs w:val="20"/>
          <w:lang w:val="ru-RU"/>
        </w:rPr>
        <w:t xml:space="preserve"> подпрограммы </w:t>
      </w:r>
      <w:r w:rsidR="001D6916">
        <w:rPr>
          <w:rFonts w:eastAsia="Times New Roman"/>
          <w:szCs w:val="20"/>
          <w:lang w:val="ru-RU"/>
        </w:rPr>
        <w:t>«</w:t>
      </w:r>
      <w:r w:rsidR="00E104B0">
        <w:rPr>
          <w:rFonts w:eastAsia="Times New Roman"/>
          <w:szCs w:val="20"/>
          <w:lang w:val="ru-RU"/>
        </w:rPr>
        <w:t>Э</w:t>
      </w:r>
      <w:r w:rsidR="0051558D" w:rsidRPr="0051558D">
        <w:rPr>
          <w:rFonts w:eastAsia="Times New Roman"/>
          <w:szCs w:val="20"/>
          <w:lang w:val="ru-RU"/>
        </w:rPr>
        <w:t>кологическо</w:t>
      </w:r>
      <w:r w:rsidR="00E104B0">
        <w:rPr>
          <w:rFonts w:eastAsia="Times New Roman"/>
          <w:szCs w:val="20"/>
          <w:lang w:val="ru-RU"/>
        </w:rPr>
        <w:t>е</w:t>
      </w:r>
      <w:r w:rsidR="0051558D" w:rsidRPr="0051558D">
        <w:rPr>
          <w:rFonts w:eastAsia="Times New Roman"/>
          <w:szCs w:val="20"/>
          <w:lang w:val="ru-RU"/>
        </w:rPr>
        <w:t xml:space="preserve"> регулировани</w:t>
      </w:r>
      <w:r w:rsidR="00E104B0">
        <w:rPr>
          <w:rFonts w:eastAsia="Times New Roman"/>
          <w:szCs w:val="20"/>
          <w:lang w:val="ru-RU"/>
        </w:rPr>
        <w:t>е»</w:t>
      </w:r>
      <w:r w:rsidR="0051558D" w:rsidRPr="0051558D">
        <w:rPr>
          <w:rFonts w:eastAsia="Times New Roman"/>
          <w:szCs w:val="20"/>
          <w:lang w:val="ru-RU"/>
        </w:rPr>
        <w:t>; ожидаемые достижения a)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5"/>
      </w:r>
      <w:r w:rsidR="0051558D" w:rsidRPr="0051558D">
        <w:rPr>
          <w:rFonts w:eastAsia="Times New Roman"/>
          <w:szCs w:val="20"/>
          <w:lang w:val="ru-RU"/>
        </w:rPr>
        <w:t xml:space="preserve"> и b)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6"/>
      </w:r>
      <w:r w:rsidR="00F35EEC">
        <w:rPr>
          <w:rFonts w:eastAsia="Times New Roman"/>
          <w:szCs w:val="20"/>
          <w:lang w:val="ru-RU"/>
        </w:rPr>
        <w:t xml:space="preserve"> </w:t>
      </w:r>
      <w:r w:rsidR="0051558D" w:rsidRPr="0051558D">
        <w:rPr>
          <w:rFonts w:eastAsia="Times New Roman"/>
          <w:szCs w:val="20"/>
          <w:lang w:val="ru-RU"/>
        </w:rPr>
        <w:t xml:space="preserve">подпрограммы 5 </w:t>
      </w:r>
      <w:r w:rsidR="00E104B0">
        <w:rPr>
          <w:rFonts w:eastAsia="Times New Roman"/>
          <w:szCs w:val="20"/>
          <w:lang w:val="ru-RU"/>
        </w:rPr>
        <w:t>«Х</w:t>
      </w:r>
      <w:r w:rsidR="0051558D" w:rsidRPr="0051558D">
        <w:rPr>
          <w:rFonts w:eastAsia="Times New Roman"/>
          <w:szCs w:val="20"/>
          <w:lang w:val="ru-RU"/>
        </w:rPr>
        <w:t>имически</w:t>
      </w:r>
      <w:r w:rsidR="002539F9">
        <w:rPr>
          <w:rFonts w:eastAsia="Times New Roman"/>
          <w:szCs w:val="20"/>
          <w:lang w:val="ru-RU"/>
        </w:rPr>
        <w:t>е</w:t>
      </w:r>
      <w:r w:rsidR="0051558D" w:rsidRPr="0051558D">
        <w:rPr>
          <w:rFonts w:eastAsia="Times New Roman"/>
          <w:szCs w:val="20"/>
          <w:lang w:val="ru-RU"/>
        </w:rPr>
        <w:t xml:space="preserve"> вещества, отход</w:t>
      </w:r>
      <w:r w:rsidR="002539F9">
        <w:rPr>
          <w:rFonts w:eastAsia="Times New Roman"/>
          <w:szCs w:val="20"/>
          <w:lang w:val="ru-RU"/>
        </w:rPr>
        <w:t>ы</w:t>
      </w:r>
      <w:r w:rsidR="0051558D" w:rsidRPr="0051558D">
        <w:rPr>
          <w:rFonts w:eastAsia="Times New Roman"/>
          <w:szCs w:val="20"/>
          <w:lang w:val="ru-RU"/>
        </w:rPr>
        <w:t xml:space="preserve"> и качеств</w:t>
      </w:r>
      <w:r w:rsidR="002539F9">
        <w:rPr>
          <w:rFonts w:eastAsia="Times New Roman"/>
          <w:szCs w:val="20"/>
          <w:lang w:val="ru-RU"/>
        </w:rPr>
        <w:t>о</w:t>
      </w:r>
      <w:r w:rsidR="0051558D" w:rsidRPr="0051558D">
        <w:rPr>
          <w:rFonts w:eastAsia="Times New Roman"/>
          <w:szCs w:val="20"/>
          <w:lang w:val="ru-RU"/>
        </w:rPr>
        <w:t xml:space="preserve"> воздуха</w:t>
      </w:r>
      <w:r w:rsidR="002539F9">
        <w:rPr>
          <w:rFonts w:eastAsia="Times New Roman"/>
          <w:szCs w:val="20"/>
          <w:lang w:val="ru-RU"/>
        </w:rPr>
        <w:t>»</w:t>
      </w:r>
      <w:r w:rsidR="0051558D" w:rsidRPr="0051558D">
        <w:rPr>
          <w:rFonts w:eastAsia="Times New Roman"/>
          <w:szCs w:val="20"/>
          <w:lang w:val="ru-RU"/>
        </w:rPr>
        <w:t>; единственное ожидаемое достижение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7"/>
      </w:r>
      <w:r w:rsidR="0051558D" w:rsidRPr="0051558D">
        <w:rPr>
          <w:rFonts w:eastAsia="Times New Roman"/>
          <w:szCs w:val="20"/>
          <w:lang w:val="ru-RU"/>
        </w:rPr>
        <w:t xml:space="preserve"> подпрограммы 7 </w:t>
      </w:r>
      <w:r w:rsidR="002B6741">
        <w:rPr>
          <w:rFonts w:eastAsia="Times New Roman"/>
          <w:szCs w:val="20"/>
          <w:lang w:val="ru-RU"/>
        </w:rPr>
        <w:t>«Н</w:t>
      </w:r>
      <w:r w:rsidR="0051558D" w:rsidRPr="0051558D">
        <w:rPr>
          <w:rFonts w:eastAsia="Times New Roman"/>
          <w:szCs w:val="20"/>
          <w:lang w:val="ru-RU"/>
        </w:rPr>
        <w:t>аблюдени</w:t>
      </w:r>
      <w:r w:rsidR="002B6741">
        <w:rPr>
          <w:rFonts w:eastAsia="Times New Roman"/>
          <w:szCs w:val="20"/>
          <w:lang w:val="ru-RU"/>
        </w:rPr>
        <w:t>е</w:t>
      </w:r>
      <w:r w:rsidR="0051558D" w:rsidRPr="0051558D">
        <w:rPr>
          <w:rFonts w:eastAsia="Times New Roman"/>
          <w:szCs w:val="20"/>
          <w:lang w:val="ru-RU"/>
        </w:rPr>
        <w:t xml:space="preserve"> за состоянием окружающей среды</w:t>
      </w:r>
      <w:r w:rsidR="002B6741">
        <w:rPr>
          <w:rFonts w:eastAsia="Times New Roman"/>
          <w:szCs w:val="20"/>
          <w:lang w:val="ru-RU"/>
        </w:rPr>
        <w:t>»</w:t>
      </w:r>
      <w:r w:rsidR="0051558D" w:rsidRPr="0051558D">
        <w:rPr>
          <w:rFonts w:eastAsia="Times New Roman"/>
          <w:szCs w:val="20"/>
          <w:lang w:val="ru-RU"/>
        </w:rPr>
        <w:t>. Эти виды деятельности в основном относятся к проекту программы работы № 522.4 «Охрана морской среды от загрязнения в результате осуществляемой на суше деятельности путем укрепления координации глобальных действий». На глобальном уровне при тесном сотрудничестве и взаимодействии со всеми регионами Организации Объединенных Наций и конвенциями и планами действий по региональным морям был осуществлен ряд мероприятий в направлениях работы, о которых говорится ниже.</w:t>
      </w:r>
    </w:p>
    <w:p w14:paraId="59BA65CF" w14:textId="42F97DAB" w:rsidR="0051558D" w:rsidRPr="0051558D" w:rsidRDefault="0051558D" w:rsidP="003747B4">
      <w:pPr>
        <w:tabs>
          <w:tab w:val="right" w:pos="851"/>
        </w:tabs>
        <w:spacing w:after="120"/>
        <w:ind w:left="1247" w:right="284" w:hanging="1247"/>
        <w:rPr>
          <w:rFonts w:eastAsia="MS Mincho"/>
          <w:b/>
          <w:bCs/>
          <w:szCs w:val="20"/>
          <w:lang w:val="ru-RU"/>
        </w:rPr>
      </w:pPr>
      <w:r w:rsidRPr="0051558D">
        <w:rPr>
          <w:rFonts w:eastAsia="Times New Roman"/>
          <w:b/>
          <w:bCs/>
          <w:szCs w:val="20"/>
          <w:lang w:val="ru-RU"/>
        </w:rPr>
        <w:tab/>
        <w:t>1.</w:t>
      </w:r>
      <w:r w:rsidRPr="0051558D">
        <w:rPr>
          <w:rFonts w:eastAsia="Times New Roman"/>
          <w:b/>
          <w:bCs/>
          <w:szCs w:val="20"/>
          <w:lang w:val="ru-RU"/>
        </w:rPr>
        <w:tab/>
        <w:t xml:space="preserve">Оказание поддержки в разработке и укреплении системы управления для решения проблемы мусора и микрочастиц пластмасс </w:t>
      </w:r>
      <w:r w:rsidR="0023392F">
        <w:rPr>
          <w:rFonts w:eastAsia="Times New Roman"/>
          <w:b/>
          <w:bCs/>
          <w:szCs w:val="20"/>
          <w:lang w:val="ru-RU"/>
        </w:rPr>
        <w:t>в морской среде</w:t>
      </w:r>
    </w:p>
    <w:p w14:paraId="5EE0ACCF" w14:textId="7856D5B2" w:rsidR="0051558D" w:rsidRPr="0051558D" w:rsidRDefault="00FD6087" w:rsidP="0051558D">
      <w:pPr>
        <w:spacing w:after="120"/>
        <w:ind w:left="1247"/>
        <w:rPr>
          <w:rFonts w:eastAsia="MS Mincho"/>
          <w:szCs w:val="20"/>
          <w:lang w:val="ru-RU"/>
        </w:rPr>
      </w:pPr>
      <w:r w:rsidRPr="00C5233A">
        <w:rPr>
          <w:rFonts w:eastAsia="Times New Roman"/>
          <w:szCs w:val="20"/>
          <w:lang w:val="ru-RU"/>
        </w:rPr>
        <w:t>14.</w:t>
      </w:r>
      <w:r w:rsidRPr="00C5233A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Это направление работы охватывает отчетность и развитие глобальных и региональных механизмов управления для решения проблемы мусора и микрочастиц пластмасс</w:t>
      </w:r>
      <w:r w:rsidR="0023392F">
        <w:rPr>
          <w:rFonts w:eastAsia="Times New Roman"/>
          <w:szCs w:val="20"/>
          <w:lang w:val="ru-RU"/>
        </w:rPr>
        <w:t xml:space="preserve"> в морской среде</w:t>
      </w:r>
      <w:r w:rsidR="0051558D" w:rsidRPr="0051558D">
        <w:rPr>
          <w:rFonts w:eastAsia="Times New Roman"/>
          <w:szCs w:val="20"/>
          <w:lang w:val="ru-RU"/>
        </w:rPr>
        <w:t>. Он</w:t>
      </w:r>
      <w:r w:rsidR="00F14593">
        <w:rPr>
          <w:rFonts w:eastAsia="Times New Roman"/>
          <w:szCs w:val="20"/>
          <w:lang w:val="ru-RU"/>
        </w:rPr>
        <w:t>о</w:t>
      </w:r>
      <w:r w:rsidR="0051558D" w:rsidRPr="0051558D">
        <w:rPr>
          <w:rFonts w:eastAsia="Times New Roman"/>
          <w:szCs w:val="20"/>
          <w:lang w:val="ru-RU"/>
        </w:rPr>
        <w:t xml:space="preserve"> включает оказание поддержки </w:t>
      </w:r>
      <w:r w:rsidR="0051558D" w:rsidRPr="00A24EFF">
        <w:rPr>
          <w:rFonts w:eastAsia="Times New Roman"/>
          <w:szCs w:val="20"/>
          <w:lang w:val="ru-RU"/>
        </w:rPr>
        <w:t>с</w:t>
      </w:r>
      <w:r w:rsidR="0051558D" w:rsidRPr="006C012B">
        <w:rPr>
          <w:rFonts w:eastAsia="Times New Roman"/>
          <w:szCs w:val="20"/>
          <w:lang w:val="ru-RU"/>
        </w:rPr>
        <w:t>пециальной группе экспертов открытого состава</w:t>
      </w:r>
      <w:r w:rsidR="0051558D" w:rsidRPr="0051558D">
        <w:rPr>
          <w:rFonts w:eastAsia="Times New Roman"/>
          <w:szCs w:val="20"/>
          <w:lang w:val="ru-RU"/>
        </w:rPr>
        <w:t xml:space="preserve"> по проблеме мусора и микрочастиц пластмасс в морской среде и содействие участию многих заинтересованных сторон во всех регионах в рамках различных мероприятий. </w:t>
      </w:r>
    </w:p>
    <w:p w14:paraId="6C526FA4" w14:textId="0950DA9B" w:rsidR="0051558D" w:rsidRPr="0051558D" w:rsidRDefault="00FD6087" w:rsidP="0051558D">
      <w:pPr>
        <w:spacing w:after="120"/>
        <w:ind w:left="1247"/>
        <w:rPr>
          <w:rFonts w:eastAsia="MS Mincho"/>
          <w:szCs w:val="20"/>
          <w:lang w:val="ru-RU"/>
        </w:rPr>
      </w:pPr>
      <w:r w:rsidRPr="006C012B">
        <w:rPr>
          <w:rFonts w:eastAsia="Times New Roman"/>
          <w:szCs w:val="20"/>
          <w:lang w:val="ru-RU"/>
        </w:rPr>
        <w:t>15.</w:t>
      </w:r>
      <w:r w:rsidRPr="006C012B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В рамках этого направления работы ЮНЕП поддерживает разработку региональных планов действий по борьбе с морским мусором. В настоящее время имеется в общей сложности 12 региональных планов действий по борьбе с морским мусором, последние из которых были приняты в Восточной Африке и Юго-Восточной Азии. Готовятся еще четыре плана действий</w:t>
      </w:r>
      <w:r w:rsidR="006C012B" w:rsidRPr="002C7A02">
        <w:rPr>
          <w:rFonts w:eastAsia="Times New Roman"/>
          <w:szCs w:val="20"/>
          <w:lang w:val="ru-RU"/>
        </w:rPr>
        <w:t xml:space="preserve"> </w:t>
      </w:r>
      <w:r w:rsidR="00E95917" w:rsidRPr="006C012B">
        <w:rPr>
          <w:rFonts w:eastAsia="Times New Roman"/>
          <w:szCs w:val="20"/>
          <w:lang w:val="ru-RU"/>
        </w:rPr>
        <w:t>–</w:t>
      </w:r>
      <w:r w:rsidR="0051558D" w:rsidRPr="0051558D">
        <w:rPr>
          <w:rFonts w:eastAsia="Times New Roman"/>
          <w:szCs w:val="20"/>
          <w:lang w:val="ru-RU"/>
        </w:rPr>
        <w:t>для северо-восточной части Тихого океана и для Западной, Центральной и Южной Африки, и с этой целью было созвано несколько региональных и субрегиональных семинаров. Оказывалась имплементационная поддержка планам действий для Тихого океана, Большого Карибского региона, Средиземноморья, Восточной Африки, северо-западной части Тихого океана, Красного моря и Аденского залива, Юго-Восточной Азии и Южной Азии. Создано также пять региональных центров Глобального партнерства по морскому мусор</w:t>
      </w:r>
      <w:r w:rsidR="00DD0AB2">
        <w:rPr>
          <w:rFonts w:eastAsia="Times New Roman"/>
          <w:szCs w:val="20"/>
          <w:lang w:val="ru-RU"/>
        </w:rPr>
        <w:t>у</w:t>
      </w:r>
      <w:r w:rsidR="0051558D" w:rsidRPr="0051558D">
        <w:rPr>
          <w:rFonts w:eastAsia="Times New Roman"/>
          <w:szCs w:val="20"/>
          <w:lang w:val="ru-RU"/>
        </w:rPr>
        <w:t>, и один региональный центр находится в стадии разработки. Руководящий комитет этого партнерства утвердил круг полномочий региональных центров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8"/>
      </w:r>
      <w:r w:rsidR="0051558D" w:rsidRPr="0051558D">
        <w:rPr>
          <w:rFonts w:eastAsia="Times New Roman"/>
          <w:szCs w:val="20"/>
          <w:lang w:val="ru-RU"/>
        </w:rPr>
        <w:t>, а ЮНЕП подготовила руководящие материалы по разработке региональных планов действий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9"/>
      </w:r>
      <w:r w:rsidR="0051558D" w:rsidRPr="0051558D">
        <w:rPr>
          <w:rFonts w:eastAsia="Times New Roman"/>
          <w:szCs w:val="20"/>
          <w:lang w:val="ru-RU"/>
        </w:rPr>
        <w:t>.</w:t>
      </w:r>
    </w:p>
    <w:p w14:paraId="3191DCBE" w14:textId="1160BFC1" w:rsidR="0051558D" w:rsidRPr="0051558D" w:rsidRDefault="0051558D" w:rsidP="003747B4">
      <w:pPr>
        <w:tabs>
          <w:tab w:val="right" w:pos="851"/>
        </w:tabs>
        <w:spacing w:after="120"/>
        <w:ind w:left="1247" w:right="284" w:hanging="1247"/>
        <w:rPr>
          <w:rFonts w:eastAsia="MS Mincho"/>
          <w:b/>
          <w:bCs/>
          <w:szCs w:val="20"/>
          <w:lang w:val="ru-RU"/>
        </w:rPr>
      </w:pPr>
      <w:r w:rsidRPr="0051558D">
        <w:rPr>
          <w:rFonts w:eastAsia="Times New Roman"/>
          <w:b/>
          <w:bCs/>
          <w:szCs w:val="20"/>
          <w:lang w:val="ru-RU"/>
        </w:rPr>
        <w:tab/>
        <w:t>2.</w:t>
      </w:r>
      <w:r w:rsidRPr="0051558D">
        <w:rPr>
          <w:rFonts w:eastAsia="Times New Roman"/>
          <w:b/>
          <w:bCs/>
          <w:szCs w:val="20"/>
          <w:lang w:val="ru-RU"/>
        </w:rPr>
        <w:tab/>
        <w:t>Поддержка более эффективного регулирования мусора и микрочастиц пластмасс в целях сокращения загрязнения морской среды в ключевых регионах</w:t>
      </w:r>
    </w:p>
    <w:p w14:paraId="43CE29BC" w14:textId="2D0F3AFD" w:rsidR="0051558D" w:rsidRPr="0051558D" w:rsidRDefault="00E95917" w:rsidP="0051558D">
      <w:pPr>
        <w:spacing w:after="120"/>
        <w:ind w:left="1247"/>
        <w:rPr>
          <w:rFonts w:eastAsia="MS Mincho"/>
          <w:szCs w:val="20"/>
          <w:lang w:val="ru-RU"/>
        </w:rPr>
      </w:pPr>
      <w:r w:rsidRPr="00CF520D">
        <w:rPr>
          <w:rFonts w:eastAsia="Times New Roman"/>
          <w:szCs w:val="20"/>
          <w:lang w:val="ru-RU"/>
        </w:rPr>
        <w:t>16.</w:t>
      </w:r>
      <w:r w:rsidRPr="00CF520D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Это направление работы обеспечивает информацию для осуществления приоритетных мероприятий, касающихся источников, потоков, путей поступления, последствий и соответствующих приоритетных ответных мер, и способствует более четкому определению политической арены для глобального скоординированного реагирования на данную проблему. Оно также ориентировано на создание потенциала и способствует его укреплению посредством применения соответствующего инструментария и передовых методов на местах. </w:t>
      </w:r>
    </w:p>
    <w:p w14:paraId="5723DA6D" w14:textId="4E8931DB" w:rsidR="0051558D" w:rsidRPr="0051558D" w:rsidRDefault="00E95917" w:rsidP="0051558D">
      <w:pPr>
        <w:spacing w:after="120"/>
        <w:ind w:left="1247"/>
        <w:rPr>
          <w:rFonts w:eastAsia="MS Mincho"/>
          <w:szCs w:val="20"/>
          <w:lang w:val="ru-RU"/>
        </w:rPr>
      </w:pPr>
      <w:r w:rsidRPr="004C1B43">
        <w:rPr>
          <w:rFonts w:eastAsia="Times New Roman"/>
          <w:szCs w:val="20"/>
          <w:lang w:val="ru-RU"/>
        </w:rPr>
        <w:t>17.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Основные мероприятия включали создание глобальной модели потоков пластиковых отходов для исследований </w:t>
      </w:r>
      <w:r w:rsidR="001C76DB">
        <w:rPr>
          <w:rFonts w:eastAsia="Times New Roman"/>
          <w:szCs w:val="20"/>
          <w:lang w:val="ru-RU"/>
        </w:rPr>
        <w:t xml:space="preserve">перемещения пластика </w:t>
      </w:r>
      <w:r w:rsidR="0051558D" w:rsidRPr="0051558D">
        <w:rPr>
          <w:rFonts w:eastAsia="Times New Roman"/>
          <w:szCs w:val="20"/>
          <w:lang w:val="ru-RU"/>
        </w:rPr>
        <w:t xml:space="preserve">с использованием данных моделей океанической циркуляции. Эта модель может быть использована для определения мест, в которые попадает пластиковый мусор, поступивший в океан из данной страны, и откуда </w:t>
      </w:r>
      <w:r w:rsidR="0051558D" w:rsidRPr="0051558D">
        <w:rPr>
          <w:rFonts w:eastAsia="Times New Roman"/>
          <w:szCs w:val="20"/>
          <w:lang w:val="ru-RU"/>
        </w:rPr>
        <w:lastRenderedPageBreak/>
        <w:t>приходит пластиковый мусор, найденный на береговой линии данной страны. ЮНЕП внесла также вклад в разработку подходов к определению «горячих точек», включая метод оценки «горячих точек» морского мусора, разработанный в партнерстве с Восточно</w:t>
      </w:r>
      <w:r w:rsidR="00EB77B4">
        <w:rPr>
          <w:rFonts w:eastAsia="Times New Roman"/>
          <w:szCs w:val="20"/>
          <w:lang w:val="ru-RU"/>
        </w:rPr>
        <w:noBreakHyphen/>
      </w:r>
      <w:r w:rsidR="0051558D" w:rsidRPr="0051558D">
        <w:rPr>
          <w:rFonts w:eastAsia="Times New Roman"/>
          <w:szCs w:val="20"/>
          <w:lang w:val="ru-RU"/>
        </w:rPr>
        <w:t>Китайским педагогическим университетом. Этот метод, основанный на моделировании, а также на привлечении экспертов для того, чтобы его применение можно было корректировать с учетом контекста и наличия данных, в течение 2021 года будет применяться в странах Юго</w:t>
      </w:r>
      <w:r>
        <w:rPr>
          <w:rFonts w:eastAsia="Times New Roman"/>
          <w:szCs w:val="20"/>
          <w:lang w:val="ru-RU"/>
        </w:rPr>
        <w:noBreakHyphen/>
      </w:r>
      <w:r w:rsidR="0051558D" w:rsidRPr="0051558D">
        <w:rPr>
          <w:rFonts w:eastAsia="Times New Roman"/>
          <w:szCs w:val="20"/>
          <w:lang w:val="ru-RU"/>
        </w:rPr>
        <w:t xml:space="preserve">Восточной Азии. В партнерстве с Программой Организации Объединенных Наций по населенным пунктам (ООН-Хабитат) и Лидским университетом ЮНЕП также провела моделирование на уровне муниципалитетов с применением Географической информационной системы для выявления наземных «горячих точек» в Африке и Южной Азии, используя данные, относящиеся к обращению с отходами (например, об образовании отходов и местах сброса или захоронения отходов), географические и метеорологические данные по водным путям, рельефным и поверхностным стокам и дренажным системам, а также поведенческие и социально-экономические данные, такие как ВВП на душу населения. </w:t>
      </w:r>
    </w:p>
    <w:p w14:paraId="157F6C3B" w14:textId="004A6CA3" w:rsidR="0051558D" w:rsidRPr="0051558D" w:rsidRDefault="0051558D" w:rsidP="003747B4">
      <w:pPr>
        <w:tabs>
          <w:tab w:val="right" w:pos="851"/>
        </w:tabs>
        <w:spacing w:after="120"/>
        <w:ind w:left="1247" w:right="284" w:hanging="1247"/>
        <w:rPr>
          <w:rFonts w:eastAsia="Times New Roman"/>
          <w:b/>
          <w:bCs/>
          <w:szCs w:val="20"/>
          <w:lang w:val="ru-RU"/>
        </w:rPr>
      </w:pPr>
      <w:r w:rsidRPr="0051558D">
        <w:rPr>
          <w:rFonts w:eastAsia="Times New Roman"/>
          <w:b/>
          <w:bCs/>
          <w:szCs w:val="20"/>
          <w:lang w:val="ru-RU"/>
        </w:rPr>
        <w:tab/>
        <w:t>3.</w:t>
      </w:r>
      <w:r w:rsidRPr="0051558D">
        <w:rPr>
          <w:rFonts w:eastAsia="Times New Roman"/>
          <w:b/>
          <w:bCs/>
          <w:szCs w:val="20"/>
          <w:lang w:val="ru-RU"/>
        </w:rPr>
        <w:tab/>
        <w:t xml:space="preserve">Укрепление национального и регионального потенциала в области оценки и мониторинга мусора и микрочастиц пластмасс </w:t>
      </w:r>
      <w:r w:rsidR="00B95846">
        <w:rPr>
          <w:rFonts w:eastAsia="Times New Roman"/>
          <w:b/>
          <w:bCs/>
          <w:szCs w:val="20"/>
          <w:lang w:val="ru-RU"/>
        </w:rPr>
        <w:t>в морской среде</w:t>
      </w:r>
    </w:p>
    <w:p w14:paraId="5467C4BC" w14:textId="42366708" w:rsidR="0051558D" w:rsidRPr="0051558D" w:rsidRDefault="00767428" w:rsidP="0051558D">
      <w:pPr>
        <w:spacing w:after="120"/>
        <w:ind w:left="1247"/>
        <w:rPr>
          <w:rFonts w:eastAsia="MS Mincho"/>
          <w:szCs w:val="20"/>
          <w:lang w:val="ru-RU"/>
        </w:rPr>
      </w:pPr>
      <w:r w:rsidRPr="004C1B43">
        <w:rPr>
          <w:rFonts w:eastAsia="Times New Roman"/>
          <w:szCs w:val="20"/>
          <w:lang w:val="ru-RU"/>
        </w:rPr>
        <w:t>18.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На глобальном уровне ЮНЕП стремится согласовать усилия по оценке вопросов, касающихся мусора и микрочастиц пластмасс</w:t>
      </w:r>
      <w:r w:rsidR="007F4102">
        <w:rPr>
          <w:rFonts w:eastAsia="Times New Roman"/>
          <w:szCs w:val="20"/>
          <w:lang w:val="ru-RU"/>
        </w:rPr>
        <w:t xml:space="preserve"> в морской среде</w:t>
      </w:r>
      <w:r w:rsidR="0051558D" w:rsidRPr="0051558D">
        <w:rPr>
          <w:rFonts w:eastAsia="Times New Roman"/>
          <w:szCs w:val="20"/>
          <w:lang w:val="ru-RU"/>
        </w:rPr>
        <w:t xml:space="preserve">, в рамках целей в области устойчивого развития, включая задачу 14.1, но не ограничиваясь ею. </w:t>
      </w:r>
    </w:p>
    <w:p w14:paraId="2BF34E12" w14:textId="6DDDEC06" w:rsidR="0051558D" w:rsidRPr="0051558D" w:rsidRDefault="00767428" w:rsidP="0051558D">
      <w:pPr>
        <w:spacing w:after="120"/>
        <w:ind w:left="1247"/>
        <w:rPr>
          <w:rFonts w:eastAsia="MS Mincho"/>
          <w:szCs w:val="20"/>
          <w:lang w:val="ru-RU"/>
        </w:rPr>
      </w:pPr>
      <w:r w:rsidRPr="004C1B43">
        <w:rPr>
          <w:rFonts w:eastAsia="Times New Roman"/>
          <w:szCs w:val="20"/>
          <w:lang w:val="ru-RU"/>
        </w:rPr>
        <w:t>19.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На национальном уровне ЮНЕП оказывает государствам-членам помощь в укреплении национального потенциала для выполнения этой задачи. Для этого она оказывает странам помощь в сборе научных данных, укреплении базы фактологической информации и научных знаний для принятия мер, определения приоритетов, выбора наиболее экологически обоснованных и затратоэффективных мер и стимулирования деятельности. </w:t>
      </w:r>
    </w:p>
    <w:p w14:paraId="3006BFFD" w14:textId="3C1B7221" w:rsidR="0051558D" w:rsidRPr="0051558D" w:rsidRDefault="00767428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4C1B43">
        <w:rPr>
          <w:rFonts w:eastAsia="Times New Roman"/>
          <w:szCs w:val="20"/>
          <w:lang w:val="ru-RU"/>
        </w:rPr>
        <w:t>20.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Все соответствующие подразделения ЮНЕП занимались разработкой концепции «национальных кадастров источников» морского мусора и микрочастиц пластмасс для руководства разработкой национальных планов действий по морскому мусору. На данном пилотном этапе национальный кадастр источников включает всеобъемлющую оценку источников морского мусора, путей поступления и зон накопления в пределах национальной юрисдикции страны. При составлении кадастра учитываются, начиная с ранних этапов производственного цикла, такие данные, как объем производства и импорта пластмассовой продукции, а также приблизительный объем пластмасс на внутреннем рынке с использованием метода учета материальных потоков. В нем оценива</w:t>
      </w:r>
      <w:r w:rsidR="00506742">
        <w:rPr>
          <w:rFonts w:eastAsia="Times New Roman"/>
          <w:szCs w:val="20"/>
          <w:lang w:val="ru-RU"/>
        </w:rPr>
        <w:t>ю</w:t>
      </w:r>
      <w:r w:rsidR="0051558D" w:rsidRPr="0051558D">
        <w:rPr>
          <w:rFonts w:eastAsia="Times New Roman"/>
          <w:szCs w:val="20"/>
          <w:lang w:val="ru-RU"/>
        </w:rPr>
        <w:t>тся система обращения с отходами в стране и ее уязвимость, приводящая к утечкам отходов в окружающую среду. Такой подход позволяет точно определить ключевые точки вмешательства с целью уменьшения таких утечек и тем самым предотвратить по</w:t>
      </w:r>
      <w:r w:rsidR="007F4102">
        <w:rPr>
          <w:rFonts w:eastAsia="Times New Roman"/>
          <w:szCs w:val="20"/>
          <w:lang w:val="ru-RU"/>
        </w:rPr>
        <w:t>ступление</w:t>
      </w:r>
      <w:r w:rsidR="0051558D" w:rsidRPr="0051558D">
        <w:rPr>
          <w:rFonts w:eastAsia="Times New Roman"/>
          <w:szCs w:val="20"/>
          <w:lang w:val="ru-RU"/>
        </w:rPr>
        <w:t xml:space="preserve"> морского мусора в океан. Эти кадастры в сочетании с методологиями, определенными Объединенной группой экспертов по научным аспектам защиты морской среды (ГЕСАМП), позволяют осуществлять сбор соответствующих данных по всему жизненному циклу пластмасс и по источникам вплоть до поступления в морскую среду в связи с другими соответствующими задачами в рамках целей в области устойчивого развития. </w:t>
      </w:r>
    </w:p>
    <w:p w14:paraId="0E001046" w14:textId="03F62426" w:rsidR="0051558D" w:rsidRPr="0051558D" w:rsidRDefault="00767428" w:rsidP="0051558D">
      <w:pPr>
        <w:spacing w:after="120"/>
        <w:ind w:left="1247"/>
        <w:rPr>
          <w:szCs w:val="20"/>
          <w:lang w:val="ru-RU"/>
        </w:rPr>
      </w:pPr>
      <w:r w:rsidRPr="004C1B43">
        <w:rPr>
          <w:rFonts w:eastAsia="Times New Roman"/>
          <w:szCs w:val="20"/>
          <w:lang w:val="ru-RU"/>
        </w:rPr>
        <w:t>21.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ЮНЕП также уделяла особое внимание применению инструментария и методологий для укрепления потенциала в области использования инновационных подходов к мониторингу и оценке в развивающихся странах. ЮНЕП разработала подход к применению некоторых методологий, определенных в руководящих принципах ГЕСАМП по мониторингу и оценке пластмассового мусора в океане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10"/>
      </w:r>
      <w:r w:rsidR="0051558D" w:rsidRPr="0051558D">
        <w:rPr>
          <w:rFonts w:eastAsia="Times New Roman"/>
          <w:szCs w:val="20"/>
          <w:lang w:val="ru-RU"/>
        </w:rPr>
        <w:t>, и опробовала этот подход в рамках пилотных проектов в Кении и на Сейшельских Островах. Для мониторинга на местах была проведена подготовка 50</w:t>
      </w:r>
      <w:r>
        <w:rPr>
          <w:rFonts w:eastAsia="Times New Roman"/>
          <w:szCs w:val="20"/>
        </w:rPr>
        <w:t> </w:t>
      </w:r>
      <w:r w:rsidR="0051558D" w:rsidRPr="0051558D">
        <w:rPr>
          <w:rFonts w:eastAsia="Times New Roman"/>
          <w:szCs w:val="20"/>
          <w:lang w:val="ru-RU"/>
        </w:rPr>
        <w:t>человек по установлению базовых показателей, и были определены соответствующие национальные и региональные центры для поддержки дальнейших усилий по мониторингу в регионе. На основе этого опыта планируется осуществить еще 5</w:t>
      </w:r>
      <w:r w:rsidRPr="004C1B43">
        <w:rPr>
          <w:rFonts w:eastAsia="Times New Roman"/>
          <w:szCs w:val="20"/>
          <w:lang w:val="ru-RU"/>
        </w:rPr>
        <w:t>-</w:t>
      </w:r>
      <w:r w:rsidR="0051558D" w:rsidRPr="0051558D">
        <w:rPr>
          <w:rFonts w:eastAsia="Times New Roman"/>
          <w:szCs w:val="20"/>
          <w:lang w:val="ru-RU"/>
        </w:rPr>
        <w:t>10 пилотных проектов в Юго</w:t>
      </w:r>
      <w:r>
        <w:rPr>
          <w:rFonts w:eastAsia="Times New Roman"/>
          <w:szCs w:val="20"/>
          <w:lang w:val="ru-RU"/>
        </w:rPr>
        <w:noBreakHyphen/>
      </w:r>
      <w:r w:rsidR="0051558D" w:rsidRPr="0051558D">
        <w:rPr>
          <w:rFonts w:eastAsia="Times New Roman"/>
          <w:szCs w:val="20"/>
          <w:lang w:val="ru-RU"/>
        </w:rPr>
        <w:t>Восточной Азии и Карибском бассейне. Для стран Восточной Африки и Юго-Восточной Азии в 2019 году был организован семинар «Подготовка инструкторов по мониторингу и оценке пласт</w:t>
      </w:r>
      <w:r w:rsidR="001420B4">
        <w:rPr>
          <w:rFonts w:eastAsia="Times New Roman"/>
          <w:szCs w:val="20"/>
          <w:lang w:val="ru-RU"/>
        </w:rPr>
        <w:t>икового</w:t>
      </w:r>
      <w:r w:rsidR="0051558D" w:rsidRPr="0051558D">
        <w:rPr>
          <w:rFonts w:eastAsia="Times New Roman"/>
          <w:szCs w:val="20"/>
          <w:lang w:val="ru-RU"/>
        </w:rPr>
        <w:t xml:space="preserve"> мусора и микрочастиц пластмасс</w:t>
      </w:r>
      <w:r w:rsidR="00E05BB7">
        <w:rPr>
          <w:rFonts w:eastAsia="Times New Roman"/>
          <w:szCs w:val="20"/>
          <w:lang w:val="ru-RU"/>
        </w:rPr>
        <w:t xml:space="preserve"> в морской среде</w:t>
      </w:r>
      <w:r w:rsidR="0051558D" w:rsidRPr="0051558D">
        <w:rPr>
          <w:rFonts w:eastAsia="Times New Roman"/>
          <w:szCs w:val="20"/>
          <w:lang w:val="ru-RU"/>
        </w:rPr>
        <w:t>»</w:t>
      </w:r>
      <w:r w:rsidR="0051558D" w:rsidRPr="0051558D">
        <w:rPr>
          <w:szCs w:val="20"/>
          <w:vertAlign w:val="superscript"/>
          <w:lang w:val="ru-RU"/>
        </w:rPr>
        <w:footnoteReference w:id="11"/>
      </w:r>
      <w:r w:rsidR="0051558D" w:rsidRPr="0051558D">
        <w:rPr>
          <w:rFonts w:eastAsia="Times New Roman"/>
          <w:szCs w:val="20"/>
          <w:lang w:val="ru-RU"/>
        </w:rPr>
        <w:t xml:space="preserve"> на основе руководящих принципов ГЕСАМП, и планируется проведение дополнительных региональных и национальных учебных мероприятий. </w:t>
      </w:r>
    </w:p>
    <w:p w14:paraId="337D0C38" w14:textId="14D57636" w:rsidR="0051558D" w:rsidRPr="0051558D" w:rsidRDefault="00767428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4C1B43">
        <w:rPr>
          <w:rFonts w:eastAsia="Times New Roman"/>
          <w:szCs w:val="20"/>
          <w:lang w:val="ru-RU"/>
        </w:rPr>
        <w:lastRenderedPageBreak/>
        <w:t>22.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ЮНЕП готовит две дополнительные методологии оценки мусора и микрочастиц пластмасс</w:t>
      </w:r>
      <w:r w:rsidR="00E05BB7">
        <w:rPr>
          <w:rFonts w:eastAsia="Times New Roman"/>
          <w:szCs w:val="20"/>
          <w:lang w:val="ru-RU"/>
        </w:rPr>
        <w:t xml:space="preserve"> в морской среде</w:t>
      </w:r>
      <w:r w:rsidR="0051558D" w:rsidRPr="0051558D">
        <w:rPr>
          <w:rFonts w:eastAsia="Times New Roman"/>
          <w:szCs w:val="20"/>
          <w:lang w:val="ru-RU"/>
        </w:rPr>
        <w:t>, включая пластмассы, поступающие с суши и из пресноводных систем: а) пластмассы, микрочастицы пластмасс и микроволокна в сточных водах: оценка присутствия пластмассы, микрочастиц пластмасс и микроволокна в сточных водах и осадке с инструментарием/каталогом вариантов удаления этих загрязнителей; b) руководящие принципы гармонизации методологий мониторинга макро- и микрочастиц пластмасс в реках и озерах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12"/>
      </w:r>
      <w:r w:rsidR="0051558D" w:rsidRPr="0051558D">
        <w:rPr>
          <w:rFonts w:eastAsia="Times New Roman"/>
          <w:szCs w:val="20"/>
          <w:lang w:val="ru-RU"/>
        </w:rPr>
        <w:t xml:space="preserve">. Эти руководящие принципы будут способствовать разработке и осуществлению программ мониторинга рек, озер, водохранилищ и водоочистных сооружений, а также укреплению национального потенциала в области отчетности по задачам 6.3 (качество воды) и 14.1 (загрязнение морской среды) в рамках целей в области устойчивого развития. Кроме того, ЮНЕП включит эти руководящие принципы в свои программы подготовки инструкторов и массовые открытые онлайн-курсы по морскому мусору, на которых на сегодняшний день зарегистрировано более 30 000 участников. Планируется осуществление пилотных проектов по применению этих новых методологий мониторинга крупных речных систем по всему миру в координации с другими соответствующими субъектами, выступающими на реках в роли путей поступления. </w:t>
      </w:r>
    </w:p>
    <w:p w14:paraId="5F4AA26C" w14:textId="53CD221E" w:rsidR="0051558D" w:rsidRPr="0051558D" w:rsidRDefault="00BC01C1" w:rsidP="0051558D">
      <w:pPr>
        <w:spacing w:after="120"/>
        <w:ind w:left="1247"/>
        <w:rPr>
          <w:szCs w:val="20"/>
          <w:lang w:val="ru-RU"/>
        </w:rPr>
      </w:pPr>
      <w:r w:rsidRPr="004C1B43">
        <w:rPr>
          <w:rFonts w:eastAsia="Times New Roman"/>
          <w:szCs w:val="20"/>
          <w:lang w:val="ru-RU"/>
        </w:rPr>
        <w:t>23.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Сбор данных по показателю 11.6.1</w:t>
      </w:r>
      <w:r w:rsidR="00450833" w:rsidRPr="0051558D">
        <w:rPr>
          <w:rFonts w:eastAsia="Times New Roman"/>
          <w:szCs w:val="20"/>
          <w:vertAlign w:val="superscript"/>
          <w:lang w:val="ru-RU"/>
        </w:rPr>
        <w:footnoteReference w:id="13"/>
      </w:r>
      <w:r w:rsidR="0051558D" w:rsidRPr="0051558D">
        <w:rPr>
          <w:rFonts w:eastAsia="Times New Roman"/>
          <w:szCs w:val="20"/>
          <w:lang w:val="ru-RU"/>
        </w:rPr>
        <w:t xml:space="preserve"> в рамках целей в области устойчивого развития также проводился совместно с ООН-Хабитат в Кении и на Сейшельских Островах. В результате проведенных обследований и семинаров для заинтересованных сторон были определены ключевые проекты по инфраструктуре обращения с отходами в целях сокращения объема образующегося морского пласт</w:t>
      </w:r>
      <w:r w:rsidR="00450833">
        <w:rPr>
          <w:rFonts w:eastAsia="Times New Roman"/>
          <w:szCs w:val="20"/>
          <w:lang w:val="ru-RU"/>
        </w:rPr>
        <w:t>иков</w:t>
      </w:r>
      <w:r w:rsidR="0051558D" w:rsidRPr="0051558D">
        <w:rPr>
          <w:rFonts w:eastAsia="Times New Roman"/>
          <w:szCs w:val="20"/>
          <w:lang w:val="ru-RU"/>
        </w:rPr>
        <w:t>ого мусора. Сбор данных также способствовал разработке модели утечки пластмассовых отходов в городах и подпоказателя показателя 11.6.1, отражающего потенциал утечки пластмассовых отходов в городах, который будет включен в национальные кадастры источников, наряду с показателями выполнения задачи 6.3 в рамках целей в области устойчивого развития. В процессе реализации находятся еще 12 оценок городов, а также поддерживаемый Глобальным экологическим фондом проект в четырех странах, предусматривающий применение на уровне городов подходов, основанных на замкнутом цикле, в целях предотвращения образования морского пластикового мусора.</w:t>
      </w:r>
    </w:p>
    <w:p w14:paraId="4D460085" w14:textId="77777777" w:rsidR="0051558D" w:rsidRPr="0051558D" w:rsidRDefault="0051558D" w:rsidP="003747B4">
      <w:pPr>
        <w:tabs>
          <w:tab w:val="right" w:pos="851"/>
        </w:tabs>
        <w:spacing w:after="120"/>
        <w:ind w:left="1247" w:right="284" w:hanging="1247"/>
        <w:rPr>
          <w:rFonts w:eastAsia="Times New Roman"/>
          <w:b/>
          <w:bCs/>
          <w:szCs w:val="20"/>
          <w:lang w:val="ru-RU"/>
        </w:rPr>
      </w:pPr>
      <w:r w:rsidRPr="0051558D">
        <w:rPr>
          <w:rFonts w:eastAsia="Times New Roman"/>
          <w:b/>
          <w:bCs/>
          <w:szCs w:val="20"/>
          <w:lang w:val="ru-RU"/>
        </w:rPr>
        <w:tab/>
        <w:t>4.</w:t>
      </w:r>
      <w:r w:rsidRPr="0051558D">
        <w:rPr>
          <w:rFonts w:eastAsia="Times New Roman"/>
          <w:b/>
          <w:bCs/>
          <w:szCs w:val="20"/>
          <w:lang w:val="ru-RU"/>
        </w:rPr>
        <w:tab/>
        <w:t>Знания и коммуникационные средства и платформа доставки</w:t>
      </w:r>
    </w:p>
    <w:p w14:paraId="118ECEC1" w14:textId="769D1D5B" w:rsidR="0051558D" w:rsidRPr="0051558D" w:rsidRDefault="00BC01C1" w:rsidP="0051558D">
      <w:pPr>
        <w:spacing w:after="120"/>
        <w:ind w:left="1247"/>
        <w:rPr>
          <w:szCs w:val="20"/>
          <w:lang w:val="ru-RU"/>
        </w:rPr>
      </w:pPr>
      <w:r w:rsidRPr="004C1B43">
        <w:rPr>
          <w:rFonts w:eastAsia="Times New Roman"/>
          <w:szCs w:val="20"/>
          <w:lang w:val="ru-RU"/>
        </w:rPr>
        <w:t>24.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Это направление работы преследует цель углубления и расширения охвата знаний, предназначенных для использования заинтересованными сторонами, с тем чтобы они могли принимать обоснованные решения и действовать, используя для этого ряд имеющихся средств, инструментов и методов обучения. Обеспечивается поддержка в области:</w:t>
      </w:r>
    </w:p>
    <w:p w14:paraId="2E9E6CD3" w14:textId="25B5D530" w:rsidR="0051558D" w:rsidRPr="0051558D" w:rsidRDefault="00166A11" w:rsidP="00B27616">
      <w:pPr>
        <w:spacing w:after="120"/>
        <w:ind w:left="1247" w:firstLine="624"/>
        <w:rPr>
          <w:rFonts w:eastAsia="MS Mincho"/>
          <w:szCs w:val="20"/>
          <w:lang w:val="ru-RU"/>
        </w:rPr>
      </w:pPr>
      <w:r>
        <w:rPr>
          <w:rFonts w:eastAsia="Times New Roman"/>
          <w:szCs w:val="20"/>
        </w:rPr>
        <w:t>a</w:t>
      </w:r>
      <w:r w:rsidRPr="004C1B43">
        <w:rPr>
          <w:rFonts w:eastAsia="Times New Roman"/>
          <w:szCs w:val="20"/>
          <w:lang w:val="ru-RU"/>
        </w:rPr>
        <w:t>)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разработки руководства для законодательных органов по регулированию использования одноразовых изделий из пластмассы с более широким набором инструментов политики, планируемым в рамках Платформы правовой и экологической помощи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14"/>
      </w:r>
      <w:r w:rsidR="0051558D" w:rsidRPr="0051558D">
        <w:rPr>
          <w:rFonts w:eastAsia="Times New Roman"/>
          <w:szCs w:val="20"/>
          <w:lang w:val="ru-RU"/>
        </w:rPr>
        <w:t xml:space="preserve">; </w:t>
      </w:r>
    </w:p>
    <w:p w14:paraId="0EC1A2A9" w14:textId="6140B392" w:rsidR="0051558D" w:rsidRPr="0051558D" w:rsidRDefault="00166A11" w:rsidP="00B27616">
      <w:pPr>
        <w:spacing w:after="120"/>
        <w:ind w:left="1247" w:firstLine="624"/>
        <w:rPr>
          <w:rFonts w:eastAsia="MS Mincho"/>
          <w:szCs w:val="20"/>
          <w:lang w:val="ru-RU"/>
        </w:rPr>
      </w:pPr>
      <w:r>
        <w:rPr>
          <w:rFonts w:eastAsia="Times New Roman"/>
          <w:szCs w:val="20"/>
        </w:rPr>
        <w:t>b</w:t>
      </w:r>
      <w:r w:rsidRPr="004C1B43">
        <w:rPr>
          <w:rFonts w:eastAsia="Times New Roman"/>
          <w:szCs w:val="20"/>
          <w:lang w:val="ru-RU"/>
        </w:rPr>
        <w:t>)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повышения информированности по вопросам, касающимся экологической справедливости, морского мусора и пластмасс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15"/>
      </w:r>
      <w:r w:rsidR="0051558D" w:rsidRPr="0051558D">
        <w:rPr>
          <w:rFonts w:eastAsia="Times New Roman"/>
          <w:szCs w:val="20"/>
          <w:lang w:val="ru-RU"/>
        </w:rPr>
        <w:t xml:space="preserve">; </w:t>
      </w:r>
    </w:p>
    <w:p w14:paraId="3589F63A" w14:textId="03A5CC5B" w:rsidR="0051558D" w:rsidRPr="0051558D" w:rsidRDefault="00FA6C93" w:rsidP="00B27616">
      <w:pPr>
        <w:spacing w:after="120"/>
        <w:ind w:left="1247" w:firstLine="624"/>
        <w:rPr>
          <w:rFonts w:eastAsia="MS Mincho"/>
          <w:szCs w:val="20"/>
          <w:lang w:val="ru-RU"/>
        </w:rPr>
      </w:pPr>
      <w:r>
        <w:rPr>
          <w:rFonts w:eastAsia="Times New Roman"/>
          <w:szCs w:val="20"/>
        </w:rPr>
        <w:t>c</w:t>
      </w:r>
      <w:r w:rsidRPr="004C1B43">
        <w:rPr>
          <w:rFonts w:eastAsia="Times New Roman"/>
          <w:szCs w:val="20"/>
          <w:lang w:val="ru-RU"/>
        </w:rPr>
        <w:t>)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расширения базы знаний, необходимых для оценки рисков </w:t>
      </w:r>
      <w:r w:rsidR="00121C88">
        <w:rPr>
          <w:rFonts w:eastAsia="Times New Roman"/>
          <w:szCs w:val="20"/>
          <w:lang w:val="ru-RU"/>
        </w:rPr>
        <w:t xml:space="preserve">в отношении </w:t>
      </w:r>
      <w:r w:rsidR="00121C88" w:rsidRPr="0051558D">
        <w:rPr>
          <w:rFonts w:eastAsia="Times New Roman"/>
          <w:szCs w:val="20"/>
          <w:lang w:val="ru-RU"/>
        </w:rPr>
        <w:t>морского мусора</w:t>
      </w:r>
      <w:r w:rsidR="00121C88" w:rsidRPr="0051558D" w:rsidDel="00121C88">
        <w:rPr>
          <w:rFonts w:eastAsia="Times New Roman"/>
          <w:szCs w:val="20"/>
          <w:lang w:val="ru-RU"/>
        </w:rPr>
        <w:t xml:space="preserve"> </w:t>
      </w:r>
      <w:r w:rsidR="00121C88">
        <w:rPr>
          <w:rFonts w:eastAsia="Times New Roman"/>
          <w:szCs w:val="20"/>
          <w:lang w:val="ru-RU"/>
        </w:rPr>
        <w:t>на этапах</w:t>
      </w:r>
      <w:r w:rsidR="0051558D" w:rsidRPr="0051558D">
        <w:rPr>
          <w:rFonts w:eastAsia="Times New Roman"/>
          <w:szCs w:val="20"/>
          <w:lang w:val="ru-RU"/>
        </w:rPr>
        <w:t xml:space="preserve"> от источника до </w:t>
      </w:r>
      <w:r w:rsidR="00121C88">
        <w:rPr>
          <w:rFonts w:eastAsia="Times New Roman"/>
          <w:szCs w:val="20"/>
          <w:lang w:val="ru-RU"/>
        </w:rPr>
        <w:t>преобразования</w:t>
      </w:r>
      <w:r w:rsidR="0051558D" w:rsidRPr="0051558D">
        <w:rPr>
          <w:rFonts w:eastAsia="Times New Roman"/>
          <w:szCs w:val="20"/>
          <w:lang w:val="ru-RU"/>
        </w:rPr>
        <w:t>, включая новые загрязнители, нано</w:t>
      </w:r>
      <w:r w:rsidR="00121C88">
        <w:rPr>
          <w:rFonts w:eastAsia="Times New Roman"/>
          <w:szCs w:val="20"/>
          <w:lang w:val="ru-RU"/>
        </w:rPr>
        <w:t xml:space="preserve">частицы </w:t>
      </w:r>
      <w:r w:rsidR="0051558D" w:rsidRPr="0051558D">
        <w:rPr>
          <w:rFonts w:eastAsia="Times New Roman"/>
          <w:szCs w:val="20"/>
          <w:lang w:val="ru-RU"/>
        </w:rPr>
        <w:t>пласт</w:t>
      </w:r>
      <w:r w:rsidR="00121C88">
        <w:rPr>
          <w:rFonts w:eastAsia="Times New Roman"/>
          <w:szCs w:val="20"/>
          <w:lang w:val="ru-RU"/>
        </w:rPr>
        <w:t>масс</w:t>
      </w:r>
      <w:r w:rsidR="0051558D" w:rsidRPr="0051558D">
        <w:rPr>
          <w:rFonts w:eastAsia="Times New Roman"/>
          <w:szCs w:val="20"/>
          <w:lang w:val="ru-RU"/>
        </w:rPr>
        <w:t xml:space="preserve"> и пластмассы в качестве векторов, благодаря работе таких организаций, как ГЕСАМП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16"/>
      </w:r>
      <w:r w:rsidR="0051558D" w:rsidRPr="0051558D">
        <w:rPr>
          <w:rFonts w:eastAsia="Times New Roman"/>
          <w:szCs w:val="20"/>
          <w:lang w:val="ru-RU"/>
        </w:rPr>
        <w:t>;</w:t>
      </w:r>
    </w:p>
    <w:p w14:paraId="08B7D7D4" w14:textId="6D7B991A" w:rsidR="0051558D" w:rsidRPr="0051558D" w:rsidRDefault="00FA6C93" w:rsidP="00B27616">
      <w:pPr>
        <w:spacing w:after="120"/>
        <w:ind w:left="1247" w:firstLine="624"/>
        <w:rPr>
          <w:rFonts w:eastAsia="MS Mincho"/>
          <w:szCs w:val="20"/>
          <w:lang w:val="ru-RU"/>
        </w:rPr>
      </w:pPr>
      <w:r>
        <w:rPr>
          <w:rFonts w:eastAsia="Times New Roman"/>
          <w:szCs w:val="20"/>
        </w:rPr>
        <w:t>d</w:t>
      </w:r>
      <w:r w:rsidRPr="00D30E85">
        <w:rPr>
          <w:rFonts w:eastAsia="Times New Roman"/>
          <w:szCs w:val="20"/>
          <w:lang w:val="ru-RU"/>
        </w:rPr>
        <w:t>)</w:t>
      </w:r>
      <w:r w:rsidRPr="00D30E85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анализа текущего состояния знаний и пробелов в знаниях о роли химических веществ в пластмассах и их воздействии на окружающую среду и здоровье;</w:t>
      </w:r>
    </w:p>
    <w:p w14:paraId="0FDFA1CE" w14:textId="0A9D6580" w:rsidR="0051558D" w:rsidRPr="0051558D" w:rsidRDefault="00FA6C93" w:rsidP="00B27616">
      <w:pPr>
        <w:spacing w:after="120"/>
        <w:ind w:left="1247" w:firstLine="624"/>
        <w:rPr>
          <w:rFonts w:eastAsia="MS Mincho"/>
          <w:szCs w:val="20"/>
          <w:lang w:val="ru-RU"/>
        </w:rPr>
      </w:pPr>
      <w:r>
        <w:rPr>
          <w:rFonts w:eastAsia="Times New Roman"/>
          <w:szCs w:val="20"/>
        </w:rPr>
        <w:t>e</w:t>
      </w:r>
      <w:r w:rsidRPr="00D30E85">
        <w:rPr>
          <w:rFonts w:eastAsia="Times New Roman"/>
          <w:szCs w:val="20"/>
          <w:lang w:val="ru-RU"/>
        </w:rPr>
        <w:t>)</w:t>
      </w:r>
      <w:r w:rsidRPr="00D30E85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подготовки публикации «</w:t>
      </w:r>
      <w:r w:rsidR="0051558D" w:rsidRPr="00E5239B">
        <w:rPr>
          <w:rFonts w:eastAsia="Times New Roman"/>
          <w:szCs w:val="20"/>
          <w:lang w:val="en-US"/>
        </w:rPr>
        <w:t>Single-Use Plastic Bags and Their Alternatives: Recommendations from Life Cycle Assessments</w:t>
      </w:r>
      <w:r w:rsidR="0051558D" w:rsidRPr="0051558D">
        <w:rPr>
          <w:rFonts w:eastAsia="Times New Roman"/>
          <w:szCs w:val="20"/>
          <w:lang w:val="ru-RU"/>
        </w:rPr>
        <w:t>» («</w:t>
      </w:r>
      <w:r w:rsidR="006D7466">
        <w:rPr>
          <w:rFonts w:eastAsia="Times New Roman"/>
          <w:szCs w:val="20"/>
          <w:lang w:val="ru-RU"/>
        </w:rPr>
        <w:t>П</w:t>
      </w:r>
      <w:r w:rsidR="0051558D" w:rsidRPr="0051558D">
        <w:rPr>
          <w:rFonts w:eastAsia="Times New Roman"/>
          <w:szCs w:val="20"/>
          <w:lang w:val="ru-RU"/>
        </w:rPr>
        <w:t xml:space="preserve">ластиковые пакеты </w:t>
      </w:r>
      <w:r w:rsidR="006D7466">
        <w:rPr>
          <w:rFonts w:eastAsia="Times New Roman"/>
          <w:szCs w:val="20"/>
          <w:lang w:val="ru-RU"/>
        </w:rPr>
        <w:t xml:space="preserve">одноразового использования </w:t>
      </w:r>
      <w:r w:rsidR="0051558D" w:rsidRPr="0051558D">
        <w:rPr>
          <w:rFonts w:eastAsia="Times New Roman"/>
          <w:szCs w:val="20"/>
          <w:lang w:val="ru-RU"/>
        </w:rPr>
        <w:t>и их альтернативы: рекомендации по оценке жизненного цикла»);</w:t>
      </w:r>
    </w:p>
    <w:p w14:paraId="114F21BF" w14:textId="05658762" w:rsidR="0051558D" w:rsidRPr="0051558D" w:rsidRDefault="00FA6C93" w:rsidP="00B27616">
      <w:pPr>
        <w:spacing w:after="120"/>
        <w:ind w:left="1247" w:firstLine="624"/>
        <w:rPr>
          <w:rFonts w:eastAsia="MS Mincho"/>
          <w:szCs w:val="20"/>
          <w:lang w:val="ru-RU"/>
        </w:rPr>
      </w:pPr>
      <w:r>
        <w:rPr>
          <w:rFonts w:eastAsia="Times New Roman"/>
          <w:szCs w:val="20"/>
        </w:rPr>
        <w:lastRenderedPageBreak/>
        <w:t>f</w:t>
      </w:r>
      <w:r w:rsidRPr="00D30E85">
        <w:rPr>
          <w:rFonts w:eastAsia="Times New Roman"/>
          <w:szCs w:val="20"/>
          <w:lang w:val="ru-RU"/>
        </w:rPr>
        <w:t>)</w:t>
      </w:r>
      <w:r w:rsidRPr="00D30E85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информационно-пропагандистской деятельности, подготовки учебных материалов и привлечения молодежи, в том числе посредством онлайновых курсов, а также движения «Tide Turners Plastic Challenge Badge», в котором приняли участие более 30 000</w:t>
      </w:r>
      <w:r>
        <w:rPr>
          <w:rFonts w:eastAsia="Times New Roman"/>
          <w:szCs w:val="20"/>
        </w:rPr>
        <w:t> </w:t>
      </w:r>
      <w:r w:rsidR="0051558D" w:rsidRPr="0051558D">
        <w:rPr>
          <w:rFonts w:eastAsia="Times New Roman"/>
          <w:szCs w:val="20"/>
          <w:lang w:val="ru-RU"/>
        </w:rPr>
        <w:t xml:space="preserve">молодых людей; </w:t>
      </w:r>
    </w:p>
    <w:p w14:paraId="23CE61EC" w14:textId="534B99F1" w:rsidR="0051558D" w:rsidRPr="0051558D" w:rsidRDefault="00FA6C93" w:rsidP="00B27616">
      <w:pPr>
        <w:spacing w:after="120"/>
        <w:ind w:left="1247" w:firstLine="624"/>
        <w:rPr>
          <w:rFonts w:eastAsia="MS Mincho"/>
          <w:szCs w:val="20"/>
          <w:lang w:val="ru-RU"/>
        </w:rPr>
      </w:pPr>
      <w:r>
        <w:rPr>
          <w:rFonts w:eastAsia="Times New Roman"/>
          <w:szCs w:val="20"/>
        </w:rPr>
        <w:t>g</w:t>
      </w:r>
      <w:r w:rsidRPr="004C1B43">
        <w:rPr>
          <w:rFonts w:eastAsia="Times New Roman"/>
          <w:szCs w:val="20"/>
          <w:lang w:val="ru-RU"/>
        </w:rPr>
        <w:t>)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организации массовых открытых онлайн-курсов по мусору и микрочастицам пластмасс</w:t>
      </w:r>
      <w:r w:rsidR="0008152B">
        <w:rPr>
          <w:rFonts w:eastAsia="Times New Roman"/>
          <w:szCs w:val="20"/>
          <w:lang w:val="ru-RU"/>
        </w:rPr>
        <w:t xml:space="preserve"> в морской среде</w:t>
      </w:r>
      <w:r w:rsidR="0051558D" w:rsidRPr="0051558D">
        <w:rPr>
          <w:rFonts w:eastAsia="Times New Roman"/>
          <w:szCs w:val="20"/>
          <w:lang w:val="ru-RU"/>
        </w:rPr>
        <w:t>, в четырех цикл</w:t>
      </w:r>
      <w:r w:rsidR="003B5415">
        <w:rPr>
          <w:rFonts w:eastAsia="Times New Roman"/>
          <w:szCs w:val="20"/>
          <w:lang w:val="ru-RU"/>
        </w:rPr>
        <w:t>ах</w:t>
      </w:r>
      <w:r w:rsidR="0051558D" w:rsidRPr="0051558D">
        <w:rPr>
          <w:rFonts w:eastAsia="Times New Roman"/>
          <w:szCs w:val="20"/>
          <w:lang w:val="ru-RU"/>
        </w:rPr>
        <w:t xml:space="preserve"> которых обучение прошли более 30 000 человек, причем последний цикл был открыт в октябре 2020 года на 10 языках, а также «мастер</w:t>
      </w:r>
      <w:r w:rsidR="00D57D2E">
        <w:rPr>
          <w:rFonts w:eastAsia="Times New Roman"/>
          <w:szCs w:val="20"/>
          <w:lang w:val="ru-RU"/>
        </w:rPr>
        <w:noBreakHyphen/>
      </w:r>
      <w:r w:rsidR="0051558D" w:rsidRPr="0051558D">
        <w:rPr>
          <w:rFonts w:eastAsia="Times New Roman"/>
          <w:szCs w:val="20"/>
          <w:lang w:val="ru-RU"/>
        </w:rPr>
        <w:t>классов» по методологиям мониторинга и подходам к политике, открытие которых состоится в 2021 году;</w:t>
      </w:r>
    </w:p>
    <w:p w14:paraId="3F8F63CA" w14:textId="61863787" w:rsidR="0051558D" w:rsidRPr="0051558D" w:rsidRDefault="00FA6C93" w:rsidP="00B27616">
      <w:pPr>
        <w:spacing w:after="120"/>
        <w:ind w:left="1247" w:firstLine="624"/>
        <w:rPr>
          <w:rFonts w:eastAsia="MS Mincho"/>
          <w:szCs w:val="20"/>
          <w:lang w:val="ru-RU"/>
        </w:rPr>
      </w:pPr>
      <w:r>
        <w:rPr>
          <w:rFonts w:eastAsia="Times New Roman"/>
          <w:szCs w:val="20"/>
        </w:rPr>
        <w:t>h</w:t>
      </w:r>
      <w:r w:rsidRPr="004C1B43">
        <w:rPr>
          <w:rFonts w:eastAsia="Times New Roman"/>
          <w:szCs w:val="20"/>
          <w:lang w:val="ru-RU"/>
        </w:rPr>
        <w:t>)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проведения анализа финансовых инструментов и мер, включая первое глобальное исследование в отношении страховой отрасли по связанным с загрязнением пластмассами рискам «Unwrapping the risk of plastic pollution to the insurance industry» («Распространение риска загрязнения пластмассами на страховую отрасль»), выполненное в рамках Финансовой инициатив</w:t>
      </w:r>
      <w:r w:rsidR="003B5415">
        <w:rPr>
          <w:rFonts w:eastAsia="Times New Roman"/>
          <w:szCs w:val="20"/>
          <w:lang w:val="ru-RU"/>
        </w:rPr>
        <w:t>ы</w:t>
      </w:r>
      <w:r w:rsidR="0051558D" w:rsidRPr="0051558D">
        <w:rPr>
          <w:rFonts w:eastAsia="Times New Roman"/>
          <w:szCs w:val="20"/>
          <w:lang w:val="ru-RU"/>
        </w:rPr>
        <w:t xml:space="preserve"> ЮНЕП и Глобального партнерства по морскому мусору. Запланирована последующая работа с использованием результатов исследования по выявлению финансовых ресурсов и механизмов, которое должно быть проведено в соответствии с пунктом</w:t>
      </w:r>
      <w:r w:rsidR="00752F15">
        <w:rPr>
          <w:rFonts w:eastAsia="Times New Roman"/>
          <w:szCs w:val="20"/>
          <w:lang w:val="ru-RU"/>
        </w:rPr>
        <w:t> </w:t>
      </w:r>
      <w:r w:rsidR="0051558D" w:rsidRPr="0051558D">
        <w:rPr>
          <w:rFonts w:eastAsia="Times New Roman"/>
          <w:szCs w:val="20"/>
          <w:lang w:val="ru-RU"/>
        </w:rPr>
        <w:t>7 b) резолюции 4/6;</w:t>
      </w:r>
    </w:p>
    <w:p w14:paraId="7AF41A0A" w14:textId="165DA678" w:rsidR="0051558D" w:rsidRPr="0051558D" w:rsidRDefault="00D57D2E" w:rsidP="00B27616">
      <w:pPr>
        <w:spacing w:after="120"/>
        <w:ind w:left="1247" w:firstLine="624"/>
        <w:rPr>
          <w:rFonts w:eastAsia="MS Mincho"/>
          <w:szCs w:val="20"/>
          <w:lang w:val="ru-RU"/>
        </w:rPr>
      </w:pPr>
      <w:r>
        <w:rPr>
          <w:rFonts w:eastAsia="Times New Roman"/>
          <w:szCs w:val="20"/>
        </w:rPr>
        <w:t>i</w:t>
      </w:r>
      <w:r w:rsidRPr="004C1B43">
        <w:rPr>
          <w:rFonts w:eastAsia="Times New Roman"/>
          <w:szCs w:val="20"/>
          <w:lang w:val="ru-RU"/>
        </w:rPr>
        <w:t>)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осуществления и дальнейшего развития кампании «Чистые моря», в которой участвуют более 60 правительств, с проведением среднесрочного обзора и обследования для получения результатов и внесения вклада в планирование наиболее эффективных мер поддержки в период до 2022 года. В Карибском и Тихоокеанском регионах было начато проведение региональных кампаний «Чистые моря», и был осуществлен ряд мероприятий по активизации деятельности, связанной с мусором и микрочастицами пластмасс</w:t>
      </w:r>
      <w:r w:rsidR="0008152B">
        <w:rPr>
          <w:rFonts w:eastAsia="Times New Roman"/>
          <w:szCs w:val="20"/>
          <w:lang w:val="ru-RU"/>
        </w:rPr>
        <w:t xml:space="preserve"> </w:t>
      </w:r>
      <w:bookmarkStart w:id="1" w:name="_Hlk60653133"/>
      <w:r w:rsidR="0008152B">
        <w:rPr>
          <w:rFonts w:eastAsia="Times New Roman"/>
          <w:szCs w:val="20"/>
          <w:lang w:val="ru-RU"/>
        </w:rPr>
        <w:t>в морской среде</w:t>
      </w:r>
      <w:bookmarkEnd w:id="1"/>
      <w:r w:rsidR="0051558D" w:rsidRPr="0051558D">
        <w:rPr>
          <w:rFonts w:eastAsia="Times New Roman"/>
          <w:szCs w:val="20"/>
          <w:lang w:val="ru-RU"/>
        </w:rPr>
        <w:t>.</w:t>
      </w:r>
    </w:p>
    <w:p w14:paraId="0197F3CA" w14:textId="21C7FCFF" w:rsidR="0051558D" w:rsidRPr="0051558D" w:rsidRDefault="0051558D" w:rsidP="003747B4">
      <w:pPr>
        <w:tabs>
          <w:tab w:val="right" w:pos="851"/>
        </w:tabs>
        <w:spacing w:after="120"/>
        <w:ind w:left="1247" w:right="284" w:hanging="1247"/>
        <w:rPr>
          <w:rFonts w:eastAsia="Times New Roman"/>
          <w:b/>
          <w:bCs/>
          <w:sz w:val="24"/>
          <w:szCs w:val="24"/>
          <w:lang w:val="ru-RU"/>
        </w:rPr>
      </w:pPr>
      <w:r w:rsidRPr="0051558D">
        <w:rPr>
          <w:rFonts w:eastAsia="Times New Roman"/>
          <w:b/>
          <w:bCs/>
          <w:sz w:val="24"/>
          <w:szCs w:val="24"/>
          <w:lang w:val="ru-RU"/>
        </w:rPr>
        <w:tab/>
        <w:t>B.</w:t>
      </w:r>
      <w:r w:rsidRPr="0051558D">
        <w:rPr>
          <w:rFonts w:eastAsia="Times New Roman"/>
          <w:b/>
          <w:bCs/>
          <w:sz w:val="24"/>
          <w:szCs w:val="24"/>
          <w:lang w:val="ru-RU"/>
        </w:rPr>
        <w:tab/>
        <w:t>Осуществление пункта 2 резолюции 4/6: укрепление научно-технических знаний в отношении морского мусора, включая пластиковый мусор и микрочастицы пластмасс</w:t>
      </w:r>
      <w:r w:rsidR="00F26254">
        <w:rPr>
          <w:rFonts w:eastAsia="Times New Roman"/>
          <w:b/>
          <w:bCs/>
          <w:sz w:val="24"/>
          <w:szCs w:val="24"/>
          <w:lang w:val="ru-RU"/>
        </w:rPr>
        <w:t xml:space="preserve"> </w:t>
      </w:r>
      <w:r w:rsidR="00F26254" w:rsidRPr="00F26254">
        <w:rPr>
          <w:rFonts w:eastAsia="Times New Roman"/>
          <w:b/>
          <w:bCs/>
          <w:sz w:val="24"/>
          <w:szCs w:val="24"/>
          <w:lang w:val="ru-RU"/>
        </w:rPr>
        <w:t>в морской среде</w:t>
      </w:r>
    </w:p>
    <w:p w14:paraId="3D702D21" w14:textId="333B1563" w:rsidR="0051558D" w:rsidRPr="0051558D" w:rsidRDefault="00D57D2E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4C1B43">
        <w:rPr>
          <w:rFonts w:eastAsia="Times New Roman"/>
          <w:szCs w:val="20"/>
          <w:lang w:val="ru-RU"/>
        </w:rPr>
        <w:t>25.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Директор-исполнитель ЮНЕП созвал научно-консультативный комитет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17"/>
      </w:r>
      <w:r w:rsidR="0051558D" w:rsidRPr="0051558D">
        <w:rPr>
          <w:rFonts w:eastAsia="Times New Roman"/>
          <w:szCs w:val="20"/>
          <w:lang w:val="ru-RU"/>
        </w:rPr>
        <w:t xml:space="preserve"> для руководства осуществлением пункта 2 резолюции 4/6, включая подготовку оценки источников, путей поступления и опасности мусора, включая загрязнение пластиковым мусором и микрочастицами пластмасс, в соответствии с подпунктом 2 b). ЮНЕП разработала концептуальный подход к оценке, установила параметры для выявления направлений, в которых необходимо провести дополнительные исследования, и в целом опиралась на доклад ЮНЕП 2016 года «Пластиковый мусор и </w:t>
      </w:r>
      <w:r w:rsidR="00992B9A" w:rsidRPr="00992B9A">
        <w:rPr>
          <w:rFonts w:eastAsia="Times New Roman"/>
          <w:szCs w:val="20"/>
          <w:lang w:val="ru-RU"/>
        </w:rPr>
        <w:t>микрочастицы пластмасс</w:t>
      </w:r>
      <w:r w:rsidR="00992B9A" w:rsidRPr="0051558D">
        <w:rPr>
          <w:rFonts w:eastAsia="Times New Roman"/>
          <w:szCs w:val="20"/>
          <w:lang w:val="ru-RU"/>
        </w:rPr>
        <w:t xml:space="preserve"> </w:t>
      </w:r>
      <w:r w:rsidR="0051558D" w:rsidRPr="0051558D">
        <w:rPr>
          <w:rFonts w:eastAsia="Times New Roman"/>
          <w:szCs w:val="20"/>
          <w:lang w:val="ru-RU"/>
        </w:rPr>
        <w:t xml:space="preserve">в Мировом океане: Глобальное предостережение и исследование, призыв к действиям и руководство по изменению направления политики» при подготовке оценки. На основе этой оценки ЮНЕП будет также рекомендовать показатели в соответствии с просьбой, содержащейся в подпункте 2 с). Доклад об оценке будет представлен в качестве информационного документа пятой сессии Ассамблеи по окружающей среде. </w:t>
      </w:r>
    </w:p>
    <w:p w14:paraId="13800CEE" w14:textId="10418D58" w:rsidR="0051558D" w:rsidRPr="0051558D" w:rsidRDefault="0051558D" w:rsidP="003747B4">
      <w:pPr>
        <w:tabs>
          <w:tab w:val="right" w:pos="851"/>
        </w:tabs>
        <w:spacing w:after="120"/>
        <w:ind w:left="1247" w:right="284" w:hanging="1247"/>
        <w:rPr>
          <w:b/>
          <w:bCs/>
          <w:sz w:val="24"/>
          <w:szCs w:val="24"/>
          <w:lang w:val="ru-RU"/>
        </w:rPr>
      </w:pPr>
      <w:bookmarkStart w:id="2" w:name="_Hlk55378917"/>
      <w:r w:rsidRPr="0051558D">
        <w:rPr>
          <w:rFonts w:eastAsia="Times New Roman"/>
          <w:b/>
          <w:bCs/>
          <w:sz w:val="24"/>
          <w:szCs w:val="24"/>
          <w:lang w:val="ru-RU"/>
        </w:rPr>
        <w:tab/>
        <w:t>C.</w:t>
      </w:r>
      <w:r w:rsidRPr="0051558D">
        <w:rPr>
          <w:rFonts w:eastAsia="Times New Roman"/>
          <w:b/>
          <w:bCs/>
          <w:sz w:val="24"/>
          <w:szCs w:val="24"/>
          <w:lang w:val="ru-RU"/>
        </w:rPr>
        <w:tab/>
        <w:t xml:space="preserve">Осуществление пункта 3 резолюции 4/6: создание цифровой платформы многостороннего партнерства по мусору и </w:t>
      </w:r>
      <w:bookmarkEnd w:id="2"/>
      <w:r w:rsidRPr="0051558D">
        <w:rPr>
          <w:rFonts w:eastAsia="Times New Roman"/>
          <w:b/>
          <w:bCs/>
          <w:sz w:val="24"/>
          <w:szCs w:val="24"/>
          <w:lang w:val="ru-RU"/>
        </w:rPr>
        <w:t>микрочастицам пластмасс</w:t>
      </w:r>
      <w:r w:rsidR="001F38DE">
        <w:rPr>
          <w:rFonts w:eastAsia="Times New Roman"/>
          <w:b/>
          <w:bCs/>
          <w:sz w:val="24"/>
          <w:szCs w:val="24"/>
          <w:lang w:val="ru-RU"/>
        </w:rPr>
        <w:t xml:space="preserve"> в морской среде</w:t>
      </w:r>
    </w:p>
    <w:p w14:paraId="327CBF68" w14:textId="2E7C0658" w:rsidR="0051558D" w:rsidRPr="0051558D" w:rsidRDefault="00D57D2E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4C1B43">
        <w:rPr>
          <w:rFonts w:eastAsia="Times New Roman"/>
          <w:szCs w:val="20"/>
          <w:lang w:val="ru-RU"/>
        </w:rPr>
        <w:t>26.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ЮНЕП в сотрудничестве с Научным, политическим и деловым форумом в феврале 2021</w:t>
      </w:r>
      <w:r w:rsidR="00117899">
        <w:rPr>
          <w:rFonts w:eastAsia="Times New Roman"/>
          <w:szCs w:val="20"/>
        </w:rPr>
        <w:t> </w:t>
      </w:r>
      <w:r w:rsidR="0051558D" w:rsidRPr="0051558D">
        <w:rPr>
          <w:rFonts w:eastAsia="Times New Roman"/>
          <w:szCs w:val="20"/>
          <w:lang w:val="ru-RU"/>
        </w:rPr>
        <w:t>года приступит к первому этапу создания платформы многостороннего партнерства в качестве «цифровой руки» Глобального партнерства по морскому мусору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18"/>
      </w:r>
      <w:r w:rsidR="0051558D" w:rsidRPr="0051558D">
        <w:rPr>
          <w:rFonts w:eastAsia="Times New Roman"/>
          <w:szCs w:val="20"/>
          <w:lang w:val="ru-RU"/>
        </w:rPr>
        <w:t xml:space="preserve">. Платформа будет обеспечивать: координацию усилий заинтересованных сторон и интеграцию данных и информации, поступающих из многочисленных источников; соединение заинтересованных сторон; выявление пробелов и оказание помощи в определении приоритета мер; координацию и руководство действиями с учетом наилучших имеющихся научных знаний и информации; </w:t>
      </w:r>
      <w:r w:rsidR="0051558D" w:rsidRPr="0051558D">
        <w:rPr>
          <w:rFonts w:eastAsia="Times New Roman"/>
          <w:szCs w:val="20"/>
          <w:lang w:val="ru-RU"/>
        </w:rPr>
        <w:lastRenderedPageBreak/>
        <w:t xml:space="preserve">облегчение постановки задач и оценки прогресса, в том числе в достижении целей в области устойчивого развития и других целей, задач и показателей. </w:t>
      </w:r>
    </w:p>
    <w:p w14:paraId="76C7D46A" w14:textId="549EE633" w:rsidR="0051558D" w:rsidRPr="0051558D" w:rsidRDefault="00117899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4C1B43">
        <w:rPr>
          <w:rFonts w:eastAsia="Times New Roman"/>
          <w:szCs w:val="20"/>
          <w:lang w:val="ru-RU"/>
        </w:rPr>
        <w:t>27.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В партнерстве с компанией «Интернэшнл бизнес машинз» (IBM) была организована пилотная демонстрация работы компонентов платформы, предназначенных для составления перечня и поиска данных, которая была завершена в июне 2020 года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19"/>
      </w:r>
      <w:r w:rsidR="0051558D" w:rsidRPr="0051558D">
        <w:rPr>
          <w:rFonts w:eastAsia="Times New Roman"/>
          <w:szCs w:val="20"/>
          <w:lang w:val="ru-RU"/>
        </w:rPr>
        <w:t xml:space="preserve">. Это демонстрационное мероприятие подтвердило ценность интеграции и анализа данных гражданской науки, позволяющих отчитываться о прогрессе в достижении подпоказателя 14.1.1.b в рамках целей в области устойчивого развития, и обеспечило возможность изучить вопрос о том, как цифровой аватар может стимулировать эмоциональную вовлеченность и в то же время обеспечивать доставку индивидуализированного контента. После пилотной демонстрации на глобальном онлайновом форуме «Act#ForNature» была создана концептуальная архитектура для дальнейшего руководства при проектировании и развитии платформы. </w:t>
      </w:r>
    </w:p>
    <w:p w14:paraId="6B2CEC54" w14:textId="1406D207" w:rsidR="0051558D" w:rsidRPr="0051558D" w:rsidRDefault="00117899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4C1B43">
        <w:rPr>
          <w:rFonts w:eastAsia="Times New Roman"/>
          <w:szCs w:val="20"/>
          <w:lang w:val="ru-RU"/>
        </w:rPr>
        <w:t>28.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Были проведены широкие консультации с заинтересованными сторонами с целью создания стратегических, технологических и информационных партнерств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20"/>
      </w:r>
      <w:r w:rsidR="0051558D" w:rsidRPr="0051558D">
        <w:rPr>
          <w:rFonts w:eastAsia="Times New Roman"/>
          <w:szCs w:val="20"/>
          <w:lang w:val="ru-RU"/>
        </w:rPr>
        <w:t>. Эти консультации также были использованы при разработке первого этапа платформы, основанного на пилотной демонстраци</w:t>
      </w:r>
      <w:r w:rsidR="004A4FBC">
        <w:rPr>
          <w:rFonts w:eastAsia="Times New Roman"/>
          <w:szCs w:val="20"/>
          <w:lang w:val="ru-RU"/>
        </w:rPr>
        <w:t>и</w:t>
      </w:r>
      <w:r w:rsidR="0051558D" w:rsidRPr="0051558D">
        <w:rPr>
          <w:rFonts w:eastAsia="Times New Roman"/>
          <w:szCs w:val="20"/>
          <w:lang w:val="ru-RU"/>
        </w:rPr>
        <w:t xml:space="preserve"> обеспечения доступа к информации, содержащейся во внутренних и внешних базах данных, через единый портал. Заинтересованные стороны, включая правительства, научно-техническое сообщество, хозяйствующи</w:t>
      </w:r>
      <w:r w:rsidR="004A4FBC">
        <w:rPr>
          <w:rFonts w:eastAsia="Times New Roman"/>
          <w:szCs w:val="20"/>
          <w:lang w:val="ru-RU"/>
        </w:rPr>
        <w:t>х</w:t>
      </w:r>
      <w:r w:rsidR="0051558D" w:rsidRPr="0051558D">
        <w:rPr>
          <w:rFonts w:eastAsia="Times New Roman"/>
          <w:szCs w:val="20"/>
          <w:lang w:val="ru-RU"/>
        </w:rPr>
        <w:t xml:space="preserve"> субъект</w:t>
      </w:r>
      <w:r w:rsidR="004A4FBC">
        <w:rPr>
          <w:rFonts w:eastAsia="Times New Roman"/>
          <w:szCs w:val="20"/>
          <w:lang w:val="ru-RU"/>
        </w:rPr>
        <w:t>ов</w:t>
      </w:r>
      <w:r w:rsidR="0051558D" w:rsidRPr="0051558D">
        <w:rPr>
          <w:rFonts w:eastAsia="Times New Roman"/>
          <w:szCs w:val="20"/>
          <w:lang w:val="ru-RU"/>
        </w:rPr>
        <w:t xml:space="preserve"> и неправительственные организации, смогут использовать платформу для поиска данных и информации, использования инструментов картирования и раз</w:t>
      </w:r>
      <w:r w:rsidR="004A4FBC">
        <w:rPr>
          <w:rFonts w:eastAsia="Times New Roman"/>
          <w:szCs w:val="20"/>
          <w:lang w:val="ru-RU"/>
        </w:rPr>
        <w:t>деления</w:t>
      </w:r>
      <w:r w:rsidR="0051558D" w:rsidRPr="0051558D">
        <w:rPr>
          <w:rFonts w:eastAsia="Times New Roman"/>
          <w:szCs w:val="20"/>
          <w:lang w:val="ru-RU"/>
        </w:rPr>
        <w:t xml:space="preserve"> на слои, а также для взаимодействия с другими пользователями. </w:t>
      </w:r>
    </w:p>
    <w:p w14:paraId="35733C3E" w14:textId="2EC99E1D" w:rsidR="0051558D" w:rsidRPr="0051558D" w:rsidRDefault="00117899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4C1B43">
        <w:rPr>
          <w:rFonts w:eastAsia="Times New Roman"/>
          <w:szCs w:val="20"/>
          <w:lang w:val="ru-RU"/>
        </w:rPr>
        <w:t>29.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Платформа будет содержать наборы и слои данных, например, модель потоков пластиковых отходов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21"/>
      </w:r>
      <w:r w:rsidR="0051558D" w:rsidRPr="0051558D">
        <w:rPr>
          <w:rFonts w:eastAsia="Times New Roman"/>
          <w:szCs w:val="20"/>
          <w:lang w:val="ru-RU"/>
        </w:rPr>
        <w:t>, позволяющую оценивать перемещение мусора в окружающей среде, набор инструментов политики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22"/>
      </w:r>
      <w:r w:rsidR="0051558D" w:rsidRPr="0051558D">
        <w:rPr>
          <w:rFonts w:eastAsia="Times New Roman"/>
          <w:szCs w:val="20"/>
          <w:lang w:val="ru-RU"/>
        </w:rPr>
        <w:t xml:space="preserve"> с информацией о национальном законодательстве стран мира, технологический кадастр морского мусора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23"/>
      </w:r>
      <w:r w:rsidR="0051558D" w:rsidRPr="0051558D">
        <w:rPr>
          <w:rFonts w:eastAsia="Times New Roman"/>
          <w:szCs w:val="20"/>
          <w:lang w:val="ru-RU"/>
        </w:rPr>
        <w:t>, онлайновое хранилище информации о текущей деятельности и мерах по сокращению объема пласт</w:t>
      </w:r>
      <w:r w:rsidR="004E7A35">
        <w:rPr>
          <w:rFonts w:eastAsia="Times New Roman"/>
          <w:szCs w:val="20"/>
          <w:lang w:val="ru-RU"/>
        </w:rPr>
        <w:t>ико</w:t>
      </w:r>
      <w:r w:rsidR="0051558D" w:rsidRPr="0051558D">
        <w:rPr>
          <w:rFonts w:eastAsia="Times New Roman"/>
          <w:szCs w:val="20"/>
          <w:lang w:val="ru-RU"/>
        </w:rPr>
        <w:t>вого мусора и микрочастиц пластмасс в морской среде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24"/>
      </w:r>
      <w:r w:rsidR="0051558D" w:rsidRPr="0051558D">
        <w:rPr>
          <w:rFonts w:eastAsia="Times New Roman"/>
          <w:szCs w:val="20"/>
          <w:lang w:val="ru-RU"/>
        </w:rPr>
        <w:t xml:space="preserve">, а также перечень информационных панелей и планов действий по борьбе с морским мусором. К числу дополнительных инструментов с пилотными демонстрациями, которые в настоящее время разрабатываются, относятся интерфейсы для составления перечней технических и финансовых ресурсов и механизмов, средства обеспечения функциональной совместимости моделей и подбора ресурсов. </w:t>
      </w:r>
    </w:p>
    <w:p w14:paraId="20DAD564" w14:textId="59C5D501" w:rsidR="0051558D" w:rsidRPr="0051558D" w:rsidRDefault="002D0656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4C1B43">
        <w:rPr>
          <w:rFonts w:eastAsia="Times New Roman"/>
          <w:szCs w:val="20"/>
          <w:lang w:val="ru-RU"/>
        </w:rPr>
        <w:t>30.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Дополнительные оценки с участием партнеров в странах и других групп пользователей помогут подтвердить приоритеты в отношении ряда просьб о поэтапном внедрении в начале 2021 года. Координация и дальнейшее развитие платформы будут поддерживаться рамках «направлений действий» Глобального партнерства по морскому мусору, которые начнут функционировать в феврале 2021 года.</w:t>
      </w:r>
    </w:p>
    <w:p w14:paraId="06392005" w14:textId="77777777" w:rsidR="0051558D" w:rsidRPr="0051558D" w:rsidRDefault="0051558D" w:rsidP="003747B4">
      <w:pPr>
        <w:tabs>
          <w:tab w:val="right" w:pos="851"/>
        </w:tabs>
        <w:spacing w:after="120"/>
        <w:ind w:left="1247" w:right="284" w:hanging="1247"/>
        <w:rPr>
          <w:rFonts w:eastAsia="Times New Roman"/>
          <w:b/>
          <w:bCs/>
          <w:sz w:val="24"/>
          <w:szCs w:val="24"/>
          <w:lang w:val="ru-RU"/>
        </w:rPr>
      </w:pPr>
      <w:r w:rsidRPr="0051558D">
        <w:rPr>
          <w:rFonts w:eastAsia="Times New Roman"/>
          <w:b/>
          <w:bCs/>
          <w:sz w:val="24"/>
          <w:szCs w:val="24"/>
          <w:lang w:val="ru-RU"/>
        </w:rPr>
        <w:tab/>
        <w:t>D.</w:t>
      </w:r>
      <w:r w:rsidRPr="0051558D">
        <w:rPr>
          <w:rFonts w:eastAsia="Times New Roman"/>
          <w:b/>
          <w:bCs/>
          <w:sz w:val="24"/>
          <w:szCs w:val="24"/>
          <w:lang w:val="ru-RU"/>
        </w:rPr>
        <w:tab/>
        <w:t xml:space="preserve">Осуществление пункта 5 резолюции 4/6: предназначенные для потребителей руководящие принципы использования и производства пластмасс </w:t>
      </w:r>
    </w:p>
    <w:p w14:paraId="588E0641" w14:textId="0957FE6A" w:rsidR="0051558D" w:rsidRPr="004C1B43" w:rsidRDefault="002D0656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4C1B43">
        <w:rPr>
          <w:rFonts w:eastAsia="Times New Roman"/>
          <w:szCs w:val="20"/>
          <w:lang w:val="ru-RU"/>
        </w:rPr>
        <w:t>31.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Разработка руководящих принципов использования и производства пластмасс в целях информирования потребителей координируется в рамках Десятилетней стратегии действий по переходу к использованию рациональных моделей потребления и производства. В этих руководящих принципах основное внимание уделяется пропаганде практики рационального потребления и производства и внедрению замкнутого цикла во всей цепочке создания ценности применительно к пластмассам в целях решения проблемы загрязнения пластмассами. Они направлены на то, чтобы, в частности, использовать возможности потребителей в инициировани</w:t>
      </w:r>
      <w:r w:rsidR="00805634">
        <w:rPr>
          <w:rFonts w:eastAsia="Times New Roman"/>
          <w:szCs w:val="20"/>
          <w:lang w:val="ru-RU"/>
        </w:rPr>
        <w:t>и</w:t>
      </w:r>
      <w:r w:rsidR="0051558D" w:rsidRPr="0051558D">
        <w:rPr>
          <w:rFonts w:eastAsia="Times New Roman"/>
          <w:szCs w:val="20"/>
          <w:lang w:val="ru-RU"/>
        </w:rPr>
        <w:t xml:space="preserve"> изменений на ранних этапах производственного цикла. Общая структура руководящих принципов строится на трех ключевых областях принятия мер, которыми являются информация об экологичности пластиковых упаковок, изменение практики </w:t>
      </w:r>
      <w:r w:rsidR="0051558D" w:rsidRPr="0051558D">
        <w:rPr>
          <w:rFonts w:eastAsia="Times New Roman"/>
          <w:szCs w:val="20"/>
          <w:lang w:val="ru-RU"/>
        </w:rPr>
        <w:lastRenderedPageBreak/>
        <w:t>государственных закупок и понимание триггеров изменения поведения, и на применении этих мер в секторах туризма и продовольственных систем. Предполагается, что изменения будут достигаться путем осуществления следующих трех ключевых мер вмешательства: ликвидация проблемных или ненужных пластиковых упаковок; переход от одноразового использования к моделям повторного использования; обеспечение того, чтобы 100 процентов пластмассовых упаковок были пригодны для повторного использования, рециркуляции или компостирования или имели амбициозный целевой показатель рециркуляции. В руководящих принципах содержатся подробные рекомендации в отношении более эффективного информирования потребителей о пластиковой упаковке путем указания действующих стандартов, нанесения маркировки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25"/>
      </w:r>
      <w:r w:rsidR="0051558D" w:rsidRPr="0051558D">
        <w:rPr>
          <w:rFonts w:eastAsia="Times New Roman"/>
          <w:szCs w:val="20"/>
          <w:lang w:val="ru-RU"/>
        </w:rPr>
        <w:t xml:space="preserve"> и организации проведения эффективных коммуникационных кампаний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26"/>
      </w:r>
      <w:r w:rsidRPr="004C1B43">
        <w:rPr>
          <w:rFonts w:eastAsia="Times New Roman"/>
          <w:szCs w:val="20"/>
          <w:lang w:val="ru-RU"/>
        </w:rPr>
        <w:t>.</w:t>
      </w:r>
    </w:p>
    <w:p w14:paraId="5B92CC6B" w14:textId="7D485F68" w:rsidR="0051558D" w:rsidRPr="0051558D" w:rsidRDefault="0051558D" w:rsidP="003747B4">
      <w:pPr>
        <w:tabs>
          <w:tab w:val="right" w:pos="851"/>
        </w:tabs>
        <w:spacing w:after="120"/>
        <w:ind w:left="1247" w:right="284" w:hanging="1247"/>
        <w:rPr>
          <w:b/>
          <w:bCs/>
          <w:sz w:val="24"/>
          <w:szCs w:val="24"/>
          <w:lang w:val="ru-RU"/>
        </w:rPr>
      </w:pPr>
      <w:r w:rsidRPr="0051558D">
        <w:rPr>
          <w:rFonts w:eastAsia="Times New Roman"/>
          <w:b/>
          <w:bCs/>
          <w:sz w:val="24"/>
          <w:szCs w:val="24"/>
          <w:lang w:val="ru-RU"/>
        </w:rPr>
        <w:tab/>
        <w:t>E.</w:t>
      </w:r>
      <w:r w:rsidRPr="0051558D">
        <w:rPr>
          <w:rFonts w:eastAsia="Times New Roman"/>
          <w:b/>
          <w:bCs/>
          <w:sz w:val="24"/>
          <w:szCs w:val="24"/>
          <w:lang w:val="ru-RU"/>
        </w:rPr>
        <w:tab/>
        <w:t xml:space="preserve">Осуществление пункта 7 резолюции 4/6: </w:t>
      </w:r>
      <w:r w:rsidRPr="004C1B43">
        <w:rPr>
          <w:rFonts w:eastAsia="Times New Roman"/>
          <w:b/>
          <w:bCs/>
          <w:sz w:val="24"/>
          <w:szCs w:val="24"/>
          <w:lang w:val="ru-RU"/>
        </w:rPr>
        <w:t>специальная группа экспертов открытого состава</w:t>
      </w:r>
      <w:r w:rsidRPr="0051558D">
        <w:rPr>
          <w:rFonts w:eastAsia="Times New Roman"/>
          <w:b/>
          <w:bCs/>
          <w:sz w:val="24"/>
          <w:szCs w:val="24"/>
          <w:lang w:val="ru-RU"/>
        </w:rPr>
        <w:t xml:space="preserve"> по </w:t>
      </w:r>
      <w:r w:rsidR="00111474">
        <w:rPr>
          <w:rFonts w:eastAsia="Times New Roman"/>
          <w:b/>
          <w:bCs/>
          <w:sz w:val="24"/>
          <w:szCs w:val="24"/>
          <w:lang w:val="ru-RU"/>
        </w:rPr>
        <w:t xml:space="preserve">проблеме </w:t>
      </w:r>
      <w:r w:rsidRPr="0051558D">
        <w:rPr>
          <w:rFonts w:eastAsia="Times New Roman"/>
          <w:b/>
          <w:bCs/>
          <w:sz w:val="24"/>
          <w:szCs w:val="24"/>
          <w:lang w:val="ru-RU"/>
        </w:rPr>
        <w:t>мусор</w:t>
      </w:r>
      <w:r w:rsidR="00111474">
        <w:rPr>
          <w:rFonts w:eastAsia="Times New Roman"/>
          <w:b/>
          <w:bCs/>
          <w:sz w:val="24"/>
          <w:szCs w:val="24"/>
          <w:lang w:val="ru-RU"/>
        </w:rPr>
        <w:t>а</w:t>
      </w:r>
      <w:r w:rsidRPr="0051558D">
        <w:rPr>
          <w:rFonts w:eastAsia="Times New Roman"/>
          <w:b/>
          <w:bCs/>
          <w:sz w:val="24"/>
          <w:szCs w:val="24"/>
          <w:lang w:val="ru-RU"/>
        </w:rPr>
        <w:t xml:space="preserve"> и микрочастиц пластмасс</w:t>
      </w:r>
      <w:r w:rsidR="00111474">
        <w:rPr>
          <w:rFonts w:eastAsia="Times New Roman"/>
          <w:b/>
          <w:bCs/>
          <w:sz w:val="24"/>
          <w:szCs w:val="24"/>
          <w:lang w:val="ru-RU"/>
        </w:rPr>
        <w:t xml:space="preserve"> в морской среде</w:t>
      </w:r>
    </w:p>
    <w:p w14:paraId="29B918C9" w14:textId="4EEE3A7B" w:rsidR="0051558D" w:rsidRPr="0051558D" w:rsidRDefault="00946797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4C1B43">
        <w:rPr>
          <w:rFonts w:eastAsia="Times New Roman"/>
          <w:szCs w:val="20"/>
          <w:lang w:val="ru-RU"/>
        </w:rPr>
        <w:t>32.</w:t>
      </w:r>
      <w:r w:rsidRPr="004C1B43">
        <w:rPr>
          <w:rFonts w:eastAsia="Times New Roman"/>
          <w:szCs w:val="20"/>
          <w:lang w:val="ru-RU"/>
        </w:rPr>
        <w:tab/>
      </w:r>
      <w:r w:rsidR="0051558D" w:rsidRPr="004C1B43">
        <w:rPr>
          <w:rFonts w:eastAsia="Times New Roman"/>
          <w:szCs w:val="20"/>
          <w:lang w:val="ru-RU"/>
        </w:rPr>
        <w:t>Специальная группа экспертов открытого состава по проблеме мусора и микрочастиц</w:t>
      </w:r>
      <w:r w:rsidR="0051558D" w:rsidRPr="0051558D">
        <w:rPr>
          <w:rFonts w:eastAsia="Times New Roman"/>
          <w:szCs w:val="20"/>
          <w:lang w:val="ru-RU"/>
        </w:rPr>
        <w:t xml:space="preserve"> пластмасс в морской среде провела четыре совещания </w:t>
      </w:r>
      <w:r w:rsidRPr="004C1B43">
        <w:rPr>
          <w:rFonts w:eastAsia="Times New Roman"/>
          <w:szCs w:val="20"/>
          <w:lang w:val="ru-RU"/>
        </w:rPr>
        <w:t>–</w:t>
      </w:r>
      <w:r w:rsidR="0051558D" w:rsidRPr="0051558D">
        <w:rPr>
          <w:rFonts w:eastAsia="Times New Roman"/>
          <w:szCs w:val="20"/>
          <w:lang w:val="ru-RU"/>
        </w:rPr>
        <w:t xml:space="preserve"> в мае 2018 года, декабре 2018 года, ноябре 2019 года (с ориентирами на межсессионный период) и ноябре 2020 года (в онлайновом режиме). Было также проведено несколько технических брифингов, а также два виртуальных совещания в рамках подготовки к четвертому совещанию. На этом совещании, состоявшемся 9</w:t>
      </w:r>
      <w:r>
        <w:rPr>
          <w:rFonts w:eastAsia="Times New Roman"/>
          <w:szCs w:val="20"/>
          <w:lang w:val="ru-RU"/>
        </w:rPr>
        <w:noBreakHyphen/>
      </w:r>
      <w:r w:rsidR="0051558D" w:rsidRPr="0051558D">
        <w:rPr>
          <w:rFonts w:eastAsia="Times New Roman"/>
          <w:szCs w:val="20"/>
          <w:lang w:val="ru-RU"/>
        </w:rPr>
        <w:t xml:space="preserve">13 ноября 2020 года в онлайновом режиме, </w:t>
      </w:r>
      <w:r w:rsidR="0051558D" w:rsidRPr="004C1B43">
        <w:rPr>
          <w:rFonts w:eastAsia="Times New Roman"/>
          <w:szCs w:val="20"/>
          <w:lang w:val="ru-RU"/>
        </w:rPr>
        <w:t>группа экспертов</w:t>
      </w:r>
      <w:r w:rsidR="0051558D" w:rsidRPr="0051558D">
        <w:rPr>
          <w:rFonts w:eastAsia="Times New Roman"/>
          <w:szCs w:val="20"/>
          <w:lang w:val="ru-RU"/>
        </w:rPr>
        <w:t xml:space="preserve"> рассмотрела возможные варианты продолжения работы для рассмотрения Ассамблеей по окружающей среде. Оно утвердило резюме председателя</w:t>
      </w:r>
      <w:r w:rsidR="00F04B69">
        <w:rPr>
          <w:rStyle w:val="FootnoteReference"/>
          <w:rFonts w:eastAsia="Times New Roman"/>
          <w:lang w:val="ru-RU"/>
        </w:rPr>
        <w:footnoteReference w:id="27"/>
      </w:r>
      <w:r w:rsidR="0051558D" w:rsidRPr="0051558D">
        <w:rPr>
          <w:rFonts w:eastAsia="Times New Roman"/>
          <w:szCs w:val="20"/>
          <w:lang w:val="ru-RU"/>
        </w:rPr>
        <w:t xml:space="preserve">, в котором, среди прочего, излагаются возможные варианты продолжения работы. </w:t>
      </w:r>
    </w:p>
    <w:p w14:paraId="3CF8B0C9" w14:textId="77777777" w:rsidR="0051558D" w:rsidRPr="0051558D" w:rsidRDefault="0051558D" w:rsidP="003747B4">
      <w:pPr>
        <w:tabs>
          <w:tab w:val="right" w:pos="851"/>
        </w:tabs>
        <w:spacing w:after="120"/>
        <w:ind w:left="1247" w:right="284" w:hanging="1247"/>
        <w:rPr>
          <w:b/>
          <w:bCs/>
          <w:sz w:val="24"/>
          <w:szCs w:val="24"/>
          <w:lang w:val="ru-RU"/>
        </w:rPr>
      </w:pPr>
      <w:r w:rsidRPr="0051558D">
        <w:rPr>
          <w:rFonts w:eastAsia="Times New Roman"/>
          <w:b/>
          <w:bCs/>
          <w:sz w:val="24"/>
          <w:szCs w:val="24"/>
          <w:lang w:val="ru-RU"/>
        </w:rPr>
        <w:tab/>
        <w:t>F.</w:t>
      </w:r>
      <w:r w:rsidRPr="0051558D">
        <w:rPr>
          <w:rFonts w:eastAsia="Times New Roman"/>
          <w:b/>
          <w:bCs/>
          <w:sz w:val="24"/>
          <w:szCs w:val="24"/>
          <w:lang w:val="ru-RU"/>
        </w:rPr>
        <w:tab/>
        <w:t>Осуществление пункта 8 резолюции 4/6: составление перечня всех соответствующих учреждений, программ, инициатив и экспертных знаний Организации Объединенных Наций, имеющих отношение к проблеме морского мусора, включая пластиковый мусор и микрочастицы пластмасс</w:t>
      </w:r>
    </w:p>
    <w:p w14:paraId="2BA2D9B9" w14:textId="5C811217" w:rsidR="0051558D" w:rsidRPr="0051558D" w:rsidRDefault="00946797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4C1B43">
        <w:rPr>
          <w:rFonts w:eastAsia="Times New Roman"/>
          <w:szCs w:val="20"/>
          <w:lang w:val="ru-RU"/>
        </w:rPr>
        <w:t>33.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Группа по рациональному природопользованию учредила в 2019 году временную </w:t>
      </w:r>
      <w:r w:rsidR="003F2C8C" w:rsidRPr="0051558D">
        <w:rPr>
          <w:rFonts w:eastAsia="Times New Roman"/>
          <w:szCs w:val="20"/>
          <w:lang w:val="ru-RU"/>
        </w:rPr>
        <w:t>меж</w:t>
      </w:r>
      <w:r w:rsidR="003F2C8C">
        <w:rPr>
          <w:rFonts w:eastAsia="Times New Roman"/>
          <w:szCs w:val="20"/>
          <w:lang w:val="ru-RU"/>
        </w:rPr>
        <w:t>ведомственную</w:t>
      </w:r>
      <w:r w:rsidR="003F2C8C" w:rsidRPr="0051558D">
        <w:rPr>
          <w:rFonts w:eastAsia="Times New Roman"/>
          <w:szCs w:val="20"/>
          <w:lang w:val="ru-RU"/>
        </w:rPr>
        <w:t xml:space="preserve"> </w:t>
      </w:r>
      <w:r w:rsidR="0051558D" w:rsidRPr="0051558D">
        <w:rPr>
          <w:rFonts w:eastAsia="Times New Roman"/>
          <w:szCs w:val="20"/>
          <w:lang w:val="ru-RU"/>
        </w:rPr>
        <w:t>целевую группу по морскому мусору и микрочастицам пластмасс для оказания содействия подготовке мероприятия по составлению перечня, предлагаемого в пункте</w:t>
      </w:r>
      <w:r w:rsidR="00431E3A">
        <w:rPr>
          <w:rFonts w:eastAsia="Times New Roman"/>
          <w:szCs w:val="20"/>
        </w:rPr>
        <w:t> </w:t>
      </w:r>
      <w:r w:rsidR="0051558D" w:rsidRPr="0051558D">
        <w:rPr>
          <w:rFonts w:eastAsia="Times New Roman"/>
          <w:szCs w:val="20"/>
          <w:lang w:val="ru-RU"/>
        </w:rPr>
        <w:t>8 резолюции 4/6. В рамках работы по составлению этого перечня среди членов целевой группы были распространены результаты обзорного исследования. Материалы, полученные от подразделений Организации Объединенных Наций, легли в основу обзорного доклада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28"/>
      </w:r>
      <w:r w:rsidR="0051558D" w:rsidRPr="0051558D">
        <w:rPr>
          <w:rFonts w:eastAsia="Times New Roman"/>
          <w:szCs w:val="20"/>
          <w:lang w:val="ru-RU"/>
        </w:rPr>
        <w:t xml:space="preserve">. По завершении исследования были проведены углубленные опросы почти 50 субъектов. Первоначальные результаты показывают, что система Организации Объединенных Наций занимается проблемой морского мусора на всех уровнях (глобальном, региональном, транснациональном, национальном и субнациональном). Проекты в основном касаются законодательства и стандартов, накопления знаний и создания научной базы, наращивания потенциала и повышения уровня информированности, и мероприятия осуществляются в сотрудничестве с органами государственного управления и неправительственными организациями. </w:t>
      </w:r>
      <w:bookmarkStart w:id="3" w:name="_Hlk58324739"/>
      <w:bookmarkEnd w:id="3"/>
    </w:p>
    <w:p w14:paraId="21876BB8" w14:textId="77777777" w:rsidR="0051558D" w:rsidRPr="0051558D" w:rsidRDefault="0051558D" w:rsidP="003747B4">
      <w:pPr>
        <w:tabs>
          <w:tab w:val="right" w:pos="851"/>
        </w:tabs>
        <w:spacing w:after="120"/>
        <w:ind w:left="1247" w:right="284" w:hanging="1247"/>
        <w:rPr>
          <w:rFonts w:eastAsia="Times New Roman"/>
          <w:b/>
          <w:bCs/>
          <w:sz w:val="24"/>
          <w:szCs w:val="24"/>
          <w:lang w:val="ru-RU"/>
        </w:rPr>
      </w:pPr>
      <w:r w:rsidRPr="0051558D">
        <w:rPr>
          <w:rFonts w:eastAsia="Times New Roman"/>
          <w:b/>
          <w:bCs/>
          <w:sz w:val="24"/>
          <w:szCs w:val="24"/>
          <w:lang w:val="ru-RU"/>
        </w:rPr>
        <w:tab/>
        <w:t>G.</w:t>
      </w:r>
      <w:r w:rsidRPr="0051558D">
        <w:rPr>
          <w:rFonts w:eastAsia="Times New Roman"/>
          <w:b/>
          <w:bCs/>
          <w:sz w:val="24"/>
          <w:szCs w:val="24"/>
          <w:lang w:val="ru-RU"/>
        </w:rPr>
        <w:tab/>
        <w:t>Ход осуществления в рамках Базельской конвенции о контроле за трансграничной перевозкой опасных отходов и их удалением</w:t>
      </w:r>
    </w:p>
    <w:p w14:paraId="633C3FB1" w14:textId="2F7849DF" w:rsidR="0051558D" w:rsidRPr="0051558D" w:rsidRDefault="00431E3A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4C1B43">
        <w:rPr>
          <w:rFonts w:eastAsia="Times New Roman"/>
          <w:szCs w:val="20"/>
          <w:lang w:val="ru-RU"/>
        </w:rPr>
        <w:t>34.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Поправки к Базельской конвенции о контроле за трансграничной перевозкой опасных отходов и их удалением, касающиеся пластмассовых отходов и представляющие собой первый и единственный глобальный юридически обязывающий документ по контролю за трансграничной перевозкой пластмассовых отходов и обеспечению экологически обоснованного регулирования таких отходов, были приняты Конференцией </w:t>
      </w:r>
      <w:r w:rsidR="009A12A1" w:rsidRPr="0051558D">
        <w:rPr>
          <w:rFonts w:eastAsia="Times New Roman"/>
          <w:szCs w:val="20"/>
          <w:lang w:val="ru-RU"/>
        </w:rPr>
        <w:t xml:space="preserve">Сторон </w:t>
      </w:r>
      <w:r w:rsidR="0051558D" w:rsidRPr="0051558D">
        <w:rPr>
          <w:rFonts w:eastAsia="Times New Roman"/>
          <w:szCs w:val="20"/>
          <w:lang w:val="ru-RU"/>
        </w:rPr>
        <w:t>Базельской конвенции на ее четырнадцатом совещании в 2019 году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29"/>
      </w:r>
      <w:r w:rsidR="0051558D" w:rsidRPr="0051558D">
        <w:rPr>
          <w:rFonts w:eastAsia="Times New Roman"/>
          <w:szCs w:val="20"/>
          <w:lang w:val="ru-RU"/>
        </w:rPr>
        <w:t xml:space="preserve">. Эффективное осуществление этих </w:t>
      </w:r>
      <w:r w:rsidR="0051558D" w:rsidRPr="0051558D">
        <w:rPr>
          <w:rFonts w:eastAsia="Times New Roman"/>
          <w:szCs w:val="20"/>
          <w:lang w:val="ru-RU"/>
        </w:rPr>
        <w:lastRenderedPageBreak/>
        <w:t>поправок с 1 января 2021 года позволит странам усилить контроль за торговлей пластмассами, продолжить рециркулирование, обеспечить экологически безопасное регулирование пластмасс и предотвращать и сводить к минимуму образование пластмассовых отходов.</w:t>
      </w:r>
    </w:p>
    <w:p w14:paraId="19645EF1" w14:textId="0C660DB9" w:rsidR="0051558D" w:rsidRPr="0051558D" w:rsidRDefault="0046655E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4C1B43">
        <w:rPr>
          <w:rFonts w:eastAsia="Times New Roman"/>
          <w:szCs w:val="20"/>
          <w:lang w:val="ru-RU"/>
        </w:rPr>
        <w:t>35.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В настоящее время группы экспертов разрабатывают технические руководящие принципы по пластмассовым отходам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30"/>
      </w:r>
      <w:r w:rsidR="0051558D" w:rsidRPr="0051558D">
        <w:rPr>
          <w:rFonts w:eastAsia="Times New Roman"/>
          <w:szCs w:val="20"/>
          <w:lang w:val="ru-RU"/>
        </w:rPr>
        <w:t xml:space="preserve"> и другие руководящие документы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31"/>
      </w:r>
      <w:r w:rsidR="0051558D" w:rsidRPr="0051558D">
        <w:rPr>
          <w:rFonts w:eastAsia="Times New Roman"/>
          <w:szCs w:val="20"/>
          <w:lang w:val="ru-RU"/>
        </w:rPr>
        <w:t xml:space="preserve"> в целях оказания странам поддержки в применении поправок по пластмассовым отходам. Секретариат Базельской, Роттердамской и Стокгольмской конвенций также оказывает техническую помощь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32"/>
      </w:r>
      <w:r w:rsidR="0051558D" w:rsidRPr="0051558D">
        <w:rPr>
          <w:rFonts w:eastAsia="Times New Roman"/>
          <w:szCs w:val="20"/>
          <w:lang w:val="ru-RU"/>
        </w:rPr>
        <w:t xml:space="preserve"> странам, уделяя особое внимание трем основным компонентам Базельской конвенции. Пилотные проекты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33"/>
      </w:r>
      <w:r w:rsidR="0051558D" w:rsidRPr="0051558D">
        <w:rPr>
          <w:rFonts w:eastAsia="Times New Roman"/>
          <w:szCs w:val="20"/>
          <w:lang w:val="ru-RU"/>
        </w:rPr>
        <w:t xml:space="preserve"> осуществляются в Бангладеш, Гане и Шри-Ланке, и планируется осуществление большего числа проектов, в том числе в рамках программы малых субсидий региональных центров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34"/>
      </w:r>
      <w:r w:rsidR="0051558D" w:rsidRPr="0051558D">
        <w:rPr>
          <w:rFonts w:eastAsia="Times New Roman"/>
          <w:szCs w:val="20"/>
          <w:lang w:val="ru-RU"/>
        </w:rPr>
        <w:t xml:space="preserve"> и Партнерства по пластиковым отходам, учрежденного Конференцией Сторон Базельской конвенции на ее четырнадцатом совещании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35"/>
      </w:r>
      <w:r w:rsidR="0051558D" w:rsidRPr="0051558D">
        <w:rPr>
          <w:rFonts w:eastAsia="Times New Roman"/>
          <w:szCs w:val="20"/>
          <w:lang w:val="ru-RU"/>
        </w:rPr>
        <w:t>.</w:t>
      </w:r>
    </w:p>
    <w:p w14:paraId="3A9AFDC5" w14:textId="033B4848" w:rsidR="0051558D" w:rsidRPr="0051558D" w:rsidRDefault="0046655E" w:rsidP="0046655E">
      <w:pPr>
        <w:spacing w:after="240"/>
        <w:ind w:left="1247"/>
        <w:rPr>
          <w:rFonts w:eastAsia="Times New Roman"/>
          <w:szCs w:val="20"/>
          <w:lang w:val="ru-RU"/>
        </w:rPr>
      </w:pPr>
      <w:r w:rsidRPr="004C1B43">
        <w:rPr>
          <w:rFonts w:eastAsia="Times New Roman"/>
          <w:szCs w:val="20"/>
          <w:lang w:val="ru-RU"/>
        </w:rPr>
        <w:t>36.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Секретариат Базельской, Роттердамской и Стокгольмской конвенций внес вклад в работу </w:t>
      </w:r>
      <w:r w:rsidR="0051558D" w:rsidRPr="004C1B43">
        <w:rPr>
          <w:rFonts w:eastAsia="Times New Roman"/>
          <w:szCs w:val="20"/>
          <w:lang w:val="ru-RU"/>
        </w:rPr>
        <w:t>специальной группы экспертов открытого состава</w:t>
      </w:r>
      <w:r w:rsidR="0051558D" w:rsidRPr="0051558D">
        <w:rPr>
          <w:rFonts w:eastAsia="Times New Roman"/>
          <w:szCs w:val="20"/>
          <w:lang w:val="ru-RU"/>
        </w:rPr>
        <w:t xml:space="preserve"> по проблеме мусора и микрочастиц пластмасс в морской среде и продолжает тесно сотрудничать с ЮНЕП в выполнении мандатов, предусмотренных в соответствующих резолюциях Ассамблеи по окружающей среде, в том числе посредством партнерств, готовящейся публикации «Marine Litter and Plastic Waste: Vital Graphics» («Морской мусор и пластмассовые отходы: жизненная графика») и онлайновой платформы для обмена информацией о региональных и национальных инициативах по решению проблемы загрязнения пластмассами.</w:t>
      </w:r>
    </w:p>
    <w:p w14:paraId="67064D93" w14:textId="77777777" w:rsidR="0051558D" w:rsidRPr="0051558D" w:rsidRDefault="0051558D" w:rsidP="003747B4">
      <w:pPr>
        <w:tabs>
          <w:tab w:val="right" w:pos="851"/>
        </w:tabs>
        <w:spacing w:after="120"/>
        <w:ind w:left="1247" w:right="284" w:hanging="1247"/>
        <w:rPr>
          <w:rFonts w:eastAsia="Times New Roman"/>
          <w:b/>
          <w:bCs/>
          <w:sz w:val="28"/>
          <w:szCs w:val="28"/>
          <w:lang w:val="ru-RU"/>
        </w:rPr>
      </w:pPr>
      <w:r w:rsidRPr="0051558D">
        <w:rPr>
          <w:rFonts w:eastAsia="Times New Roman"/>
          <w:b/>
          <w:bCs/>
          <w:sz w:val="28"/>
          <w:szCs w:val="28"/>
          <w:lang w:val="ru-RU"/>
        </w:rPr>
        <w:tab/>
        <w:t>II.</w:t>
      </w:r>
      <w:r w:rsidRPr="0051558D">
        <w:rPr>
          <w:rFonts w:eastAsia="Times New Roman"/>
          <w:b/>
          <w:bCs/>
          <w:sz w:val="28"/>
          <w:szCs w:val="28"/>
          <w:lang w:val="ru-RU"/>
        </w:rPr>
        <w:tab/>
        <w:t>Накопленный опыт и будущая деятельность</w:t>
      </w:r>
    </w:p>
    <w:p w14:paraId="77DAE687" w14:textId="4861F247" w:rsidR="0051558D" w:rsidRPr="0051558D" w:rsidRDefault="0046655E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4C1B43">
        <w:rPr>
          <w:rFonts w:eastAsia="Times New Roman"/>
          <w:szCs w:val="20"/>
          <w:lang w:val="ru-RU"/>
        </w:rPr>
        <w:t>37.</w:t>
      </w:r>
      <w:r w:rsidRPr="004C1B43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Координация действий по-прежнему занимает центральное место, поскольку тема пластикового мусора и микрочастиц пластмасс </w:t>
      </w:r>
      <w:r w:rsidR="00DC0217">
        <w:rPr>
          <w:rFonts w:eastAsia="Times New Roman"/>
          <w:szCs w:val="20"/>
          <w:lang w:val="ru-RU"/>
        </w:rPr>
        <w:t xml:space="preserve">в морской среде </w:t>
      </w:r>
      <w:r w:rsidR="0051558D" w:rsidRPr="0051558D">
        <w:rPr>
          <w:rFonts w:eastAsia="Times New Roman"/>
          <w:szCs w:val="20"/>
          <w:lang w:val="ru-RU"/>
        </w:rPr>
        <w:t>является весьма динамичной и предполагает участие многих субъектов и реализацию многочисленных инициатив. В целях дальнейшего содействия многостороннему сотрудничеству, действуя через Глобальное партнерство по морскому мусору, ЮНЕП расширит масштабы своей работы, инициировав соответствующие направления деятельности в рамках этого партнерства. Эти направления деятельности будут способствовать дальнейшей координации действий по приоритетным вопросам, определенным в резолюциях Ассамблеи по окружающей среде о мусоре и микрочастицах пластмасс</w:t>
      </w:r>
      <w:r w:rsidR="00B20DA8">
        <w:rPr>
          <w:rFonts w:eastAsia="Times New Roman"/>
          <w:szCs w:val="20"/>
          <w:lang w:val="ru-RU"/>
        </w:rPr>
        <w:t xml:space="preserve"> в морской среде</w:t>
      </w:r>
      <w:r w:rsidR="0051558D" w:rsidRPr="0051558D">
        <w:rPr>
          <w:rFonts w:eastAsia="Times New Roman"/>
          <w:szCs w:val="20"/>
          <w:lang w:val="ru-RU"/>
        </w:rPr>
        <w:t xml:space="preserve">, </w:t>
      </w:r>
      <w:r w:rsidR="0051558D" w:rsidRPr="004C1B43">
        <w:rPr>
          <w:rFonts w:eastAsia="Times New Roman"/>
          <w:szCs w:val="20"/>
          <w:lang w:val="ru-RU"/>
        </w:rPr>
        <w:t>специальной группой экспертов открытого состава</w:t>
      </w:r>
      <w:r w:rsidR="0051558D" w:rsidRPr="0051558D">
        <w:rPr>
          <w:rFonts w:eastAsia="Times New Roman"/>
          <w:szCs w:val="20"/>
          <w:lang w:val="ru-RU"/>
        </w:rPr>
        <w:t xml:space="preserve"> по проблеме мусора и микрочастиц пластмасс в морской среде и в оценке источников, путей поступления и опасности мусора, включая загрязнение пластиковым мусором и микрочастицами пластмасс. Возможными темами для направлений деятельности могут стать: а) обеспечение взаимосвязи между наукой, инновациями и политикой; b) мероприятия на национальном уровне, включая планы, мониторинг, управление и разработку проектов; с)</w:t>
      </w:r>
      <w:r w:rsidR="004C1B43">
        <w:rPr>
          <w:rFonts w:eastAsia="Times New Roman"/>
          <w:szCs w:val="20"/>
          <w:lang w:val="ru-RU"/>
        </w:rPr>
        <w:t> </w:t>
      </w:r>
      <w:r w:rsidR="0051558D" w:rsidRPr="0051558D">
        <w:rPr>
          <w:rFonts w:eastAsia="Times New Roman"/>
          <w:szCs w:val="20"/>
          <w:lang w:val="ru-RU"/>
        </w:rPr>
        <w:t xml:space="preserve">согласование стандартов и руководящих принципов; d) устойчивое инновационное финансирование в целях повышения эффективности координации; </w:t>
      </w:r>
      <w:r w:rsidR="008F6225">
        <w:rPr>
          <w:rFonts w:eastAsia="Times New Roman"/>
          <w:szCs w:val="20"/>
          <w:lang w:val="ru-RU"/>
        </w:rPr>
        <w:t xml:space="preserve">и </w:t>
      </w:r>
      <w:r w:rsidR="0051558D" w:rsidRPr="0051558D">
        <w:rPr>
          <w:rFonts w:eastAsia="Times New Roman"/>
          <w:szCs w:val="20"/>
          <w:lang w:val="ru-RU"/>
        </w:rPr>
        <w:t>е) обеспечение доступа для всех. Эти направления деятельности предоставят заинтересованным сторонам, представляющим широкий круг субъектов, возможность для обмена опытом и обучения в целях содействия принятию новых мер и налаживанию партнерских отношений и активизации существующих инициатив.</w:t>
      </w:r>
    </w:p>
    <w:p w14:paraId="23CAB8FD" w14:textId="238A83C1" w:rsidR="0051558D" w:rsidRPr="0051558D" w:rsidRDefault="00916430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3D1E60">
        <w:rPr>
          <w:rFonts w:eastAsia="Times New Roman"/>
          <w:szCs w:val="20"/>
          <w:lang w:val="ru-RU"/>
        </w:rPr>
        <w:t>38.</w:t>
      </w:r>
      <w:r w:rsidRPr="003D1E60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Региональные и национальные планы действий по борьбе с морским мусором оказались успешными. Такие планы в настоящее время имеются почти во всех регионах, и ЮНЕП будет оказывать дальнейшую поддержку разработке и осуществлению национальных планов действий, в том числе с применением подхода, предусматривающего составление национального кадастра источников, который охватывает аспекты, касающиеся целей 6, 11, 12 и 14 в области устойчивого развития, а также с проведением обзоров национального законодательства для использования в качестве руководства при разработке планов действий.</w:t>
      </w:r>
    </w:p>
    <w:p w14:paraId="332783C6" w14:textId="6DBC78A6" w:rsidR="0051558D" w:rsidRPr="0051558D" w:rsidRDefault="00916430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3D1E60">
        <w:rPr>
          <w:rFonts w:eastAsia="Times New Roman"/>
          <w:szCs w:val="20"/>
          <w:lang w:val="ru-RU"/>
        </w:rPr>
        <w:t>39.</w:t>
      </w:r>
      <w:r w:rsidRPr="003D1E60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Качество данных и эффективный мониторинг наземных и морских источников, а также объемы, пути поступления, судьба и воздействие морского мусора </w:t>
      </w:r>
      <w:r w:rsidRPr="003D1E60">
        <w:rPr>
          <w:rFonts w:eastAsia="Times New Roman"/>
          <w:szCs w:val="20"/>
          <w:lang w:val="ru-RU"/>
        </w:rPr>
        <w:t>–</w:t>
      </w:r>
      <w:r w:rsidR="0051558D" w:rsidRPr="0051558D">
        <w:rPr>
          <w:rFonts w:eastAsia="Times New Roman"/>
          <w:szCs w:val="20"/>
          <w:lang w:val="ru-RU"/>
        </w:rPr>
        <w:t xml:space="preserve"> все это имеет решающее значение для основанного на фактических данных подхода к принятию решений директивного </w:t>
      </w:r>
      <w:r w:rsidR="0051558D" w:rsidRPr="0051558D">
        <w:rPr>
          <w:rFonts w:eastAsia="Times New Roman"/>
          <w:szCs w:val="20"/>
          <w:lang w:val="ru-RU"/>
        </w:rPr>
        <w:lastRenderedPageBreak/>
        <w:t>характера в поддержку усилий по достижению показателя 14.1.1 в рамках целей в области устойчивого развития. Можно дополнительно расширить программу подготовки инструкторов по мониторингу и оценке мусора и микрочастиц пластмасс</w:t>
      </w:r>
      <w:r w:rsidR="001D5499">
        <w:rPr>
          <w:rFonts w:eastAsia="Times New Roman"/>
          <w:szCs w:val="20"/>
          <w:lang w:val="ru-RU"/>
        </w:rPr>
        <w:t xml:space="preserve"> в морской среде</w:t>
      </w:r>
      <w:r w:rsidR="0051558D" w:rsidRPr="0051558D">
        <w:rPr>
          <w:rFonts w:eastAsia="Times New Roman"/>
          <w:szCs w:val="20"/>
          <w:lang w:val="ru-RU"/>
        </w:rPr>
        <w:t>. ЮНЕП планирует провести дополнительные оценки потребностей в выявлении более конкретных областей, в которых необходимо развитие потенциала в разных направлениях деятельности. Такие направления деятельности могут включать: сбор и анализ данных; введение данных и калибровка моделей и калькуляторов; связывание данных для принятия обоснованных решений и будущих действий.</w:t>
      </w:r>
    </w:p>
    <w:p w14:paraId="0DF70FCF" w14:textId="726D7342" w:rsidR="0051558D" w:rsidRPr="0051558D" w:rsidRDefault="00916430" w:rsidP="00916430">
      <w:pPr>
        <w:spacing w:after="240"/>
        <w:ind w:left="1247"/>
        <w:rPr>
          <w:rFonts w:eastAsia="MS Mincho"/>
          <w:szCs w:val="20"/>
          <w:lang w:val="ru-RU"/>
        </w:rPr>
      </w:pPr>
      <w:r w:rsidRPr="003D1E60">
        <w:rPr>
          <w:rFonts w:eastAsia="Times New Roman"/>
          <w:szCs w:val="20"/>
          <w:lang w:val="ru-RU"/>
        </w:rPr>
        <w:t>40.</w:t>
      </w:r>
      <w:r w:rsidRPr="003D1E60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Углубление научных знаний способствует решению проблемы мусора и микрочастиц пластмасс</w:t>
      </w:r>
      <w:r w:rsidR="001D5499">
        <w:rPr>
          <w:rFonts w:eastAsia="Times New Roman"/>
          <w:szCs w:val="20"/>
          <w:lang w:val="ru-RU"/>
        </w:rPr>
        <w:t xml:space="preserve"> в морской среде</w:t>
      </w:r>
      <w:r w:rsidR="0051558D" w:rsidRPr="0051558D">
        <w:rPr>
          <w:rFonts w:eastAsia="Times New Roman"/>
          <w:szCs w:val="20"/>
          <w:lang w:val="ru-RU"/>
        </w:rPr>
        <w:t>. Существующие методы оценки рисков следует усовершенствовать, например, путем разработки рамок оценки рисков, охватывающих комплексные риски и пути поступления, выявленные в процессе оценки источников, путей поступления и опасности мусора, включая загрязнение плас</w:t>
      </w:r>
      <w:r w:rsidR="00A45022">
        <w:rPr>
          <w:rFonts w:eastAsia="Times New Roman"/>
          <w:szCs w:val="20"/>
          <w:lang w:val="ru-RU"/>
        </w:rPr>
        <w:t>тиковым</w:t>
      </w:r>
      <w:r w:rsidR="0051558D" w:rsidRPr="0051558D">
        <w:rPr>
          <w:rFonts w:eastAsia="Times New Roman"/>
          <w:szCs w:val="20"/>
          <w:lang w:val="ru-RU"/>
        </w:rPr>
        <w:t xml:space="preserve"> мусором и микрочастицами пластмасс, а также отраженные в материалах Международного семинара ГЕСАМП по оценке рисков, связанных с пластиковым мусором и микрочастицами пластмасс в морской среде.</w:t>
      </w:r>
    </w:p>
    <w:p w14:paraId="5A26399C" w14:textId="77777777" w:rsidR="0051558D" w:rsidRPr="0051558D" w:rsidRDefault="0051558D" w:rsidP="003747B4">
      <w:pPr>
        <w:tabs>
          <w:tab w:val="right" w:pos="851"/>
        </w:tabs>
        <w:spacing w:after="120"/>
        <w:ind w:left="1247" w:right="284" w:hanging="1247"/>
        <w:rPr>
          <w:rFonts w:eastAsia="Times New Roman"/>
          <w:b/>
          <w:bCs/>
          <w:sz w:val="28"/>
          <w:szCs w:val="28"/>
          <w:lang w:val="ru-RU"/>
        </w:rPr>
      </w:pPr>
      <w:r w:rsidRPr="0051558D">
        <w:rPr>
          <w:rFonts w:eastAsia="Times New Roman"/>
          <w:b/>
          <w:bCs/>
          <w:sz w:val="28"/>
          <w:szCs w:val="28"/>
          <w:lang w:val="ru-RU"/>
        </w:rPr>
        <w:tab/>
        <w:t>III.</w:t>
      </w:r>
      <w:r w:rsidRPr="0051558D">
        <w:rPr>
          <w:rFonts w:eastAsia="Times New Roman"/>
          <w:b/>
          <w:bCs/>
          <w:sz w:val="28"/>
          <w:szCs w:val="28"/>
          <w:lang w:val="ru-RU"/>
        </w:rPr>
        <w:tab/>
        <w:t xml:space="preserve">Рекомендации и предлагаемые меры </w:t>
      </w:r>
    </w:p>
    <w:p w14:paraId="077D0578" w14:textId="3B1CAC11" w:rsidR="0051558D" w:rsidRPr="0051558D" w:rsidRDefault="007E71CA" w:rsidP="0051558D">
      <w:pPr>
        <w:spacing w:after="120"/>
        <w:ind w:left="1247"/>
        <w:rPr>
          <w:rFonts w:eastAsia="Times New Roman"/>
          <w:szCs w:val="20"/>
          <w:lang w:val="ru-RU"/>
        </w:rPr>
      </w:pPr>
      <w:bookmarkStart w:id="4" w:name="_Hlk57756571"/>
      <w:r w:rsidRPr="003D1E60">
        <w:rPr>
          <w:rFonts w:eastAsia="Times New Roman"/>
          <w:szCs w:val="20"/>
          <w:lang w:val="ru-RU"/>
        </w:rPr>
        <w:t>41.</w:t>
      </w:r>
      <w:r w:rsidRPr="003D1E60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Ассамблея по окружающей среде, возможно, пожелает принять к сведению и приветствовать завершение работы </w:t>
      </w:r>
      <w:r w:rsidR="0051558D" w:rsidRPr="003D1E60">
        <w:rPr>
          <w:rFonts w:eastAsia="Times New Roman"/>
          <w:szCs w:val="20"/>
          <w:lang w:val="ru-RU"/>
        </w:rPr>
        <w:t>специальной группы экспертов открытого состава</w:t>
      </w:r>
      <w:r w:rsidR="0051558D" w:rsidRPr="0051558D">
        <w:rPr>
          <w:rFonts w:eastAsia="Times New Roman"/>
          <w:szCs w:val="20"/>
          <w:lang w:val="ru-RU"/>
        </w:rPr>
        <w:t xml:space="preserve"> по проблеме мусора и микрочастиц пластмасс в морской среде, учрежденной в соответствии с резолюцией 3/7 Ассамблеи по окружающей среде, как сообщается в докладах совещания </w:t>
      </w:r>
      <w:r w:rsidR="0051558D" w:rsidRPr="003D1E60">
        <w:rPr>
          <w:rFonts w:eastAsia="Times New Roman"/>
          <w:szCs w:val="20"/>
          <w:lang w:val="ru-RU"/>
        </w:rPr>
        <w:t>группы экспертов и</w:t>
      </w:r>
      <w:r w:rsidR="0051558D" w:rsidRPr="0051558D">
        <w:rPr>
          <w:rFonts w:eastAsia="Times New Roman"/>
          <w:szCs w:val="20"/>
          <w:lang w:val="ru-RU"/>
        </w:rPr>
        <w:t xml:space="preserve"> в резюме председателя</w:t>
      </w:r>
      <w:r w:rsidR="00CB1B83">
        <w:rPr>
          <w:rStyle w:val="FootnoteReference"/>
          <w:rFonts w:eastAsia="Times New Roman"/>
          <w:lang w:val="ru-RU"/>
        </w:rPr>
        <w:footnoteReference w:id="36"/>
      </w:r>
      <w:r w:rsidR="0051558D" w:rsidRPr="0051558D">
        <w:rPr>
          <w:rFonts w:eastAsia="Times New Roman"/>
          <w:szCs w:val="20"/>
          <w:lang w:val="ru-RU"/>
        </w:rPr>
        <w:t>.</w:t>
      </w:r>
      <w:bookmarkEnd w:id="4"/>
    </w:p>
    <w:p w14:paraId="6247805E" w14:textId="6BEBAE06" w:rsidR="0051558D" w:rsidRPr="0051558D" w:rsidRDefault="007E71CA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3D1E60">
        <w:rPr>
          <w:rFonts w:eastAsia="Times New Roman"/>
          <w:szCs w:val="20"/>
          <w:lang w:val="ru-RU"/>
        </w:rPr>
        <w:t>42.</w:t>
      </w:r>
      <w:r w:rsidRPr="003D1E60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Ассамблея по окружающей среде, возможно, пожелает принять решение о будущем направлении своей работы по мусору и микрочастицам пластмасс </w:t>
      </w:r>
      <w:r w:rsidR="0023659E">
        <w:rPr>
          <w:rFonts w:eastAsia="Times New Roman"/>
          <w:szCs w:val="20"/>
          <w:lang w:val="ru-RU"/>
        </w:rPr>
        <w:t xml:space="preserve">в морской среде </w:t>
      </w:r>
      <w:r w:rsidR="0051558D" w:rsidRPr="0051558D">
        <w:rPr>
          <w:rFonts w:eastAsia="Times New Roman"/>
          <w:szCs w:val="20"/>
          <w:lang w:val="ru-RU"/>
        </w:rPr>
        <w:t xml:space="preserve">в свете вариантов реагирования, определенных </w:t>
      </w:r>
      <w:r w:rsidR="0051558D" w:rsidRPr="003D1E60">
        <w:rPr>
          <w:rFonts w:eastAsia="Times New Roman"/>
          <w:szCs w:val="20"/>
          <w:lang w:val="ru-RU"/>
        </w:rPr>
        <w:t>специальной группой экспертов открытого состава</w:t>
      </w:r>
      <w:r w:rsidR="0051558D" w:rsidRPr="0051558D">
        <w:rPr>
          <w:rFonts w:eastAsia="Times New Roman"/>
          <w:szCs w:val="20"/>
          <w:lang w:val="ru-RU"/>
        </w:rPr>
        <w:t xml:space="preserve"> по проблеме мусора и микрочастиц пластмасс в морской среде. </w:t>
      </w:r>
    </w:p>
    <w:p w14:paraId="6C1483B1" w14:textId="289E4C9C" w:rsidR="0051558D" w:rsidRPr="0051558D" w:rsidRDefault="007E71CA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3D1E60">
        <w:rPr>
          <w:rFonts w:eastAsia="Times New Roman"/>
          <w:szCs w:val="20"/>
          <w:lang w:val="ru-RU"/>
        </w:rPr>
        <w:t>43.</w:t>
      </w:r>
      <w:r w:rsidRPr="003D1E60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 xml:space="preserve">В рамках подготовки к своей возобновляемой пятой сессии Ассамблея по окружающей среде, возможно, пожелает просить Директора-исполнителя организовать </w:t>
      </w:r>
      <w:r w:rsidR="0051558D" w:rsidRPr="003D1E60">
        <w:rPr>
          <w:rFonts w:eastAsia="Times New Roman"/>
          <w:szCs w:val="20"/>
          <w:lang w:val="ru-RU"/>
        </w:rPr>
        <w:t>неофициальную группу экспертов</w:t>
      </w:r>
      <w:r w:rsidR="0051558D" w:rsidRPr="0051558D">
        <w:rPr>
          <w:rFonts w:eastAsia="Times New Roman"/>
          <w:szCs w:val="20"/>
          <w:lang w:val="ru-RU"/>
        </w:rPr>
        <w:t xml:space="preserve"> по </w:t>
      </w:r>
      <w:r w:rsidR="004F7A81">
        <w:rPr>
          <w:rFonts w:eastAsia="Times New Roman"/>
          <w:szCs w:val="20"/>
          <w:lang w:val="ru-RU"/>
        </w:rPr>
        <w:t xml:space="preserve">проблеме </w:t>
      </w:r>
      <w:r w:rsidR="0051558D" w:rsidRPr="0051558D">
        <w:rPr>
          <w:rFonts w:eastAsia="Times New Roman"/>
          <w:szCs w:val="20"/>
          <w:lang w:val="ru-RU"/>
        </w:rPr>
        <w:t>мусор</w:t>
      </w:r>
      <w:r w:rsidR="004F7A81">
        <w:rPr>
          <w:rFonts w:eastAsia="Times New Roman"/>
          <w:szCs w:val="20"/>
          <w:lang w:val="ru-RU"/>
        </w:rPr>
        <w:t>а</w:t>
      </w:r>
      <w:r w:rsidR="0051558D" w:rsidRPr="0051558D">
        <w:rPr>
          <w:rFonts w:eastAsia="Times New Roman"/>
          <w:szCs w:val="20"/>
          <w:lang w:val="ru-RU"/>
        </w:rPr>
        <w:t xml:space="preserve"> и микрочастиц пластмасс</w:t>
      </w:r>
      <w:r w:rsidR="004F7A81">
        <w:rPr>
          <w:rFonts w:eastAsia="Times New Roman"/>
          <w:szCs w:val="20"/>
          <w:lang w:val="ru-RU"/>
        </w:rPr>
        <w:t xml:space="preserve"> в морской среде</w:t>
      </w:r>
      <w:r w:rsidR="0051558D" w:rsidRPr="0051558D">
        <w:rPr>
          <w:rFonts w:eastAsia="Times New Roman"/>
          <w:szCs w:val="20"/>
          <w:lang w:val="ru-RU"/>
        </w:rPr>
        <w:t xml:space="preserve">. </w:t>
      </w:r>
    </w:p>
    <w:p w14:paraId="6A0D0C91" w14:textId="5C1C26FF" w:rsidR="0051558D" w:rsidRPr="0051558D" w:rsidRDefault="007E71CA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3D1E60">
        <w:rPr>
          <w:rFonts w:eastAsia="Times New Roman"/>
          <w:szCs w:val="20"/>
          <w:lang w:val="ru-RU"/>
        </w:rPr>
        <w:t>44.</w:t>
      </w:r>
      <w:r w:rsidRPr="003D1E60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Ассамблея по окружающей среде, возможно, пожелает принять к сведению выводы, сделанные в оценке источников, путей поступления и опасности мусора, включая пластиковый мусор и микрочастицы пластмасс</w:t>
      </w:r>
      <w:r w:rsidR="0051558D" w:rsidRPr="0051558D">
        <w:rPr>
          <w:rFonts w:eastAsia="Times New Roman"/>
          <w:szCs w:val="20"/>
          <w:vertAlign w:val="superscript"/>
          <w:lang w:val="ru-RU"/>
        </w:rPr>
        <w:footnoteReference w:id="37"/>
      </w:r>
      <w:r w:rsidR="0051558D" w:rsidRPr="0051558D">
        <w:rPr>
          <w:rFonts w:eastAsia="Times New Roman"/>
          <w:szCs w:val="20"/>
          <w:lang w:val="ru-RU"/>
        </w:rPr>
        <w:t>.</w:t>
      </w:r>
    </w:p>
    <w:p w14:paraId="11A80CD7" w14:textId="1A4659B1" w:rsidR="0051558D" w:rsidRPr="0051558D" w:rsidRDefault="007E71CA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3D1E60">
        <w:rPr>
          <w:rFonts w:eastAsia="Times New Roman"/>
          <w:szCs w:val="20"/>
          <w:lang w:val="ru-RU"/>
        </w:rPr>
        <w:t>45.</w:t>
      </w:r>
      <w:r w:rsidRPr="003D1E60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Ассамблея по окружающей среде, возможно, пожелает предложить государствам</w:t>
      </w:r>
      <w:r w:rsidR="00ED6F70">
        <w:rPr>
          <w:rFonts w:eastAsia="Times New Roman"/>
          <w:szCs w:val="20"/>
          <w:lang w:val="ru-RU"/>
        </w:rPr>
        <w:noBreakHyphen/>
      </w:r>
      <w:r w:rsidR="0051558D" w:rsidRPr="0051558D">
        <w:rPr>
          <w:rFonts w:eastAsia="Times New Roman"/>
          <w:szCs w:val="20"/>
          <w:lang w:val="ru-RU"/>
        </w:rPr>
        <w:t>членам и соответствующим заинтересованным сторонам, которые еще не сделали этого, присоединиться к Глобальному партнерству по морскому мусору и кампании «Чистые моря».</w:t>
      </w:r>
    </w:p>
    <w:p w14:paraId="770158BD" w14:textId="7F9EA335" w:rsidR="0051558D" w:rsidRDefault="007E71CA" w:rsidP="0051558D">
      <w:pPr>
        <w:spacing w:after="120"/>
        <w:ind w:left="1247"/>
        <w:rPr>
          <w:rFonts w:eastAsia="Times New Roman"/>
          <w:szCs w:val="20"/>
          <w:lang w:val="ru-RU"/>
        </w:rPr>
      </w:pPr>
      <w:r w:rsidRPr="003D1E60">
        <w:rPr>
          <w:rFonts w:eastAsia="Times New Roman"/>
          <w:szCs w:val="20"/>
          <w:lang w:val="ru-RU"/>
        </w:rPr>
        <w:t>46.</w:t>
      </w:r>
      <w:r w:rsidRPr="003D1E60">
        <w:rPr>
          <w:rFonts w:eastAsia="Times New Roman"/>
          <w:szCs w:val="20"/>
          <w:lang w:val="ru-RU"/>
        </w:rPr>
        <w:tab/>
      </w:r>
      <w:r w:rsidR="0051558D" w:rsidRPr="0051558D">
        <w:rPr>
          <w:rFonts w:eastAsia="Times New Roman"/>
          <w:szCs w:val="20"/>
          <w:lang w:val="ru-RU"/>
        </w:rPr>
        <w:t>Ассамблея по окружающей среде, возможно, пожелает предложить правительствам, частному сектору, фондам и другим организациям поддержать работу Программы Организации Объединенных Наций по окружающей среде, связанную с морским мусором и микрочастицами пластмасс, путем внесения добровольных финансовых взносов.</w:t>
      </w:r>
    </w:p>
    <w:tbl>
      <w:tblPr>
        <w:tblStyle w:val="TableGrid1"/>
        <w:tblW w:w="5000" w:type="pct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8"/>
        <w:gridCol w:w="1899"/>
        <w:gridCol w:w="1899"/>
        <w:gridCol w:w="1900"/>
        <w:gridCol w:w="1900"/>
      </w:tblGrid>
      <w:tr w:rsidR="004F629C" w:rsidRPr="00F04B69" w14:paraId="2AE77042" w14:textId="77777777" w:rsidTr="004F629C">
        <w:tc>
          <w:tcPr>
            <w:tcW w:w="1898" w:type="dxa"/>
          </w:tcPr>
          <w:p w14:paraId="4F526BBD" w14:textId="77777777" w:rsidR="004F629C" w:rsidRPr="001F1540" w:rsidRDefault="004F629C" w:rsidP="00E5239B">
            <w:pPr>
              <w:spacing w:before="360" w:after="0"/>
              <w:ind w:left="0"/>
              <w:rPr>
                <w:lang w:val="ru-RU"/>
              </w:rPr>
            </w:pPr>
          </w:p>
        </w:tc>
        <w:tc>
          <w:tcPr>
            <w:tcW w:w="1899" w:type="dxa"/>
          </w:tcPr>
          <w:p w14:paraId="27FC20A1" w14:textId="77777777" w:rsidR="004F629C" w:rsidRPr="001F1540" w:rsidRDefault="004F629C" w:rsidP="00E5239B">
            <w:pPr>
              <w:spacing w:before="360" w:after="0"/>
              <w:ind w:left="0"/>
              <w:rPr>
                <w:lang w:val="ru-RU"/>
              </w:rPr>
            </w:pPr>
          </w:p>
        </w:tc>
        <w:tc>
          <w:tcPr>
            <w:tcW w:w="1899" w:type="dxa"/>
            <w:tcBorders>
              <w:bottom w:val="single" w:sz="4" w:space="0" w:color="auto"/>
            </w:tcBorders>
          </w:tcPr>
          <w:p w14:paraId="0E7C9AB5" w14:textId="77777777" w:rsidR="004F629C" w:rsidRPr="001F1540" w:rsidRDefault="004F629C" w:rsidP="00E5239B">
            <w:pPr>
              <w:spacing w:before="360" w:after="0"/>
              <w:ind w:left="0"/>
              <w:rPr>
                <w:lang w:val="ru-RU"/>
              </w:rPr>
            </w:pPr>
          </w:p>
        </w:tc>
        <w:tc>
          <w:tcPr>
            <w:tcW w:w="1900" w:type="dxa"/>
          </w:tcPr>
          <w:p w14:paraId="5D47B98A" w14:textId="77777777" w:rsidR="004F629C" w:rsidRPr="001F1540" w:rsidRDefault="004F629C" w:rsidP="00E5239B">
            <w:pPr>
              <w:spacing w:before="360" w:after="0"/>
              <w:ind w:left="0"/>
              <w:rPr>
                <w:lang w:val="ru-RU"/>
              </w:rPr>
            </w:pPr>
          </w:p>
        </w:tc>
        <w:tc>
          <w:tcPr>
            <w:tcW w:w="1900" w:type="dxa"/>
          </w:tcPr>
          <w:p w14:paraId="23A5CE48" w14:textId="77777777" w:rsidR="004F629C" w:rsidRPr="001F1540" w:rsidRDefault="004F629C" w:rsidP="00E5239B">
            <w:pPr>
              <w:spacing w:before="360" w:after="0"/>
              <w:ind w:left="0"/>
              <w:rPr>
                <w:lang w:val="ru-RU"/>
              </w:rPr>
            </w:pPr>
          </w:p>
        </w:tc>
      </w:tr>
    </w:tbl>
    <w:p w14:paraId="085F7362" w14:textId="77777777" w:rsidR="004F629C" w:rsidRDefault="004F629C" w:rsidP="004F629C">
      <w:pPr>
        <w:spacing w:after="120"/>
        <w:rPr>
          <w:rFonts w:eastAsia="Times New Roman"/>
          <w:szCs w:val="20"/>
          <w:lang w:val="ru-RU"/>
        </w:rPr>
      </w:pPr>
    </w:p>
    <w:sectPr w:rsidR="004F629C" w:rsidSect="002C7A0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Restart w:val="eachSect"/>
      </w:footnotePr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E32F50" w14:textId="77777777" w:rsidR="00A83A6C" w:rsidRDefault="00A83A6C">
      <w:r>
        <w:separator/>
      </w:r>
    </w:p>
  </w:endnote>
  <w:endnote w:type="continuationSeparator" w:id="0">
    <w:p w14:paraId="050C401B" w14:textId="77777777" w:rsidR="00A83A6C" w:rsidRDefault="00A83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BB5CF" w14:textId="77777777" w:rsidR="00431BBF" w:rsidRDefault="00431BBF" w:rsidP="00455F0E">
    <w:pPr>
      <w:pStyle w:val="Footer"/>
      <w:tabs>
        <w:tab w:val="clear" w:pos="4320"/>
        <w:tab w:val="clear" w:pos="8640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7155A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6A4FB" w14:textId="77777777" w:rsidR="00431BBF" w:rsidRDefault="00431BBF" w:rsidP="00256D2A">
    <w:pPr>
      <w:pStyle w:val="Footer"/>
      <w:tabs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7155A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25DCC" w14:textId="328BF171" w:rsidR="00256D2A" w:rsidRPr="001409C7" w:rsidRDefault="00431BBF" w:rsidP="00256D2A">
    <w:pPr>
      <w:spacing w:before="60" w:after="120"/>
    </w:pPr>
    <w:r>
      <w:rPr>
        <w:lang w:val="ru-RU"/>
      </w:rPr>
      <w:t>K</w:t>
    </w:r>
    <w:r w:rsidR="00482795">
      <w:t>20</w:t>
    </w:r>
    <w:r>
      <w:rPr>
        <w:lang w:val="ru-RU"/>
      </w:rPr>
      <w:t>0</w:t>
    </w:r>
    <w:r w:rsidR="00482795">
      <w:t>2</w:t>
    </w:r>
    <w:r w:rsidR="00E52F3F">
      <w:t>796</w:t>
    </w:r>
    <w:r>
      <w:rPr>
        <w:lang w:val="en-US"/>
      </w:rPr>
      <w:t xml:space="preserve">      </w:t>
    </w:r>
    <w:r w:rsidR="00AA2D47">
      <w:rPr>
        <w:lang w:val="en-US"/>
      </w:rPr>
      <w:t>0</w:t>
    </w:r>
    <w:r w:rsidR="002C7A02">
      <w:rPr>
        <w:lang w:val="en-US"/>
      </w:rPr>
      <w:t>7</w:t>
    </w:r>
    <w:r w:rsidR="00AA2D47">
      <w:rPr>
        <w:lang w:val="en-US"/>
      </w:rPr>
      <w:t>0</w:t>
    </w:r>
    <w:r w:rsidR="00482795">
      <w:rPr>
        <w:lang w:val="en-US"/>
      </w:rPr>
      <w:t>12</w:t>
    </w:r>
    <w:r w:rsidR="00AA2D47">
      <w:rPr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960880" w14:textId="77777777" w:rsidR="00A83A6C" w:rsidRDefault="00A83A6C">
      <w:pPr>
        <w:tabs>
          <w:tab w:val="left" w:pos="624"/>
        </w:tabs>
        <w:spacing w:before="60"/>
        <w:ind w:left="624"/>
        <w:rPr>
          <w:sz w:val="18"/>
          <w:szCs w:val="18"/>
        </w:rPr>
      </w:pPr>
      <w:r>
        <w:rPr>
          <w:sz w:val="18"/>
          <w:szCs w:val="18"/>
        </w:rPr>
        <w:separator/>
      </w:r>
    </w:p>
  </w:footnote>
  <w:footnote w:type="continuationSeparator" w:id="0">
    <w:p w14:paraId="70609D8D" w14:textId="77777777" w:rsidR="00A83A6C" w:rsidRDefault="00A83A6C">
      <w:r>
        <w:continuationSeparator/>
      </w:r>
    </w:p>
  </w:footnote>
  <w:footnote w:id="1">
    <w:p w14:paraId="625D9559" w14:textId="77777777" w:rsidR="00EB439B" w:rsidRPr="00CF50FC" w:rsidRDefault="00EB439B" w:rsidP="00EB439B">
      <w:pPr>
        <w:spacing w:before="20" w:after="40"/>
        <w:ind w:left="1247"/>
        <w:rPr>
          <w:rFonts w:eastAsia="Times New Roman"/>
          <w:sz w:val="18"/>
          <w:szCs w:val="18"/>
          <w:lang w:val="ru-RU" w:eastAsia="en-GB"/>
        </w:rPr>
      </w:pPr>
      <w:r w:rsidRPr="00CF50FC">
        <w:rPr>
          <w:rStyle w:val="FootnoteReference"/>
          <w:sz w:val="18"/>
          <w:vertAlign w:val="baseline"/>
          <w:lang w:val="ru-RU"/>
        </w:rPr>
        <w:t>*</w:t>
      </w:r>
      <w:r w:rsidRPr="00CF50FC">
        <w:rPr>
          <w:sz w:val="18"/>
          <w:szCs w:val="18"/>
          <w:lang w:val="ru-RU"/>
        </w:rPr>
        <w:tab/>
      </w:r>
      <w:r w:rsidRPr="00CF50FC">
        <w:rPr>
          <w:rFonts w:eastAsia="Times New Roman"/>
          <w:sz w:val="18"/>
          <w:szCs w:val="18"/>
          <w:lang w:val="ru-RU" w:eastAsia="en-GB"/>
        </w:rPr>
        <w:t>В соответствии с решениями, принятыми на совещании Бюро Ассамблеи Организации Объединенных Наций по окружающей среде, состоявшемся 8 октября 2020 года, и на совместном совещании Бюро Ассамблеи Организации Объединенных Наций по окружающей среде и Бюро Комитета постоянных представителей, состоявшемся 1 декабря 2020 года, пятая сессия Ассамблеи, как ожидается, приостановит свою работу 23 февраля 2021 года и возобновит ее в режиме очного совещания в феврале 2022 года.</w:t>
      </w:r>
    </w:p>
  </w:footnote>
  <w:footnote w:id="2">
    <w:p w14:paraId="3B3758E4" w14:textId="77777777" w:rsidR="00EB439B" w:rsidRPr="001F66A9" w:rsidRDefault="00EB439B" w:rsidP="00EB439B">
      <w:pPr>
        <w:pStyle w:val="FootnoteText"/>
        <w:rPr>
          <w:szCs w:val="18"/>
          <w:lang w:val="ru-RU"/>
        </w:rPr>
      </w:pPr>
      <w:r w:rsidRPr="00240DB6">
        <w:rPr>
          <w:rStyle w:val="FootnoteReference"/>
          <w:sz w:val="18"/>
          <w:vertAlign w:val="baseline"/>
          <w:lang w:val="ru-RU"/>
        </w:rPr>
        <w:t>**</w:t>
      </w:r>
      <w:r w:rsidRPr="00240DB6">
        <w:rPr>
          <w:szCs w:val="18"/>
          <w:lang w:val="ru-RU"/>
        </w:rPr>
        <w:tab/>
      </w:r>
      <w:r w:rsidRPr="007123EC">
        <w:rPr>
          <w:rStyle w:val="FootnoteReference"/>
          <w:sz w:val="18"/>
          <w:vertAlign w:val="baseline"/>
        </w:rPr>
        <w:t>UNEP</w:t>
      </w:r>
      <w:r w:rsidRPr="00240DB6">
        <w:rPr>
          <w:rStyle w:val="FootnoteReference"/>
          <w:sz w:val="18"/>
          <w:vertAlign w:val="baseline"/>
          <w:lang w:val="ru-RU"/>
        </w:rPr>
        <w:t>/</w:t>
      </w:r>
      <w:r w:rsidRPr="007123EC">
        <w:rPr>
          <w:rStyle w:val="FootnoteReference"/>
          <w:sz w:val="18"/>
          <w:vertAlign w:val="baseline"/>
        </w:rPr>
        <w:t>EA</w:t>
      </w:r>
      <w:r w:rsidRPr="00240DB6">
        <w:rPr>
          <w:rStyle w:val="FootnoteReference"/>
          <w:sz w:val="18"/>
          <w:vertAlign w:val="baseline"/>
          <w:lang w:val="ru-RU"/>
        </w:rPr>
        <w:t>.</w:t>
      </w:r>
      <w:r w:rsidRPr="00240DB6">
        <w:rPr>
          <w:szCs w:val="18"/>
          <w:lang w:val="ru-RU"/>
        </w:rPr>
        <w:t>5</w:t>
      </w:r>
      <w:r w:rsidRPr="00240DB6">
        <w:rPr>
          <w:rStyle w:val="FootnoteReference"/>
          <w:sz w:val="18"/>
          <w:vertAlign w:val="baseline"/>
          <w:lang w:val="ru-RU"/>
        </w:rPr>
        <w:t>/</w:t>
      </w:r>
      <w:r w:rsidRPr="00240DB6">
        <w:rPr>
          <w:szCs w:val="18"/>
          <w:lang w:val="ru-RU"/>
        </w:rPr>
        <w:t>1</w:t>
      </w:r>
      <w:r w:rsidRPr="005245CF">
        <w:rPr>
          <w:szCs w:val="18"/>
          <w:lang w:val="ru-RU"/>
        </w:rPr>
        <w:t>/</w:t>
      </w:r>
      <w:r>
        <w:rPr>
          <w:szCs w:val="18"/>
        </w:rPr>
        <w:t>Rev</w:t>
      </w:r>
      <w:r w:rsidRPr="005245CF">
        <w:rPr>
          <w:szCs w:val="18"/>
          <w:lang w:val="ru-RU"/>
        </w:rPr>
        <w:t>.1</w:t>
      </w:r>
      <w:r>
        <w:rPr>
          <w:szCs w:val="18"/>
          <w:lang w:val="ru-RU"/>
        </w:rPr>
        <w:t>.</w:t>
      </w:r>
    </w:p>
  </w:footnote>
  <w:footnote w:id="3">
    <w:p w14:paraId="09B63330" w14:textId="6AC373B8" w:rsidR="0051558D" w:rsidRPr="00956711" w:rsidRDefault="0051558D" w:rsidP="00FD6087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ru-RU"/>
        </w:rPr>
      </w:pPr>
      <w:r w:rsidRPr="00956711">
        <w:rPr>
          <w:rStyle w:val="FootnoteReference"/>
          <w:sz w:val="18"/>
          <w:lang w:val="ru-RU"/>
        </w:rPr>
        <w:footnoteRef/>
      </w:r>
      <w:r w:rsidR="004B683A">
        <w:rPr>
          <w:sz w:val="18"/>
          <w:szCs w:val="18"/>
          <w:lang w:val="ru-RU"/>
        </w:rPr>
        <w:tab/>
      </w:r>
      <w:r w:rsidRPr="00956711">
        <w:rPr>
          <w:sz w:val="18"/>
          <w:szCs w:val="18"/>
          <w:lang w:val="ru-RU"/>
        </w:rPr>
        <w:t>Состояние и продуктивность морских, пресноводных и наземных экосистем институционализированы в механизмах образования, мониторинга, межсекторального и трансграничного сотрудничества на национальном и международном уровнях.</w:t>
      </w:r>
    </w:p>
  </w:footnote>
  <w:footnote w:id="4">
    <w:p w14:paraId="5E22CF2B" w14:textId="673B4750" w:rsidR="0062144E" w:rsidRPr="00956711" w:rsidRDefault="0062144E" w:rsidP="0062144E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ru-RU"/>
        </w:rPr>
      </w:pPr>
      <w:r w:rsidRPr="00956711">
        <w:rPr>
          <w:rStyle w:val="FootnoteReference"/>
          <w:sz w:val="18"/>
          <w:lang w:val="ru-RU"/>
        </w:rPr>
        <w:footnoteRef/>
      </w:r>
      <w:r>
        <w:rPr>
          <w:sz w:val="18"/>
          <w:szCs w:val="18"/>
          <w:lang w:val="ru-RU"/>
        </w:rPr>
        <w:tab/>
      </w:r>
      <w:r w:rsidRPr="00956711">
        <w:rPr>
          <w:sz w:val="18"/>
          <w:szCs w:val="18"/>
          <w:lang w:val="ru-RU"/>
        </w:rPr>
        <w:t>Организационный потенциал и политика и/или правовые рамки укреплены для достижения согласованных на международном уровне целей в области охраны окружающей среды, включая Повестку дня в области устойчивого развития на период до 2030 года и цели в области устойчивого развития.</w:t>
      </w:r>
    </w:p>
  </w:footnote>
  <w:footnote w:id="5">
    <w:p w14:paraId="1835A7D1" w14:textId="682BB05C" w:rsidR="0051558D" w:rsidRPr="00956711" w:rsidRDefault="0051558D" w:rsidP="00E95917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ru-RU"/>
        </w:rPr>
      </w:pPr>
      <w:r w:rsidRPr="00956711">
        <w:rPr>
          <w:rStyle w:val="FootnoteReference"/>
          <w:sz w:val="18"/>
          <w:lang w:val="ru-RU"/>
        </w:rPr>
        <w:footnoteRef/>
      </w:r>
      <w:r w:rsidR="004B683A">
        <w:rPr>
          <w:sz w:val="18"/>
          <w:szCs w:val="18"/>
          <w:lang w:val="ru-RU"/>
        </w:rPr>
        <w:tab/>
      </w:r>
      <w:r w:rsidRPr="00956711">
        <w:rPr>
          <w:sz w:val="18"/>
          <w:szCs w:val="18"/>
          <w:lang w:val="ru-RU"/>
        </w:rPr>
        <w:t>Разработка или осуществление в странах мер политики и правовых, институциональных и финансовых стратегий и механизмов в области рационального регулирования химических веществ в рамках соответствующих многосторонних природоохранных соглашений и Стратегического подхода к международному регулированию химических веществ.</w:t>
      </w:r>
    </w:p>
  </w:footnote>
  <w:footnote w:id="6">
    <w:p w14:paraId="5D73C3BB" w14:textId="6F19B3A1" w:rsidR="0051558D" w:rsidRPr="00A0075C" w:rsidRDefault="0051558D" w:rsidP="00E95917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ru-RU"/>
        </w:rPr>
      </w:pPr>
      <w:r w:rsidRPr="00956711">
        <w:rPr>
          <w:rStyle w:val="FootnoteReference"/>
          <w:sz w:val="18"/>
          <w:lang w:val="ru-RU"/>
        </w:rPr>
        <w:footnoteRef/>
      </w:r>
      <w:r w:rsidR="00E95917">
        <w:rPr>
          <w:sz w:val="18"/>
          <w:szCs w:val="18"/>
          <w:lang w:val="ru-RU"/>
        </w:rPr>
        <w:tab/>
      </w:r>
      <w:r w:rsidRPr="00956711">
        <w:rPr>
          <w:sz w:val="18"/>
          <w:szCs w:val="18"/>
          <w:lang w:val="ru-RU"/>
        </w:rPr>
        <w:t>Разработка или осуществление в странах мер политики и правовых, институциональных и финансовых стратегий и механизмов в области предотвращени</w:t>
      </w:r>
      <w:r w:rsidR="00E07DD8">
        <w:rPr>
          <w:sz w:val="18"/>
          <w:szCs w:val="18"/>
          <w:lang w:val="ru-RU"/>
        </w:rPr>
        <w:t>я</w:t>
      </w:r>
      <w:r w:rsidRPr="00956711">
        <w:rPr>
          <w:sz w:val="18"/>
          <w:szCs w:val="18"/>
          <w:lang w:val="ru-RU"/>
        </w:rPr>
        <w:t xml:space="preserve"> образования и рационального регулирования отходов </w:t>
      </w:r>
      <w:r w:rsidRPr="00A0075C">
        <w:rPr>
          <w:sz w:val="18"/>
          <w:szCs w:val="18"/>
          <w:lang w:val="ru-RU"/>
        </w:rPr>
        <w:t>в рамках соответствующих многосторонних природоохранных соглашений.</w:t>
      </w:r>
    </w:p>
  </w:footnote>
  <w:footnote w:id="7">
    <w:p w14:paraId="3D28CFB9" w14:textId="480D0B25" w:rsidR="0051558D" w:rsidRPr="00A0075C" w:rsidRDefault="0051558D" w:rsidP="00E95917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ru-RU"/>
        </w:rPr>
      </w:pPr>
      <w:r w:rsidRPr="00A0075C">
        <w:rPr>
          <w:rStyle w:val="FootnoteReference"/>
          <w:sz w:val="18"/>
          <w:lang w:val="ru-RU"/>
        </w:rPr>
        <w:footnoteRef/>
      </w:r>
      <w:r w:rsidR="00E95917">
        <w:rPr>
          <w:sz w:val="18"/>
          <w:szCs w:val="18"/>
          <w:lang w:val="ru-RU"/>
        </w:rPr>
        <w:tab/>
      </w:r>
      <w:r w:rsidRPr="00A0075C">
        <w:rPr>
          <w:color w:val="333333"/>
          <w:sz w:val="18"/>
          <w:szCs w:val="18"/>
          <w:shd w:val="clear" w:color="auto" w:fill="FFFFFF"/>
          <w:lang w:val="ru-RU"/>
        </w:rPr>
        <w:t>Использование правительствами и другими заинтересованными сторонами качественных открытых экологических</w:t>
      </w:r>
      <w:r>
        <w:rPr>
          <w:color w:val="333333"/>
          <w:sz w:val="18"/>
          <w:szCs w:val="18"/>
          <w:shd w:val="clear" w:color="auto" w:fill="FFFFFF"/>
          <w:lang w:val="ru-RU"/>
        </w:rPr>
        <w:t xml:space="preserve"> данных</w:t>
      </w:r>
      <w:r w:rsidRPr="00A0075C">
        <w:rPr>
          <w:color w:val="333333"/>
          <w:sz w:val="18"/>
          <w:szCs w:val="18"/>
          <w:shd w:val="clear" w:color="auto" w:fill="FFFFFF"/>
          <w:lang w:val="ru-RU"/>
        </w:rPr>
        <w:t>, аналитических материалов и основанных на широком участии процессов, укрепляющих научно-политическое взаимодействие с целью выработки научно обоснованных оценок состояния окружающей</w:t>
      </w:r>
      <w:r>
        <w:rPr>
          <w:color w:val="333333"/>
          <w:sz w:val="18"/>
          <w:szCs w:val="18"/>
          <w:shd w:val="clear" w:color="auto" w:fill="FFFFFF"/>
          <w:lang w:val="ru-RU"/>
        </w:rPr>
        <w:t xml:space="preserve"> среды</w:t>
      </w:r>
      <w:r w:rsidRPr="00A0075C">
        <w:rPr>
          <w:color w:val="333333"/>
          <w:sz w:val="18"/>
          <w:szCs w:val="18"/>
          <w:shd w:val="clear" w:color="auto" w:fill="FFFFFF"/>
          <w:lang w:val="ru-RU"/>
        </w:rPr>
        <w:t>, выявления возникающих вопросов и активизации политических действий</w:t>
      </w:r>
      <w:r w:rsidRPr="00A0075C">
        <w:rPr>
          <w:sz w:val="18"/>
          <w:szCs w:val="18"/>
          <w:lang w:val="ru-RU"/>
        </w:rPr>
        <w:t>.</w:t>
      </w:r>
    </w:p>
  </w:footnote>
  <w:footnote w:id="8">
    <w:p w14:paraId="61B5D089" w14:textId="37715465" w:rsidR="0051558D" w:rsidRPr="00956711" w:rsidRDefault="0051558D" w:rsidP="00E95917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ru-RU"/>
        </w:rPr>
      </w:pPr>
      <w:r w:rsidRPr="00A0075C">
        <w:rPr>
          <w:rStyle w:val="FootnoteReference"/>
          <w:sz w:val="18"/>
          <w:lang w:val="ru-RU"/>
        </w:rPr>
        <w:footnoteRef/>
      </w:r>
      <w:r w:rsidR="00E95917">
        <w:rPr>
          <w:sz w:val="18"/>
          <w:szCs w:val="18"/>
          <w:lang w:val="ru-RU"/>
        </w:rPr>
        <w:tab/>
      </w:r>
      <w:r w:rsidRPr="00A0075C">
        <w:rPr>
          <w:sz w:val="18"/>
          <w:szCs w:val="18"/>
          <w:lang w:val="ru-RU"/>
        </w:rPr>
        <w:t>https://www.gpmarinelitter.org/who-we-are/regional</w:t>
      </w:r>
      <w:r w:rsidRPr="00956711">
        <w:rPr>
          <w:sz w:val="18"/>
          <w:szCs w:val="18"/>
          <w:lang w:val="ru-RU"/>
        </w:rPr>
        <w:t>-nodes.</w:t>
      </w:r>
    </w:p>
  </w:footnote>
  <w:footnote w:id="9">
    <w:p w14:paraId="170DF9EE" w14:textId="11BF8B40" w:rsidR="0051558D" w:rsidRPr="00956711" w:rsidRDefault="0051558D" w:rsidP="00E95917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ru-RU"/>
        </w:rPr>
      </w:pPr>
      <w:r w:rsidRPr="00956711">
        <w:rPr>
          <w:rStyle w:val="FootnoteReference"/>
          <w:sz w:val="18"/>
          <w:lang w:val="ru-RU"/>
        </w:rPr>
        <w:footnoteRef/>
      </w:r>
      <w:r w:rsidR="00E95917">
        <w:rPr>
          <w:sz w:val="18"/>
          <w:szCs w:val="18"/>
          <w:lang w:val="ru-RU"/>
        </w:rPr>
        <w:tab/>
      </w:r>
      <w:r w:rsidRPr="00956711">
        <w:rPr>
          <w:sz w:val="18"/>
          <w:szCs w:val="18"/>
          <w:lang w:val="ru-RU"/>
        </w:rPr>
        <w:t>https://papersmart.unon.org/resolution/uploads/3_aheg_inf_7_-_marine_litter-_guidelines_for_designing_regional_action_plans_summary.pdf.</w:t>
      </w:r>
    </w:p>
  </w:footnote>
  <w:footnote w:id="10">
    <w:p w14:paraId="0E39D0FE" w14:textId="7C4DC095" w:rsidR="0051558D" w:rsidRPr="000C1482" w:rsidRDefault="0051558D" w:rsidP="0051558D">
      <w:pPr>
        <w:pStyle w:val="Normalpool"/>
        <w:tabs>
          <w:tab w:val="clear" w:pos="1247"/>
          <w:tab w:val="left" w:pos="624"/>
        </w:tabs>
        <w:spacing w:before="20" w:after="40"/>
        <w:ind w:left="1247"/>
        <w:rPr>
          <w:sz w:val="18"/>
          <w:szCs w:val="18"/>
          <w:lang w:val="ru-RU"/>
        </w:rPr>
      </w:pPr>
      <w:r w:rsidRPr="000C1482">
        <w:rPr>
          <w:rStyle w:val="FootnoteReference"/>
          <w:sz w:val="18"/>
          <w:lang w:val="ru-RU"/>
        </w:rPr>
        <w:footnoteRef/>
      </w:r>
      <w:r w:rsidR="00767428">
        <w:rPr>
          <w:sz w:val="18"/>
          <w:szCs w:val="18"/>
          <w:lang w:val="ru-RU"/>
        </w:rPr>
        <w:tab/>
      </w:r>
      <w:r w:rsidRPr="000C1482">
        <w:rPr>
          <w:sz w:val="18"/>
          <w:szCs w:val="18"/>
          <w:lang w:val="ru-RU"/>
        </w:rPr>
        <w:t>http://www.gesamp.org/publications/guidelines-for-the-monitoring-and-assessment-of-plastic-litter-in-the-ocean.</w:t>
      </w:r>
    </w:p>
  </w:footnote>
  <w:footnote w:id="11">
    <w:p w14:paraId="5B135638" w14:textId="4DE20605" w:rsidR="0051558D" w:rsidRPr="000C1482" w:rsidRDefault="0051558D" w:rsidP="0051558D">
      <w:pPr>
        <w:pStyle w:val="Normalpool"/>
        <w:tabs>
          <w:tab w:val="clear" w:pos="1247"/>
          <w:tab w:val="left" w:pos="624"/>
        </w:tabs>
        <w:spacing w:before="20" w:after="40"/>
        <w:ind w:left="1247"/>
        <w:rPr>
          <w:sz w:val="18"/>
          <w:szCs w:val="18"/>
          <w:lang w:val="ru-RU"/>
        </w:rPr>
      </w:pPr>
      <w:r w:rsidRPr="000C1482">
        <w:rPr>
          <w:rStyle w:val="FootnoteReference"/>
          <w:sz w:val="18"/>
          <w:lang w:val="ru-RU"/>
        </w:rPr>
        <w:footnoteRef/>
      </w:r>
      <w:r w:rsidR="00767428">
        <w:rPr>
          <w:sz w:val="18"/>
          <w:szCs w:val="18"/>
          <w:lang w:val="ru-RU"/>
        </w:rPr>
        <w:tab/>
      </w:r>
      <w:r w:rsidRPr="000C1482">
        <w:rPr>
          <w:sz w:val="18"/>
          <w:szCs w:val="18"/>
          <w:lang w:val="ru-RU"/>
        </w:rPr>
        <w:t>https://www.unenvironment.org/cobsea/events/workshop/training-trainers-monitoring-and-assessment-marine-plastic-litter-and-microplastics.</w:t>
      </w:r>
    </w:p>
  </w:footnote>
  <w:footnote w:id="12">
    <w:p w14:paraId="0FDF9A28" w14:textId="730DCB40" w:rsidR="0051558D" w:rsidRPr="000C1482" w:rsidRDefault="0051558D" w:rsidP="00FA6C93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ru-RU"/>
        </w:rPr>
      </w:pPr>
      <w:r w:rsidRPr="000C1482">
        <w:rPr>
          <w:rStyle w:val="FootnoteReference"/>
          <w:sz w:val="18"/>
          <w:lang w:val="ru-RU"/>
        </w:rPr>
        <w:footnoteRef/>
      </w:r>
      <w:r w:rsidR="00FA6C93">
        <w:rPr>
          <w:sz w:val="18"/>
          <w:szCs w:val="18"/>
          <w:lang w:val="ru-RU"/>
        </w:rPr>
        <w:tab/>
      </w:r>
      <w:r w:rsidRPr="000C1482">
        <w:rPr>
          <w:sz w:val="18"/>
          <w:szCs w:val="18"/>
          <w:lang w:val="ru-RU"/>
        </w:rPr>
        <w:t>Руководящие принципы будут представлены до начала работы пятой сессии Ассамблеи по окружающей среде.</w:t>
      </w:r>
    </w:p>
  </w:footnote>
  <w:footnote w:id="13">
    <w:p w14:paraId="5F704046" w14:textId="733B437E" w:rsidR="00450833" w:rsidRPr="000C1482" w:rsidRDefault="00450833" w:rsidP="00450833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ru-RU"/>
        </w:rPr>
      </w:pPr>
      <w:r w:rsidRPr="000C1482">
        <w:rPr>
          <w:rStyle w:val="FootnoteReference"/>
          <w:sz w:val="18"/>
          <w:lang w:val="ru-RU"/>
        </w:rPr>
        <w:footnoteRef/>
      </w:r>
      <w:r>
        <w:rPr>
          <w:sz w:val="18"/>
          <w:szCs w:val="18"/>
          <w:lang w:val="ru-RU"/>
        </w:rPr>
        <w:tab/>
      </w:r>
      <w:r w:rsidRPr="000C1482">
        <w:rPr>
          <w:sz w:val="18"/>
          <w:szCs w:val="18"/>
          <w:lang w:val="ru-RU"/>
        </w:rPr>
        <w:t>Доля твердых бытовых отходов, сбор и утилизация которых осуществляется на контролируемых объектах, в общем количестве отходов, образующихся в городе.</w:t>
      </w:r>
    </w:p>
  </w:footnote>
  <w:footnote w:id="14">
    <w:p w14:paraId="2B12350B" w14:textId="439932AF" w:rsidR="0051558D" w:rsidRPr="000C1482" w:rsidRDefault="0051558D" w:rsidP="00FA6C93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ru-RU"/>
        </w:rPr>
      </w:pPr>
      <w:r w:rsidRPr="000C1482">
        <w:rPr>
          <w:rStyle w:val="FootnoteReference"/>
          <w:sz w:val="18"/>
          <w:lang w:val="ru-RU"/>
        </w:rPr>
        <w:footnoteRef/>
      </w:r>
      <w:r w:rsidR="00FA6C93">
        <w:rPr>
          <w:sz w:val="18"/>
          <w:szCs w:val="18"/>
          <w:lang w:val="ru-RU"/>
        </w:rPr>
        <w:tab/>
      </w:r>
      <w:r w:rsidRPr="000C1482">
        <w:rPr>
          <w:sz w:val="18"/>
          <w:szCs w:val="18"/>
          <w:lang w:val="ru-RU"/>
        </w:rPr>
        <w:t>См. https://leap.informea.org/.</w:t>
      </w:r>
    </w:p>
  </w:footnote>
  <w:footnote w:id="15">
    <w:p w14:paraId="7489B19F" w14:textId="673A2B6E" w:rsidR="0051558D" w:rsidRPr="000C1482" w:rsidRDefault="0051558D" w:rsidP="00FA6C93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ru-RU"/>
        </w:rPr>
      </w:pPr>
      <w:r w:rsidRPr="000C1482">
        <w:rPr>
          <w:rStyle w:val="FootnoteReference"/>
          <w:sz w:val="18"/>
          <w:lang w:val="ru-RU"/>
        </w:rPr>
        <w:footnoteRef/>
      </w:r>
      <w:r w:rsidR="00FA6C93">
        <w:rPr>
          <w:sz w:val="18"/>
          <w:szCs w:val="18"/>
          <w:lang w:val="ru-RU"/>
        </w:rPr>
        <w:tab/>
      </w:r>
      <w:r w:rsidRPr="000C1482">
        <w:rPr>
          <w:sz w:val="18"/>
          <w:szCs w:val="18"/>
          <w:lang w:val="ru-RU"/>
        </w:rPr>
        <w:t>Дополнительная информация будет представлена до начала работы пятой сессии Ассамблеи по окружающей среде.</w:t>
      </w:r>
    </w:p>
  </w:footnote>
  <w:footnote w:id="16">
    <w:p w14:paraId="61701DAA" w14:textId="3DA0FC38" w:rsidR="0051558D" w:rsidRPr="000C1482" w:rsidRDefault="0051558D" w:rsidP="00FA6C93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ru-RU"/>
        </w:rPr>
      </w:pPr>
      <w:r w:rsidRPr="000C1482">
        <w:rPr>
          <w:rStyle w:val="FootnoteReference"/>
          <w:sz w:val="18"/>
          <w:lang w:val="ru-RU"/>
        </w:rPr>
        <w:footnoteRef/>
      </w:r>
      <w:r w:rsidR="00FA6C93">
        <w:rPr>
          <w:sz w:val="18"/>
          <w:szCs w:val="18"/>
          <w:lang w:val="ru-RU"/>
        </w:rPr>
        <w:tab/>
      </w:r>
      <w:r w:rsidRPr="000C1482">
        <w:rPr>
          <w:sz w:val="18"/>
          <w:szCs w:val="18"/>
          <w:lang w:val="ru-RU"/>
        </w:rPr>
        <w:t>http://www.gesamp.org/publications/gesamp-international-workshop-on-assessing-the-risks-associated-with-plastics-and-microplastics-in-the-marine-environment.</w:t>
      </w:r>
    </w:p>
  </w:footnote>
  <w:footnote w:id="17">
    <w:p w14:paraId="252EFB2B" w14:textId="63F8C157" w:rsidR="0051558D" w:rsidRPr="00333F5D" w:rsidRDefault="0051558D" w:rsidP="00117899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ru-RU"/>
        </w:rPr>
      </w:pPr>
      <w:r w:rsidRPr="00333F5D">
        <w:rPr>
          <w:rStyle w:val="FootnoteReference"/>
          <w:sz w:val="18"/>
          <w:lang w:val="ru-RU"/>
        </w:rPr>
        <w:footnoteRef/>
      </w:r>
      <w:r w:rsidR="00117899">
        <w:rPr>
          <w:sz w:val="18"/>
          <w:szCs w:val="18"/>
          <w:lang w:val="ru-RU"/>
        </w:rPr>
        <w:tab/>
      </w:r>
      <w:r w:rsidRPr="00333F5D">
        <w:rPr>
          <w:sz w:val="18"/>
          <w:szCs w:val="18"/>
          <w:lang w:val="ru-RU"/>
        </w:rPr>
        <w:t xml:space="preserve">Более подробную информацию см. в документе UNEP/AHEG/2019/3/INF/6. </w:t>
      </w:r>
    </w:p>
  </w:footnote>
  <w:footnote w:id="18">
    <w:p w14:paraId="1666767E" w14:textId="591E0E01" w:rsidR="0051558D" w:rsidRPr="00333F5D" w:rsidRDefault="0051558D" w:rsidP="00117899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ru-RU"/>
        </w:rPr>
      </w:pPr>
      <w:r w:rsidRPr="00333F5D">
        <w:rPr>
          <w:rStyle w:val="FootnoteReference"/>
          <w:sz w:val="18"/>
          <w:lang w:val="ru-RU"/>
        </w:rPr>
        <w:footnoteRef/>
      </w:r>
      <w:r w:rsidR="00117899">
        <w:rPr>
          <w:sz w:val="18"/>
          <w:szCs w:val="18"/>
          <w:lang w:val="ru-RU"/>
        </w:rPr>
        <w:tab/>
      </w:r>
      <w:r w:rsidRPr="00333F5D">
        <w:rPr>
          <w:sz w:val="18"/>
          <w:szCs w:val="18"/>
          <w:lang w:val="ru-RU"/>
        </w:rPr>
        <w:t xml:space="preserve">Разработка платформы отвечает содержащейся в пункте 7 b) резолюции 3/7 Ассамблеи по окружающей среде просьбе к Директору-исполнителю укреплять потенциал и деятельность ЮНЕП по вопросам мусора и микрочастиц пластмасс </w:t>
      </w:r>
      <w:r w:rsidR="00154422">
        <w:rPr>
          <w:sz w:val="18"/>
          <w:szCs w:val="18"/>
          <w:lang w:val="ru-RU"/>
        </w:rPr>
        <w:t xml:space="preserve">в морской среде </w:t>
      </w:r>
      <w:r w:rsidRPr="00333F5D">
        <w:rPr>
          <w:sz w:val="18"/>
          <w:szCs w:val="18"/>
          <w:lang w:val="ru-RU"/>
        </w:rPr>
        <w:t>посредством предоставления консультаций в отношении приоритизации мероприятий на основе передовых научных знаний и наиболее экологически обоснованных и затратоэффективных мер по предотвращению образования и уменьшению объемов мусора и микрочастиц пластмасс</w:t>
      </w:r>
      <w:r w:rsidR="00154422">
        <w:rPr>
          <w:sz w:val="18"/>
          <w:szCs w:val="18"/>
          <w:lang w:val="ru-RU"/>
        </w:rPr>
        <w:t xml:space="preserve"> в морской среде</w:t>
      </w:r>
      <w:r w:rsidRPr="00333F5D">
        <w:rPr>
          <w:sz w:val="18"/>
          <w:szCs w:val="18"/>
          <w:lang w:val="ru-RU"/>
        </w:rPr>
        <w:t>.</w:t>
      </w:r>
    </w:p>
  </w:footnote>
  <w:footnote w:id="19">
    <w:p w14:paraId="73DC7964" w14:textId="710C2FAD" w:rsidR="0051558D" w:rsidRPr="00333F5D" w:rsidRDefault="0051558D" w:rsidP="00117899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ru-RU"/>
        </w:rPr>
      </w:pPr>
      <w:r w:rsidRPr="00333F5D">
        <w:rPr>
          <w:rStyle w:val="FootnoteReference"/>
          <w:sz w:val="18"/>
          <w:lang w:val="ru-RU"/>
        </w:rPr>
        <w:footnoteRef/>
      </w:r>
      <w:r w:rsidR="00117899">
        <w:rPr>
          <w:sz w:val="18"/>
          <w:szCs w:val="18"/>
          <w:lang w:val="ru-RU"/>
        </w:rPr>
        <w:tab/>
      </w:r>
      <w:r w:rsidRPr="00333F5D">
        <w:rPr>
          <w:sz w:val="18"/>
          <w:szCs w:val="18"/>
          <w:lang w:val="ru-RU"/>
        </w:rPr>
        <w:t>Сайт будет открыт до начала работы пятой сессии Ассамблеи по окружающей среде.</w:t>
      </w:r>
    </w:p>
  </w:footnote>
  <w:footnote w:id="20">
    <w:p w14:paraId="6C29E551" w14:textId="7B8DEE97" w:rsidR="0051558D" w:rsidRPr="00333F5D" w:rsidRDefault="0051558D" w:rsidP="002D0656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ru-RU"/>
        </w:rPr>
      </w:pPr>
      <w:r w:rsidRPr="00333F5D">
        <w:rPr>
          <w:rStyle w:val="FootnoteReference"/>
          <w:sz w:val="18"/>
          <w:lang w:val="ru-RU"/>
        </w:rPr>
        <w:footnoteRef/>
      </w:r>
      <w:r w:rsidR="002D0656">
        <w:rPr>
          <w:sz w:val="18"/>
          <w:szCs w:val="18"/>
          <w:lang w:val="ru-RU"/>
        </w:rPr>
        <w:tab/>
      </w:r>
      <w:r w:rsidRPr="00333F5D">
        <w:rPr>
          <w:sz w:val="18"/>
          <w:szCs w:val="18"/>
          <w:lang w:val="ru-RU"/>
        </w:rPr>
        <w:t>Дополнительная информация доступна по адресу: https://www.gpmarinelitter.org/what-we-do/gpml-digital-platform.</w:t>
      </w:r>
    </w:p>
  </w:footnote>
  <w:footnote w:id="21">
    <w:p w14:paraId="1E4F3529" w14:textId="0F0702AE" w:rsidR="0051558D" w:rsidRPr="00333F5D" w:rsidRDefault="0051558D" w:rsidP="002D0656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ru-RU"/>
        </w:rPr>
      </w:pPr>
      <w:r w:rsidRPr="00333F5D">
        <w:rPr>
          <w:rStyle w:val="FootnoteReference"/>
          <w:sz w:val="18"/>
          <w:lang w:val="ru-RU"/>
        </w:rPr>
        <w:footnoteRef/>
      </w:r>
      <w:r w:rsidR="002D0656">
        <w:rPr>
          <w:sz w:val="18"/>
          <w:szCs w:val="18"/>
          <w:lang w:val="ru-RU"/>
        </w:rPr>
        <w:tab/>
      </w:r>
      <w:r w:rsidRPr="00333F5D">
        <w:rPr>
          <w:sz w:val="18"/>
          <w:szCs w:val="18"/>
          <w:lang w:val="ru-RU"/>
        </w:rPr>
        <w:t>См. http://marinelitter.coaps.fsu.edu/.</w:t>
      </w:r>
    </w:p>
  </w:footnote>
  <w:footnote w:id="22">
    <w:p w14:paraId="5FB72C8D" w14:textId="1AFE8F60" w:rsidR="0051558D" w:rsidRPr="00333F5D" w:rsidRDefault="0051558D" w:rsidP="002D0656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ru-RU"/>
        </w:rPr>
      </w:pPr>
      <w:r w:rsidRPr="00333F5D">
        <w:rPr>
          <w:rStyle w:val="FootnoteReference"/>
          <w:sz w:val="18"/>
          <w:lang w:val="ru-RU"/>
        </w:rPr>
        <w:footnoteRef/>
      </w:r>
      <w:r w:rsidR="002D0656">
        <w:rPr>
          <w:sz w:val="18"/>
          <w:szCs w:val="18"/>
          <w:lang w:val="ru-RU"/>
        </w:rPr>
        <w:tab/>
      </w:r>
      <w:r w:rsidRPr="00333F5D">
        <w:rPr>
          <w:sz w:val="18"/>
          <w:szCs w:val="18"/>
          <w:lang w:val="ru-RU"/>
        </w:rPr>
        <w:t>См. https://leap.informea.org/.</w:t>
      </w:r>
    </w:p>
  </w:footnote>
  <w:footnote w:id="23">
    <w:p w14:paraId="11350214" w14:textId="32CF1843" w:rsidR="0051558D" w:rsidRPr="00333F5D" w:rsidRDefault="0051558D" w:rsidP="002D0656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ru-RU"/>
        </w:rPr>
      </w:pPr>
      <w:r w:rsidRPr="00333F5D">
        <w:rPr>
          <w:rStyle w:val="FootnoteReference"/>
          <w:sz w:val="18"/>
          <w:lang w:val="ru-RU"/>
        </w:rPr>
        <w:footnoteRef/>
      </w:r>
      <w:r w:rsidR="002D0656">
        <w:rPr>
          <w:sz w:val="18"/>
          <w:szCs w:val="18"/>
          <w:lang w:val="ru-RU"/>
        </w:rPr>
        <w:tab/>
      </w:r>
      <w:r w:rsidRPr="00333F5D">
        <w:rPr>
          <w:sz w:val="18"/>
          <w:szCs w:val="18"/>
          <w:lang w:val="ru-RU"/>
        </w:rPr>
        <w:t>В ответ на просьбу, содержащуюся в пункте 2 d) резолюции 4/6. Дополнительная информация доступна по адресу: https://ml-resource-inventory.herokuapp.com/.</w:t>
      </w:r>
    </w:p>
  </w:footnote>
  <w:footnote w:id="24">
    <w:p w14:paraId="399D7F79" w14:textId="4DE299A1" w:rsidR="0051558D" w:rsidRPr="00333F5D" w:rsidRDefault="0051558D" w:rsidP="002D0656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ru-RU"/>
        </w:rPr>
      </w:pPr>
      <w:r w:rsidRPr="00333F5D">
        <w:rPr>
          <w:rStyle w:val="FootnoteReference"/>
          <w:sz w:val="18"/>
          <w:lang w:val="ru-RU"/>
        </w:rPr>
        <w:footnoteRef/>
      </w:r>
      <w:r w:rsidR="002D0656">
        <w:rPr>
          <w:sz w:val="18"/>
          <w:szCs w:val="18"/>
          <w:lang w:val="ru-RU"/>
        </w:rPr>
        <w:tab/>
      </w:r>
      <w:r w:rsidRPr="00333F5D">
        <w:rPr>
          <w:sz w:val="18"/>
          <w:szCs w:val="18"/>
          <w:lang w:val="ru-RU"/>
        </w:rPr>
        <w:t>https://environmentassembly.unenvironment.org/stocktaking-online-repository.</w:t>
      </w:r>
    </w:p>
  </w:footnote>
  <w:footnote w:id="25">
    <w:p w14:paraId="6A30265D" w14:textId="092CA6C9" w:rsidR="0051558D" w:rsidRPr="000F2F7F" w:rsidRDefault="0051558D" w:rsidP="00946797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ru-RU"/>
        </w:rPr>
      </w:pPr>
      <w:r w:rsidRPr="000F2F7F">
        <w:rPr>
          <w:rStyle w:val="FootnoteReference"/>
          <w:sz w:val="18"/>
          <w:lang w:val="ru-RU"/>
        </w:rPr>
        <w:footnoteRef/>
      </w:r>
      <w:r w:rsidR="00946797" w:rsidRPr="000F2F7F">
        <w:rPr>
          <w:sz w:val="18"/>
          <w:szCs w:val="18"/>
          <w:lang w:val="ru-RU"/>
        </w:rPr>
        <w:tab/>
      </w:r>
      <w:r w:rsidRPr="000F2F7F">
        <w:rPr>
          <w:sz w:val="18"/>
          <w:szCs w:val="18"/>
          <w:lang w:val="ru-RU"/>
        </w:rPr>
        <w:t>https://www.oneplanetnetwork.org/sites/default/files/unep_ci_2020_can_i_recycle_this.pdf</w:t>
      </w:r>
      <w:r w:rsidRPr="000F2F7F">
        <w:rPr>
          <w:sz w:val="18"/>
          <w:szCs w:val="18"/>
          <w:u w:val="single"/>
          <w:lang w:val="ru-RU"/>
        </w:rPr>
        <w:t>.</w:t>
      </w:r>
    </w:p>
  </w:footnote>
  <w:footnote w:id="26">
    <w:p w14:paraId="543C9CB8" w14:textId="110712B6" w:rsidR="0051558D" w:rsidRPr="000F2F7F" w:rsidRDefault="0051558D" w:rsidP="00946797">
      <w:pPr>
        <w:pStyle w:val="FootnoteText"/>
        <w:rPr>
          <w:szCs w:val="18"/>
          <w:highlight w:val="cyan"/>
          <w:lang w:val="ru-RU"/>
        </w:rPr>
      </w:pPr>
      <w:r w:rsidRPr="000F2F7F">
        <w:rPr>
          <w:rStyle w:val="FootnoteReference"/>
          <w:sz w:val="18"/>
          <w:lang w:val="ru-RU"/>
        </w:rPr>
        <w:footnoteRef/>
      </w:r>
      <w:r w:rsidR="00946797" w:rsidRPr="000F2F7F">
        <w:rPr>
          <w:szCs w:val="18"/>
          <w:lang w:val="ru-RU"/>
        </w:rPr>
        <w:tab/>
      </w:r>
      <w:r w:rsidRPr="000F2F7F">
        <w:rPr>
          <w:szCs w:val="18"/>
          <w:lang w:val="ru-RU"/>
        </w:rPr>
        <w:t>Более подробная информация о руководящих принципах доступна по адресу: https://www.oneplanetnetwork.org/one-planet-network-wide-plastics-initiative.</w:t>
      </w:r>
    </w:p>
  </w:footnote>
  <w:footnote w:id="27">
    <w:p w14:paraId="07AA339A" w14:textId="57BEB754" w:rsidR="00F04B69" w:rsidRPr="000F2F7F" w:rsidRDefault="00F04B69">
      <w:pPr>
        <w:pStyle w:val="FootnoteText"/>
        <w:rPr>
          <w:szCs w:val="18"/>
          <w:lang w:val="ru-RU"/>
        </w:rPr>
      </w:pPr>
      <w:r w:rsidRPr="000F2F7F">
        <w:rPr>
          <w:rStyle w:val="FootnoteReference"/>
          <w:sz w:val="18"/>
        </w:rPr>
        <w:footnoteRef/>
      </w:r>
      <w:r w:rsidRPr="000F2F7F">
        <w:rPr>
          <w:szCs w:val="18"/>
          <w:lang w:val="ru-RU"/>
        </w:rPr>
        <w:tab/>
      </w:r>
      <w:r w:rsidR="00EF4845" w:rsidRPr="000F2F7F">
        <w:rPr>
          <w:szCs w:val="18"/>
          <w:lang w:val="ru-RU"/>
        </w:rPr>
        <w:t xml:space="preserve">Резюме приводится </w:t>
      </w:r>
      <w:r w:rsidR="00EF4845" w:rsidRPr="000F2F7F">
        <w:rPr>
          <w:rFonts w:eastAsia="Times New Roman"/>
          <w:szCs w:val="18"/>
          <w:lang w:val="ru-RU"/>
        </w:rPr>
        <w:t>в приложении к докладу о работе совещания</w:t>
      </w:r>
      <w:r w:rsidR="004F4863" w:rsidRPr="000F2F7F">
        <w:rPr>
          <w:rFonts w:eastAsia="Times New Roman"/>
          <w:szCs w:val="18"/>
          <w:lang w:val="ru-RU"/>
        </w:rPr>
        <w:t xml:space="preserve"> и также имеется по адресу </w:t>
      </w:r>
      <w:r w:rsidRPr="000F2F7F">
        <w:rPr>
          <w:szCs w:val="18"/>
        </w:rPr>
        <w:t>https</w:t>
      </w:r>
      <w:r w:rsidRPr="000F2F7F">
        <w:rPr>
          <w:szCs w:val="18"/>
          <w:lang w:val="ru-RU"/>
        </w:rPr>
        <w:t>://</w:t>
      </w:r>
      <w:r w:rsidRPr="000F2F7F">
        <w:rPr>
          <w:szCs w:val="18"/>
        </w:rPr>
        <w:t>environmentassembly</w:t>
      </w:r>
      <w:r w:rsidRPr="000F2F7F">
        <w:rPr>
          <w:szCs w:val="18"/>
          <w:lang w:val="ru-RU"/>
        </w:rPr>
        <w:t>.</w:t>
      </w:r>
      <w:r w:rsidRPr="000F2F7F">
        <w:rPr>
          <w:szCs w:val="18"/>
        </w:rPr>
        <w:t>unenvironment</w:t>
      </w:r>
      <w:r w:rsidRPr="000F2F7F">
        <w:rPr>
          <w:szCs w:val="18"/>
          <w:lang w:val="ru-RU"/>
        </w:rPr>
        <w:t>.</w:t>
      </w:r>
      <w:r w:rsidRPr="000F2F7F">
        <w:rPr>
          <w:szCs w:val="18"/>
        </w:rPr>
        <w:t>org</w:t>
      </w:r>
      <w:r w:rsidRPr="000F2F7F">
        <w:rPr>
          <w:szCs w:val="18"/>
          <w:lang w:val="ru-RU"/>
        </w:rPr>
        <w:t>/</w:t>
      </w:r>
      <w:r w:rsidRPr="000F2F7F">
        <w:rPr>
          <w:szCs w:val="18"/>
        </w:rPr>
        <w:t>chairs</w:t>
      </w:r>
      <w:r w:rsidRPr="000F2F7F">
        <w:rPr>
          <w:szCs w:val="18"/>
          <w:lang w:val="ru-RU"/>
        </w:rPr>
        <w:t>-</w:t>
      </w:r>
      <w:r w:rsidRPr="000F2F7F">
        <w:rPr>
          <w:szCs w:val="18"/>
        </w:rPr>
        <w:t>summary</w:t>
      </w:r>
      <w:r w:rsidRPr="000F2F7F">
        <w:rPr>
          <w:szCs w:val="18"/>
          <w:lang w:val="ru-RU"/>
        </w:rPr>
        <w:t>-</w:t>
      </w:r>
      <w:r w:rsidRPr="000F2F7F">
        <w:rPr>
          <w:szCs w:val="18"/>
        </w:rPr>
        <w:t>aheg</w:t>
      </w:r>
      <w:r w:rsidRPr="000F2F7F">
        <w:rPr>
          <w:szCs w:val="18"/>
          <w:lang w:val="ru-RU"/>
        </w:rPr>
        <w:t>-4.</w:t>
      </w:r>
    </w:p>
  </w:footnote>
  <w:footnote w:id="28">
    <w:p w14:paraId="34551E01" w14:textId="5765919A" w:rsidR="0051558D" w:rsidRPr="000F2F7F" w:rsidRDefault="0051558D" w:rsidP="00946797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en-US"/>
        </w:rPr>
      </w:pPr>
      <w:r w:rsidRPr="000F2F7F">
        <w:rPr>
          <w:rStyle w:val="FootnoteReference"/>
          <w:sz w:val="18"/>
          <w:lang w:val="ru-RU"/>
        </w:rPr>
        <w:footnoteRef/>
      </w:r>
      <w:r w:rsidR="00946797" w:rsidRPr="000F2F7F">
        <w:rPr>
          <w:sz w:val="18"/>
          <w:szCs w:val="18"/>
          <w:lang w:val="en-US"/>
        </w:rPr>
        <w:tab/>
      </w:r>
      <w:r w:rsidRPr="000F2F7F">
        <w:rPr>
          <w:sz w:val="18"/>
          <w:szCs w:val="18"/>
          <w:lang w:val="ru-RU"/>
        </w:rPr>
        <w:t>См</w:t>
      </w:r>
      <w:r w:rsidRPr="000F2F7F">
        <w:rPr>
          <w:sz w:val="18"/>
          <w:szCs w:val="18"/>
          <w:lang w:val="en-US"/>
        </w:rPr>
        <w:t xml:space="preserve">. UNEP/AHEG/4/2 </w:t>
      </w:r>
      <w:r w:rsidRPr="000F2F7F">
        <w:rPr>
          <w:sz w:val="18"/>
          <w:szCs w:val="18"/>
          <w:lang w:val="ru-RU"/>
        </w:rPr>
        <w:t>и</w:t>
      </w:r>
      <w:r w:rsidRPr="000F2F7F">
        <w:rPr>
          <w:sz w:val="18"/>
          <w:szCs w:val="18"/>
          <w:lang w:val="en-US"/>
        </w:rPr>
        <w:t xml:space="preserve"> UNEP/AHEG/4/INF/6.</w:t>
      </w:r>
    </w:p>
  </w:footnote>
  <w:footnote w:id="29">
    <w:p w14:paraId="406CDA10" w14:textId="6E8FB7B4" w:rsidR="0051558D" w:rsidRPr="000F2F7F" w:rsidRDefault="0051558D" w:rsidP="00946797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en-US"/>
        </w:rPr>
      </w:pPr>
      <w:r w:rsidRPr="000F2F7F">
        <w:rPr>
          <w:rStyle w:val="FootnoteReference"/>
          <w:sz w:val="18"/>
          <w:lang w:val="ru-RU"/>
        </w:rPr>
        <w:footnoteRef/>
      </w:r>
      <w:r w:rsidR="00946797" w:rsidRPr="000F2F7F">
        <w:rPr>
          <w:sz w:val="18"/>
          <w:szCs w:val="18"/>
          <w:lang w:val="en-US"/>
        </w:rPr>
        <w:tab/>
      </w:r>
      <w:r w:rsidRPr="000F2F7F">
        <w:rPr>
          <w:sz w:val="18"/>
          <w:szCs w:val="18"/>
          <w:lang w:val="en-US"/>
        </w:rPr>
        <w:t>http://www.basel.int/tabid/8426/Default.aspx.</w:t>
      </w:r>
    </w:p>
  </w:footnote>
  <w:footnote w:id="30">
    <w:p w14:paraId="2AF67F84" w14:textId="1A8770C6" w:rsidR="0051558D" w:rsidRPr="00CF520D" w:rsidRDefault="0051558D" w:rsidP="00946797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en-US"/>
        </w:rPr>
      </w:pPr>
      <w:r w:rsidRPr="00ED3776">
        <w:rPr>
          <w:rStyle w:val="FootnoteReference"/>
          <w:sz w:val="18"/>
          <w:lang w:val="ru-RU"/>
        </w:rPr>
        <w:footnoteRef/>
      </w:r>
      <w:r w:rsidR="00946797" w:rsidRPr="00CF520D">
        <w:rPr>
          <w:sz w:val="18"/>
          <w:szCs w:val="18"/>
          <w:lang w:val="en-US"/>
        </w:rPr>
        <w:tab/>
      </w:r>
      <w:r w:rsidRPr="00CF520D">
        <w:rPr>
          <w:sz w:val="18"/>
          <w:szCs w:val="18"/>
          <w:lang w:val="en-US"/>
        </w:rPr>
        <w:t>http://www.basel.int/tabid/7992/Default.aspx.</w:t>
      </w:r>
    </w:p>
  </w:footnote>
  <w:footnote w:id="31">
    <w:p w14:paraId="4D86AD6A" w14:textId="58FE237C" w:rsidR="0051558D" w:rsidRPr="00CF520D" w:rsidRDefault="0051558D" w:rsidP="00946797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en-US"/>
        </w:rPr>
      </w:pPr>
      <w:r w:rsidRPr="00ED3776">
        <w:rPr>
          <w:rStyle w:val="FootnoteReference"/>
          <w:sz w:val="18"/>
          <w:lang w:val="ru-RU"/>
        </w:rPr>
        <w:footnoteRef/>
      </w:r>
      <w:r w:rsidR="00946797" w:rsidRPr="00CF520D">
        <w:rPr>
          <w:sz w:val="18"/>
          <w:szCs w:val="18"/>
          <w:lang w:val="en-US"/>
        </w:rPr>
        <w:tab/>
      </w:r>
      <w:r w:rsidRPr="00CF520D">
        <w:rPr>
          <w:sz w:val="18"/>
          <w:szCs w:val="18"/>
          <w:lang w:val="en-US"/>
        </w:rPr>
        <w:t>http://www.basel.int/tabid/8333/Default.aspx.</w:t>
      </w:r>
    </w:p>
  </w:footnote>
  <w:footnote w:id="32">
    <w:p w14:paraId="42B799C5" w14:textId="28A437CC" w:rsidR="0051558D" w:rsidRPr="00CF520D" w:rsidRDefault="0051558D" w:rsidP="00916430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en-US"/>
        </w:rPr>
      </w:pPr>
      <w:r w:rsidRPr="00ED3776">
        <w:rPr>
          <w:rStyle w:val="FootnoteReference"/>
          <w:sz w:val="18"/>
          <w:lang w:val="ru-RU"/>
        </w:rPr>
        <w:footnoteRef/>
      </w:r>
      <w:r w:rsidR="00946797" w:rsidRPr="00CF520D">
        <w:rPr>
          <w:sz w:val="18"/>
          <w:szCs w:val="18"/>
          <w:lang w:val="en-US"/>
        </w:rPr>
        <w:tab/>
      </w:r>
      <w:r w:rsidRPr="00CF520D">
        <w:rPr>
          <w:sz w:val="18"/>
          <w:szCs w:val="18"/>
          <w:lang w:val="en-US"/>
        </w:rPr>
        <w:t>http://www.basel.int/tabid/8340/Default.aspx.</w:t>
      </w:r>
    </w:p>
  </w:footnote>
  <w:footnote w:id="33">
    <w:p w14:paraId="1892E160" w14:textId="3EFD483A" w:rsidR="0051558D" w:rsidRPr="00CF520D" w:rsidRDefault="0051558D" w:rsidP="00916430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en-US"/>
        </w:rPr>
      </w:pPr>
      <w:r w:rsidRPr="00ED3776">
        <w:rPr>
          <w:rStyle w:val="FootnoteReference"/>
          <w:sz w:val="18"/>
          <w:lang w:val="ru-RU"/>
        </w:rPr>
        <w:footnoteRef/>
      </w:r>
      <w:r w:rsidR="00916430" w:rsidRPr="00CF520D">
        <w:rPr>
          <w:sz w:val="18"/>
          <w:szCs w:val="18"/>
          <w:lang w:val="en-US"/>
        </w:rPr>
        <w:tab/>
      </w:r>
      <w:r w:rsidRPr="00CF520D">
        <w:rPr>
          <w:sz w:val="18"/>
          <w:szCs w:val="18"/>
          <w:lang w:val="en-US"/>
        </w:rPr>
        <w:t>http://www.basel.int/tabid/8341/Default.aspx.</w:t>
      </w:r>
    </w:p>
  </w:footnote>
  <w:footnote w:id="34">
    <w:p w14:paraId="55DCEC4D" w14:textId="15C8BEFA" w:rsidR="0051558D" w:rsidRPr="00CF520D" w:rsidRDefault="0051558D" w:rsidP="00916430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en-US"/>
        </w:rPr>
      </w:pPr>
      <w:r w:rsidRPr="00ED3776">
        <w:rPr>
          <w:rStyle w:val="FootnoteReference"/>
          <w:sz w:val="18"/>
          <w:lang w:val="ru-RU"/>
        </w:rPr>
        <w:footnoteRef/>
      </w:r>
      <w:r w:rsidR="00916430" w:rsidRPr="00CF520D">
        <w:rPr>
          <w:sz w:val="18"/>
          <w:szCs w:val="18"/>
          <w:lang w:val="en-US"/>
        </w:rPr>
        <w:tab/>
      </w:r>
      <w:r w:rsidRPr="00CF520D">
        <w:rPr>
          <w:sz w:val="18"/>
          <w:szCs w:val="18"/>
          <w:lang w:val="en-US"/>
        </w:rPr>
        <w:t>http://www.basel.int/tabid/8402/Default.aspx.</w:t>
      </w:r>
    </w:p>
  </w:footnote>
  <w:footnote w:id="35">
    <w:p w14:paraId="17622A4E" w14:textId="5153317F" w:rsidR="0051558D" w:rsidRPr="00CF520D" w:rsidRDefault="0051558D" w:rsidP="00916430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en-US"/>
        </w:rPr>
      </w:pPr>
      <w:r w:rsidRPr="00ED3776">
        <w:rPr>
          <w:rStyle w:val="FootnoteReference"/>
          <w:sz w:val="18"/>
          <w:lang w:val="ru-RU"/>
        </w:rPr>
        <w:footnoteRef/>
      </w:r>
      <w:r w:rsidR="00916430" w:rsidRPr="00CF520D">
        <w:rPr>
          <w:sz w:val="18"/>
          <w:szCs w:val="18"/>
          <w:lang w:val="en-US"/>
        </w:rPr>
        <w:tab/>
      </w:r>
      <w:r w:rsidRPr="00CF520D">
        <w:rPr>
          <w:sz w:val="18"/>
          <w:szCs w:val="18"/>
          <w:lang w:val="en-US"/>
        </w:rPr>
        <w:t>http://www.basel.int/tabid/8096/Default.aspx.</w:t>
      </w:r>
    </w:p>
  </w:footnote>
  <w:footnote w:id="36">
    <w:p w14:paraId="25ED4DE9" w14:textId="2B75FEF2" w:rsidR="00CB1B83" w:rsidRPr="000F2F7F" w:rsidRDefault="00CB1B83">
      <w:pPr>
        <w:pStyle w:val="FootnoteText"/>
        <w:rPr>
          <w:szCs w:val="18"/>
          <w:lang w:val="ru-RU"/>
        </w:rPr>
      </w:pPr>
      <w:r w:rsidRPr="000F2F7F">
        <w:rPr>
          <w:rStyle w:val="FootnoteReference"/>
          <w:sz w:val="18"/>
        </w:rPr>
        <w:footnoteRef/>
      </w:r>
      <w:r w:rsidR="001C4007" w:rsidRPr="000F2F7F">
        <w:rPr>
          <w:szCs w:val="18"/>
          <w:lang w:val="ru-RU"/>
        </w:rPr>
        <w:tab/>
      </w:r>
      <w:r w:rsidR="001C4007" w:rsidRPr="000F2F7F">
        <w:rPr>
          <w:szCs w:val="18"/>
          <w:lang w:val="ru-RU"/>
        </w:rPr>
        <w:t>И</w:t>
      </w:r>
      <w:r w:rsidR="001C4007" w:rsidRPr="000F2F7F">
        <w:rPr>
          <w:rFonts w:eastAsia="Times New Roman"/>
          <w:szCs w:val="18"/>
          <w:lang w:val="ru-RU"/>
        </w:rPr>
        <w:t xml:space="preserve">меется по адресу </w:t>
      </w:r>
      <w:r w:rsidR="001C4007" w:rsidRPr="000F2F7F">
        <w:rPr>
          <w:szCs w:val="18"/>
        </w:rPr>
        <w:t>https</w:t>
      </w:r>
      <w:r w:rsidR="001C4007" w:rsidRPr="000F2F7F">
        <w:rPr>
          <w:szCs w:val="18"/>
          <w:lang w:val="ru-RU"/>
        </w:rPr>
        <w:t>://</w:t>
      </w:r>
      <w:r w:rsidR="001C4007" w:rsidRPr="000F2F7F">
        <w:rPr>
          <w:szCs w:val="18"/>
        </w:rPr>
        <w:t>environmentassembly</w:t>
      </w:r>
      <w:r w:rsidR="001C4007" w:rsidRPr="000F2F7F">
        <w:rPr>
          <w:szCs w:val="18"/>
          <w:lang w:val="ru-RU"/>
        </w:rPr>
        <w:t>.</w:t>
      </w:r>
      <w:r w:rsidR="001C4007" w:rsidRPr="000F2F7F">
        <w:rPr>
          <w:szCs w:val="18"/>
        </w:rPr>
        <w:t>unenvironment</w:t>
      </w:r>
      <w:r w:rsidR="001C4007" w:rsidRPr="000F2F7F">
        <w:rPr>
          <w:szCs w:val="18"/>
          <w:lang w:val="ru-RU"/>
        </w:rPr>
        <w:t>.</w:t>
      </w:r>
      <w:r w:rsidR="001C4007" w:rsidRPr="000F2F7F">
        <w:rPr>
          <w:szCs w:val="18"/>
        </w:rPr>
        <w:t>org</w:t>
      </w:r>
      <w:r w:rsidR="001C4007" w:rsidRPr="000F2F7F">
        <w:rPr>
          <w:szCs w:val="18"/>
          <w:lang w:val="ru-RU"/>
        </w:rPr>
        <w:t>/</w:t>
      </w:r>
      <w:r w:rsidR="001C4007" w:rsidRPr="000F2F7F">
        <w:rPr>
          <w:szCs w:val="18"/>
        </w:rPr>
        <w:t>chairs</w:t>
      </w:r>
      <w:r w:rsidR="001C4007" w:rsidRPr="000F2F7F">
        <w:rPr>
          <w:szCs w:val="18"/>
          <w:lang w:val="ru-RU"/>
        </w:rPr>
        <w:t>-</w:t>
      </w:r>
      <w:r w:rsidR="001C4007" w:rsidRPr="000F2F7F">
        <w:rPr>
          <w:szCs w:val="18"/>
        </w:rPr>
        <w:t>summary</w:t>
      </w:r>
      <w:r w:rsidR="001C4007" w:rsidRPr="000F2F7F">
        <w:rPr>
          <w:szCs w:val="18"/>
          <w:lang w:val="ru-RU"/>
        </w:rPr>
        <w:t>-</w:t>
      </w:r>
      <w:r w:rsidR="001C4007" w:rsidRPr="000F2F7F">
        <w:rPr>
          <w:szCs w:val="18"/>
        </w:rPr>
        <w:t>aheg</w:t>
      </w:r>
      <w:r w:rsidR="001C4007" w:rsidRPr="000F2F7F">
        <w:rPr>
          <w:szCs w:val="18"/>
          <w:lang w:val="ru-RU"/>
        </w:rPr>
        <w:t>-4.</w:t>
      </w:r>
    </w:p>
  </w:footnote>
  <w:footnote w:id="37">
    <w:p w14:paraId="2BFDAE21" w14:textId="3C67076E" w:rsidR="0051558D" w:rsidRPr="000F2F7F" w:rsidRDefault="0051558D" w:rsidP="0091138D">
      <w:pPr>
        <w:pStyle w:val="Normalpool"/>
        <w:tabs>
          <w:tab w:val="clear" w:pos="1247"/>
        </w:tabs>
        <w:spacing w:before="20" w:after="40"/>
        <w:ind w:left="1247"/>
        <w:rPr>
          <w:sz w:val="18"/>
          <w:szCs w:val="18"/>
          <w:lang w:val="ru-RU"/>
        </w:rPr>
      </w:pPr>
      <w:r w:rsidRPr="000F2F7F">
        <w:rPr>
          <w:rStyle w:val="FootnoteReference"/>
          <w:sz w:val="18"/>
          <w:lang w:val="ru-RU"/>
        </w:rPr>
        <w:footnoteRef/>
      </w:r>
      <w:r w:rsidR="0091138D" w:rsidRPr="000F2F7F">
        <w:rPr>
          <w:sz w:val="18"/>
          <w:szCs w:val="18"/>
          <w:lang w:val="ru-RU"/>
        </w:rPr>
        <w:tab/>
      </w:r>
      <w:r w:rsidRPr="000F2F7F">
        <w:rPr>
          <w:sz w:val="18"/>
          <w:szCs w:val="18"/>
          <w:lang w:val="ru-RU"/>
        </w:rPr>
        <w:t>Эта оценка будет представлена Ассамблее по окружающей среде на ее пятой сессии.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AA929" w14:textId="79E5BF4D" w:rsidR="00455F0E" w:rsidRPr="00AC2416" w:rsidRDefault="00455F0E" w:rsidP="00455F0E">
    <w:pPr>
      <w:pStyle w:val="Header"/>
      <w:tabs>
        <w:tab w:val="clear" w:pos="4536"/>
        <w:tab w:val="clear" w:pos="9072"/>
      </w:tabs>
      <w:rPr>
        <w:rFonts w:eastAsia="Times New Roman"/>
        <w:szCs w:val="18"/>
        <w:lang w:val="uk-UA"/>
      </w:rPr>
    </w:pPr>
    <w:r>
      <w:rPr>
        <w:szCs w:val="18"/>
        <w:lang w:val="en-US"/>
      </w:rPr>
      <w:t>UNEP/EA.</w:t>
    </w:r>
    <w:r w:rsidR="00482795">
      <w:rPr>
        <w:szCs w:val="18"/>
        <w:lang w:val="en-US"/>
      </w:rPr>
      <w:t>5/</w:t>
    </w:r>
    <w:r w:rsidR="00AC2416">
      <w:rPr>
        <w:szCs w:val="18"/>
        <w:lang w:val="uk-UA"/>
      </w:rPr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0CDBA" w14:textId="7DE8F69D" w:rsidR="00455F0E" w:rsidRPr="00AC2416" w:rsidRDefault="00455F0E" w:rsidP="00455F0E">
    <w:pPr>
      <w:pStyle w:val="Header"/>
      <w:tabs>
        <w:tab w:val="clear" w:pos="4536"/>
        <w:tab w:val="clear" w:pos="9072"/>
      </w:tabs>
      <w:jc w:val="right"/>
      <w:rPr>
        <w:rFonts w:eastAsia="Times New Roman"/>
        <w:szCs w:val="18"/>
        <w:lang w:val="uk-UA"/>
      </w:rPr>
    </w:pPr>
    <w:r>
      <w:rPr>
        <w:szCs w:val="18"/>
        <w:lang w:val="en-US"/>
      </w:rPr>
      <w:t>UNEP/EA.</w:t>
    </w:r>
    <w:r w:rsidR="00482795">
      <w:rPr>
        <w:szCs w:val="18"/>
        <w:lang w:val="en-US"/>
      </w:rPr>
      <w:t>5/</w:t>
    </w:r>
    <w:r w:rsidR="00AC2416">
      <w:rPr>
        <w:szCs w:val="18"/>
        <w:lang w:val="uk-UA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89789B" w14:textId="77777777" w:rsidR="00431BBF" w:rsidRDefault="00431BBF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6361F06"/>
    <w:lvl w:ilvl="0">
      <w:start w:val="1"/>
      <w:numFmt w:val="decimal"/>
      <w:lvlText w:val="%1."/>
      <w:lvlJc w:val="left"/>
      <w:pPr>
        <w:tabs>
          <w:tab w:val="num" w:pos="3826"/>
        </w:tabs>
        <w:ind w:left="3826" w:hanging="360"/>
      </w:pPr>
    </w:lvl>
  </w:abstractNum>
  <w:abstractNum w:abstractNumId="1" w15:restartNumberingAfterBreak="0">
    <w:nsid w:val="FFFFFF7D"/>
    <w:multiLevelType w:val="singleLevel"/>
    <w:tmpl w:val="3662D4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34248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CD01F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22A75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3287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02C4F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8C4D6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06A02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F855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2727C0"/>
    <w:multiLevelType w:val="hybridMultilevel"/>
    <w:tmpl w:val="D7A8DED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127374"/>
    <w:multiLevelType w:val="hybridMultilevel"/>
    <w:tmpl w:val="0E3EC4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FC6981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CBD647A"/>
    <w:multiLevelType w:val="hybridMultilevel"/>
    <w:tmpl w:val="BFC8F32C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4" w15:restartNumberingAfterBreak="0">
    <w:nsid w:val="12685253"/>
    <w:multiLevelType w:val="hybridMultilevel"/>
    <w:tmpl w:val="244E0C74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5" w15:restartNumberingAfterBreak="0">
    <w:nsid w:val="148D24A2"/>
    <w:multiLevelType w:val="hybridMultilevel"/>
    <w:tmpl w:val="3E76C9F2"/>
    <w:lvl w:ilvl="0" w:tplc="B3C62E8C">
      <w:start w:val="3"/>
      <w:numFmt w:val="upperLetter"/>
      <w:lvlText w:val="%1.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 w15:restartNumberingAfterBreak="0">
    <w:nsid w:val="152A22B2"/>
    <w:multiLevelType w:val="hybridMultilevel"/>
    <w:tmpl w:val="A10A66D0"/>
    <w:lvl w:ilvl="0" w:tplc="C318E702">
      <w:start w:val="1"/>
      <w:numFmt w:val="decimal"/>
      <w:lvlText w:val="%1"/>
      <w:lvlJc w:val="right"/>
      <w:pPr>
        <w:tabs>
          <w:tab w:val="num" w:pos="1146"/>
        </w:tabs>
        <w:ind w:left="1146" w:hanging="720"/>
      </w:pPr>
      <w:rPr>
        <w:rFonts w:ascii="Times New Roman" w:hAnsi="Times New Roman"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7" w15:restartNumberingAfterBreak="0">
    <w:nsid w:val="171113A7"/>
    <w:multiLevelType w:val="multilevel"/>
    <w:tmpl w:val="48241D10"/>
    <w:numStyleLink w:val="Normallist"/>
  </w:abstractNum>
  <w:abstractNum w:abstractNumId="18" w15:restartNumberingAfterBreak="0">
    <w:nsid w:val="1B2A5C10"/>
    <w:multiLevelType w:val="hybridMultilevel"/>
    <w:tmpl w:val="F4C60C5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0" w15:restartNumberingAfterBreak="0">
    <w:nsid w:val="1DA33D8C"/>
    <w:multiLevelType w:val="multilevel"/>
    <w:tmpl w:val="040C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9D92754"/>
    <w:multiLevelType w:val="hybridMultilevel"/>
    <w:tmpl w:val="ECBA1E6C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2" w15:restartNumberingAfterBreak="0">
    <w:nsid w:val="2C3B0D05"/>
    <w:multiLevelType w:val="hybridMultilevel"/>
    <w:tmpl w:val="C0227916"/>
    <w:lvl w:ilvl="0" w:tplc="FFFFFFFF">
      <w:start w:val="1"/>
      <w:numFmt w:val="upperLetter"/>
      <w:lvlText w:val="%1."/>
      <w:lvlJc w:val="left"/>
      <w:pPr>
        <w:tabs>
          <w:tab w:val="num" w:pos="1239"/>
        </w:tabs>
        <w:ind w:left="1239" w:hanging="6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04"/>
        </w:tabs>
        <w:ind w:left="17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23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5BA52AF"/>
    <w:multiLevelType w:val="hybridMultilevel"/>
    <w:tmpl w:val="788E55B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E121E8"/>
    <w:multiLevelType w:val="hybridMultilevel"/>
    <w:tmpl w:val="66786336"/>
    <w:lvl w:ilvl="0" w:tplc="24BC89C8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AD6749"/>
    <w:multiLevelType w:val="multilevel"/>
    <w:tmpl w:val="6C6ABE72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7" w15:restartNumberingAfterBreak="0">
    <w:nsid w:val="3DC2761C"/>
    <w:multiLevelType w:val="multilevel"/>
    <w:tmpl w:val="244E0C74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8" w15:restartNumberingAfterBreak="0">
    <w:nsid w:val="42FA2D6F"/>
    <w:multiLevelType w:val="multilevel"/>
    <w:tmpl w:val="8DA8D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A1B2525"/>
    <w:multiLevelType w:val="hybridMultilevel"/>
    <w:tmpl w:val="052CB816"/>
    <w:lvl w:ilvl="0" w:tplc="D8D64CD6">
      <w:start w:val="1"/>
      <w:numFmt w:val="upperLetter"/>
      <w:lvlText w:val="%1.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 w15:restartNumberingAfterBreak="0">
    <w:nsid w:val="51C413FE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2A66A9D"/>
    <w:multiLevelType w:val="multilevel"/>
    <w:tmpl w:val="48241D1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32" w15:restartNumberingAfterBreak="0">
    <w:nsid w:val="5ADB42A4"/>
    <w:multiLevelType w:val="hybridMultilevel"/>
    <w:tmpl w:val="814E2BDA"/>
    <w:lvl w:ilvl="0" w:tplc="2D4E6FEE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 w15:restartNumberingAfterBreak="0">
    <w:nsid w:val="6A8779C7"/>
    <w:multiLevelType w:val="multilevel"/>
    <w:tmpl w:val="ECBA1E6C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4" w15:restartNumberingAfterBreak="0">
    <w:nsid w:val="6CD901C9"/>
    <w:multiLevelType w:val="hybridMultilevel"/>
    <w:tmpl w:val="6C6ABE72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5" w15:restartNumberingAfterBreak="0">
    <w:nsid w:val="6E4C3BBB"/>
    <w:multiLevelType w:val="multilevel"/>
    <w:tmpl w:val="BFC8F32C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6" w15:restartNumberingAfterBreak="0">
    <w:nsid w:val="74B22DF7"/>
    <w:multiLevelType w:val="hybridMultilevel"/>
    <w:tmpl w:val="0A06C2EA"/>
    <w:lvl w:ilvl="0" w:tplc="EF8C842C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7" w15:restartNumberingAfterBreak="0">
    <w:nsid w:val="77443D92"/>
    <w:multiLevelType w:val="hybridMultilevel"/>
    <w:tmpl w:val="154C4DB0"/>
    <w:lvl w:ilvl="0" w:tplc="D53AA31C">
      <w:start w:val="3"/>
      <w:numFmt w:val="decimal"/>
      <w:lvlText w:val="%1.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2"/>
  </w:num>
  <w:num w:numId="2">
    <w:abstractNumId w:val="30"/>
  </w:num>
  <w:num w:numId="3">
    <w:abstractNumId w:val="2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9"/>
  </w:num>
  <w:num w:numId="15">
    <w:abstractNumId w:val="23"/>
  </w:num>
  <w:num w:numId="16">
    <w:abstractNumId w:val="31"/>
  </w:num>
  <w:num w:numId="17">
    <w:abstractNumId w:val="31"/>
  </w:num>
  <w:num w:numId="18">
    <w:abstractNumId w:val="31"/>
  </w:num>
  <w:num w:numId="19">
    <w:abstractNumId w:val="36"/>
  </w:num>
  <w:num w:numId="20">
    <w:abstractNumId w:val="15"/>
  </w:num>
  <w:num w:numId="21">
    <w:abstractNumId w:val="37"/>
  </w:num>
  <w:num w:numId="22">
    <w:abstractNumId w:val="32"/>
  </w:num>
  <w:num w:numId="23">
    <w:abstractNumId w:val="29"/>
  </w:num>
  <w:num w:numId="24">
    <w:abstractNumId w:val="31"/>
  </w:num>
  <w:num w:numId="25">
    <w:abstractNumId w:val="31"/>
  </w:num>
  <w:num w:numId="26">
    <w:abstractNumId w:val="28"/>
  </w:num>
  <w:num w:numId="27">
    <w:abstractNumId w:val="16"/>
  </w:num>
  <w:num w:numId="28">
    <w:abstractNumId w:val="14"/>
  </w:num>
  <w:num w:numId="29">
    <w:abstractNumId w:val="27"/>
  </w:num>
  <w:num w:numId="30">
    <w:abstractNumId w:val="34"/>
  </w:num>
  <w:num w:numId="31">
    <w:abstractNumId w:val="26"/>
  </w:num>
  <w:num w:numId="32">
    <w:abstractNumId w:val="21"/>
  </w:num>
  <w:num w:numId="33">
    <w:abstractNumId w:val="33"/>
  </w:num>
  <w:num w:numId="34">
    <w:abstractNumId w:val="13"/>
  </w:num>
  <w:num w:numId="35">
    <w:abstractNumId w:val="35"/>
  </w:num>
  <w:num w:numId="36">
    <w:abstractNumId w:val="22"/>
  </w:num>
  <w:num w:numId="37">
    <w:abstractNumId w:val="17"/>
  </w:num>
  <w:num w:numId="38">
    <w:abstractNumId w:val="25"/>
    <w:lvlOverride w:ilvl="0">
      <w:lvl w:ilvl="0" w:tplc="24BC89C8">
        <w:start w:val="3"/>
        <w:numFmt w:val="decimal"/>
        <w:lvlText w:val="%1."/>
        <w:lvlJc w:val="left"/>
        <w:pPr>
          <w:ind w:left="720" w:hanging="360"/>
        </w:pPr>
        <w:rPr>
          <w:rFonts w:hint="default"/>
          <w:color w:val="auto"/>
        </w:rPr>
      </w:lvl>
    </w:lvlOverride>
  </w:num>
  <w:num w:numId="39">
    <w:abstractNumId w:val="18"/>
  </w:num>
  <w:num w:numId="40">
    <w:abstractNumId w:val="10"/>
  </w:num>
  <w:num w:numId="41">
    <w:abstractNumId w:val="24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ctiveWritingStyle w:appName="MSWord" w:lang="fr-FR" w:vendorID="64" w:dllVersion="0" w:nlCheck="1" w:checkStyle="1"/>
  <w:activeWritingStyle w:appName="MSWord" w:lang="en-US" w:vendorID="64" w:dllVersion="0" w:nlCheck="1" w:checkStyle="0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ru-RU" w:vendorID="64" w:dllVersion="0" w:nlCheck="1" w:checkStyle="0"/>
  <w:activeWritingStyle w:appName="MSWord" w:lang="en-US" w:vendorID="64" w:dllVersion="6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66A"/>
    <w:rsid w:val="000102B6"/>
    <w:rsid w:val="000149E6"/>
    <w:rsid w:val="00017CE4"/>
    <w:rsid w:val="000247B0"/>
    <w:rsid w:val="00026997"/>
    <w:rsid w:val="00033E0B"/>
    <w:rsid w:val="00035EDE"/>
    <w:rsid w:val="000509B4"/>
    <w:rsid w:val="000637F0"/>
    <w:rsid w:val="00071886"/>
    <w:rsid w:val="000742BC"/>
    <w:rsid w:val="00076EB7"/>
    <w:rsid w:val="0008152B"/>
    <w:rsid w:val="00081997"/>
    <w:rsid w:val="00082A0C"/>
    <w:rsid w:val="00095434"/>
    <w:rsid w:val="0009640C"/>
    <w:rsid w:val="00097A81"/>
    <w:rsid w:val="000A0A04"/>
    <w:rsid w:val="000B06F6"/>
    <w:rsid w:val="000C79D8"/>
    <w:rsid w:val="000D33C0"/>
    <w:rsid w:val="000E09D2"/>
    <w:rsid w:val="000F03DD"/>
    <w:rsid w:val="000F2F7F"/>
    <w:rsid w:val="000F6CB3"/>
    <w:rsid w:val="00107271"/>
    <w:rsid w:val="00111474"/>
    <w:rsid w:val="00116102"/>
    <w:rsid w:val="00117899"/>
    <w:rsid w:val="001202E3"/>
    <w:rsid w:val="00121C88"/>
    <w:rsid w:val="00123DE2"/>
    <w:rsid w:val="0013059D"/>
    <w:rsid w:val="001409C7"/>
    <w:rsid w:val="00141A55"/>
    <w:rsid w:val="001420B4"/>
    <w:rsid w:val="00154422"/>
    <w:rsid w:val="001559C9"/>
    <w:rsid w:val="001633C8"/>
    <w:rsid w:val="00166A11"/>
    <w:rsid w:val="00181EC8"/>
    <w:rsid w:val="00184349"/>
    <w:rsid w:val="001C4007"/>
    <w:rsid w:val="001C76DB"/>
    <w:rsid w:val="001D023B"/>
    <w:rsid w:val="001D3874"/>
    <w:rsid w:val="001D5499"/>
    <w:rsid w:val="001D6916"/>
    <w:rsid w:val="001D7E75"/>
    <w:rsid w:val="001E0C96"/>
    <w:rsid w:val="001E56D2"/>
    <w:rsid w:val="001E7D56"/>
    <w:rsid w:val="001F38DE"/>
    <w:rsid w:val="001F75DE"/>
    <w:rsid w:val="00200D58"/>
    <w:rsid w:val="002013BE"/>
    <w:rsid w:val="002038E7"/>
    <w:rsid w:val="002063A4"/>
    <w:rsid w:val="00210E67"/>
    <w:rsid w:val="0021145B"/>
    <w:rsid w:val="00222F56"/>
    <w:rsid w:val="00230E08"/>
    <w:rsid w:val="0023392F"/>
    <w:rsid w:val="0023659E"/>
    <w:rsid w:val="00245A39"/>
    <w:rsid w:val="00247707"/>
    <w:rsid w:val="002539F9"/>
    <w:rsid w:val="0025448F"/>
    <w:rsid w:val="00256D2A"/>
    <w:rsid w:val="0026399C"/>
    <w:rsid w:val="00286740"/>
    <w:rsid w:val="002929D8"/>
    <w:rsid w:val="002A237D"/>
    <w:rsid w:val="002A4C53"/>
    <w:rsid w:val="002A6864"/>
    <w:rsid w:val="002B6741"/>
    <w:rsid w:val="002C0384"/>
    <w:rsid w:val="002C145D"/>
    <w:rsid w:val="002C2627"/>
    <w:rsid w:val="002C2C3E"/>
    <w:rsid w:val="002C533E"/>
    <w:rsid w:val="002C7A02"/>
    <w:rsid w:val="002D027F"/>
    <w:rsid w:val="002D0656"/>
    <w:rsid w:val="002D27E9"/>
    <w:rsid w:val="002D4584"/>
    <w:rsid w:val="002D7B60"/>
    <w:rsid w:val="002F2BCF"/>
    <w:rsid w:val="002F4761"/>
    <w:rsid w:val="003066FF"/>
    <w:rsid w:val="00310479"/>
    <w:rsid w:val="0031413F"/>
    <w:rsid w:val="00334662"/>
    <w:rsid w:val="00355EA9"/>
    <w:rsid w:val="003747B4"/>
    <w:rsid w:val="003751F8"/>
    <w:rsid w:val="00381B5F"/>
    <w:rsid w:val="00385731"/>
    <w:rsid w:val="003908C6"/>
    <w:rsid w:val="00393911"/>
    <w:rsid w:val="00396257"/>
    <w:rsid w:val="00397EB8"/>
    <w:rsid w:val="003A4FD0"/>
    <w:rsid w:val="003A69D1"/>
    <w:rsid w:val="003B0491"/>
    <w:rsid w:val="003B1545"/>
    <w:rsid w:val="003B5415"/>
    <w:rsid w:val="003C409D"/>
    <w:rsid w:val="003D1E60"/>
    <w:rsid w:val="003F0E85"/>
    <w:rsid w:val="003F2C8C"/>
    <w:rsid w:val="00410C55"/>
    <w:rsid w:val="00417725"/>
    <w:rsid w:val="00425EDB"/>
    <w:rsid w:val="00431BBF"/>
    <w:rsid w:val="00431E3A"/>
    <w:rsid w:val="00437F26"/>
    <w:rsid w:val="00450833"/>
    <w:rsid w:val="00454769"/>
    <w:rsid w:val="00455F0E"/>
    <w:rsid w:val="004637DA"/>
    <w:rsid w:val="0046655E"/>
    <w:rsid w:val="00466991"/>
    <w:rsid w:val="0047064C"/>
    <w:rsid w:val="00474592"/>
    <w:rsid w:val="00482795"/>
    <w:rsid w:val="00482908"/>
    <w:rsid w:val="00495F41"/>
    <w:rsid w:val="004A4FBC"/>
    <w:rsid w:val="004B683A"/>
    <w:rsid w:val="004C1B43"/>
    <w:rsid w:val="004C5C96"/>
    <w:rsid w:val="004D06A4"/>
    <w:rsid w:val="004E233D"/>
    <w:rsid w:val="004E7A35"/>
    <w:rsid w:val="004F1A81"/>
    <w:rsid w:val="004F4863"/>
    <w:rsid w:val="004F629C"/>
    <w:rsid w:val="004F7A81"/>
    <w:rsid w:val="00506742"/>
    <w:rsid w:val="005131BB"/>
    <w:rsid w:val="0051558D"/>
    <w:rsid w:val="00516D9B"/>
    <w:rsid w:val="005218D9"/>
    <w:rsid w:val="00521946"/>
    <w:rsid w:val="0052196F"/>
    <w:rsid w:val="00536186"/>
    <w:rsid w:val="00541858"/>
    <w:rsid w:val="00560655"/>
    <w:rsid w:val="00563DFD"/>
    <w:rsid w:val="00565068"/>
    <w:rsid w:val="00567A68"/>
    <w:rsid w:val="00567DEA"/>
    <w:rsid w:val="00570266"/>
    <w:rsid w:val="0057315F"/>
    <w:rsid w:val="0057784F"/>
    <w:rsid w:val="005A4115"/>
    <w:rsid w:val="005A5F05"/>
    <w:rsid w:val="005B03D2"/>
    <w:rsid w:val="005C67C8"/>
    <w:rsid w:val="005D0249"/>
    <w:rsid w:val="005D73F1"/>
    <w:rsid w:val="005F0BEA"/>
    <w:rsid w:val="005F100C"/>
    <w:rsid w:val="00614089"/>
    <w:rsid w:val="0062144E"/>
    <w:rsid w:val="006303B4"/>
    <w:rsid w:val="00630B40"/>
    <w:rsid w:val="00634572"/>
    <w:rsid w:val="00641703"/>
    <w:rsid w:val="006431A6"/>
    <w:rsid w:val="006501AD"/>
    <w:rsid w:val="00651BFA"/>
    <w:rsid w:val="006615BC"/>
    <w:rsid w:val="006709BA"/>
    <w:rsid w:val="00681AFC"/>
    <w:rsid w:val="00683F83"/>
    <w:rsid w:val="00691236"/>
    <w:rsid w:val="00692E2A"/>
    <w:rsid w:val="006A76F2"/>
    <w:rsid w:val="006B0937"/>
    <w:rsid w:val="006B63E0"/>
    <w:rsid w:val="006C012B"/>
    <w:rsid w:val="006C4077"/>
    <w:rsid w:val="006C5351"/>
    <w:rsid w:val="006D7466"/>
    <w:rsid w:val="006E6722"/>
    <w:rsid w:val="006E67FD"/>
    <w:rsid w:val="006F0E34"/>
    <w:rsid w:val="007004C2"/>
    <w:rsid w:val="00701D3F"/>
    <w:rsid w:val="007027B9"/>
    <w:rsid w:val="007121AA"/>
    <w:rsid w:val="00712298"/>
    <w:rsid w:val="00715E88"/>
    <w:rsid w:val="00720913"/>
    <w:rsid w:val="00720EE1"/>
    <w:rsid w:val="007275B9"/>
    <w:rsid w:val="0073031E"/>
    <w:rsid w:val="00734CAA"/>
    <w:rsid w:val="00743065"/>
    <w:rsid w:val="00746F3F"/>
    <w:rsid w:val="00752F15"/>
    <w:rsid w:val="00757581"/>
    <w:rsid w:val="007648D5"/>
    <w:rsid w:val="00767428"/>
    <w:rsid w:val="00770261"/>
    <w:rsid w:val="007720D9"/>
    <w:rsid w:val="00774437"/>
    <w:rsid w:val="0079631D"/>
    <w:rsid w:val="007A5B9C"/>
    <w:rsid w:val="007A5C12"/>
    <w:rsid w:val="007A6FC4"/>
    <w:rsid w:val="007B30E8"/>
    <w:rsid w:val="007C2B5E"/>
    <w:rsid w:val="007D5CFF"/>
    <w:rsid w:val="007E003F"/>
    <w:rsid w:val="007E19B5"/>
    <w:rsid w:val="007E71CA"/>
    <w:rsid w:val="007F405D"/>
    <w:rsid w:val="007F4102"/>
    <w:rsid w:val="00802875"/>
    <w:rsid w:val="00805634"/>
    <w:rsid w:val="00822830"/>
    <w:rsid w:val="00830E26"/>
    <w:rsid w:val="00843576"/>
    <w:rsid w:val="00843B64"/>
    <w:rsid w:val="00853C77"/>
    <w:rsid w:val="008673B6"/>
    <w:rsid w:val="00867BFF"/>
    <w:rsid w:val="00872F35"/>
    <w:rsid w:val="0088480A"/>
    <w:rsid w:val="00890298"/>
    <w:rsid w:val="008957DD"/>
    <w:rsid w:val="00897D98"/>
    <w:rsid w:val="008A6DF2"/>
    <w:rsid w:val="008C2D6E"/>
    <w:rsid w:val="008D7C99"/>
    <w:rsid w:val="008E0FCB"/>
    <w:rsid w:val="008F1318"/>
    <w:rsid w:val="008F2639"/>
    <w:rsid w:val="008F5852"/>
    <w:rsid w:val="008F6225"/>
    <w:rsid w:val="00901265"/>
    <w:rsid w:val="00903FE2"/>
    <w:rsid w:val="0091138D"/>
    <w:rsid w:val="00916430"/>
    <w:rsid w:val="0092178C"/>
    <w:rsid w:val="009273E9"/>
    <w:rsid w:val="00931B8E"/>
    <w:rsid w:val="0094179A"/>
    <w:rsid w:val="00941C5F"/>
    <w:rsid w:val="0094459E"/>
    <w:rsid w:val="00944DBC"/>
    <w:rsid w:val="00946797"/>
    <w:rsid w:val="00950977"/>
    <w:rsid w:val="009564A6"/>
    <w:rsid w:val="009578F9"/>
    <w:rsid w:val="00970D27"/>
    <w:rsid w:val="009724A4"/>
    <w:rsid w:val="009774AF"/>
    <w:rsid w:val="00992B9A"/>
    <w:rsid w:val="0099519B"/>
    <w:rsid w:val="009A12A1"/>
    <w:rsid w:val="009A4DBE"/>
    <w:rsid w:val="009B153B"/>
    <w:rsid w:val="009B375C"/>
    <w:rsid w:val="009B4A0F"/>
    <w:rsid w:val="009C4821"/>
    <w:rsid w:val="009D0B63"/>
    <w:rsid w:val="009D3CA7"/>
    <w:rsid w:val="009F4B8E"/>
    <w:rsid w:val="00A0524B"/>
    <w:rsid w:val="00A122C5"/>
    <w:rsid w:val="00A1348D"/>
    <w:rsid w:val="00A161B4"/>
    <w:rsid w:val="00A232EE"/>
    <w:rsid w:val="00A24EFF"/>
    <w:rsid w:val="00A438EB"/>
    <w:rsid w:val="00A44411"/>
    <w:rsid w:val="00A45022"/>
    <w:rsid w:val="00A469FA"/>
    <w:rsid w:val="00A55B01"/>
    <w:rsid w:val="00A56B5B"/>
    <w:rsid w:val="00A657DD"/>
    <w:rsid w:val="00A666A6"/>
    <w:rsid w:val="00A80611"/>
    <w:rsid w:val="00A82018"/>
    <w:rsid w:val="00A83A6C"/>
    <w:rsid w:val="00A83C9A"/>
    <w:rsid w:val="00AA2D47"/>
    <w:rsid w:val="00AB4624"/>
    <w:rsid w:val="00AB5340"/>
    <w:rsid w:val="00AC2416"/>
    <w:rsid w:val="00AC7C96"/>
    <w:rsid w:val="00AE237D"/>
    <w:rsid w:val="00AF7C07"/>
    <w:rsid w:val="00B20DA8"/>
    <w:rsid w:val="00B251E1"/>
    <w:rsid w:val="00B27616"/>
    <w:rsid w:val="00B405B7"/>
    <w:rsid w:val="00B46BD8"/>
    <w:rsid w:val="00B46CD8"/>
    <w:rsid w:val="00B66901"/>
    <w:rsid w:val="00B71E6D"/>
    <w:rsid w:val="00B72070"/>
    <w:rsid w:val="00B779E1"/>
    <w:rsid w:val="00B939AC"/>
    <w:rsid w:val="00B93E73"/>
    <w:rsid w:val="00B95846"/>
    <w:rsid w:val="00BA1A67"/>
    <w:rsid w:val="00BA3BB0"/>
    <w:rsid w:val="00BB0A2E"/>
    <w:rsid w:val="00BC01C1"/>
    <w:rsid w:val="00BC7987"/>
    <w:rsid w:val="00BD069D"/>
    <w:rsid w:val="00BD2874"/>
    <w:rsid w:val="00BD5500"/>
    <w:rsid w:val="00C004F2"/>
    <w:rsid w:val="00C01B2A"/>
    <w:rsid w:val="00C13A4B"/>
    <w:rsid w:val="00C30C63"/>
    <w:rsid w:val="00C5233A"/>
    <w:rsid w:val="00C558DA"/>
    <w:rsid w:val="00C61F87"/>
    <w:rsid w:val="00C629FC"/>
    <w:rsid w:val="00C70835"/>
    <w:rsid w:val="00C82687"/>
    <w:rsid w:val="00C840C4"/>
    <w:rsid w:val="00C84759"/>
    <w:rsid w:val="00C85606"/>
    <w:rsid w:val="00C910B2"/>
    <w:rsid w:val="00CA17D9"/>
    <w:rsid w:val="00CA6C7F"/>
    <w:rsid w:val="00CA7805"/>
    <w:rsid w:val="00CA7C6D"/>
    <w:rsid w:val="00CB101E"/>
    <w:rsid w:val="00CB1B83"/>
    <w:rsid w:val="00CB6A3D"/>
    <w:rsid w:val="00CC10A6"/>
    <w:rsid w:val="00CC25D6"/>
    <w:rsid w:val="00CC766A"/>
    <w:rsid w:val="00CD7044"/>
    <w:rsid w:val="00CE524C"/>
    <w:rsid w:val="00CF01EC"/>
    <w:rsid w:val="00CF141F"/>
    <w:rsid w:val="00CF37A4"/>
    <w:rsid w:val="00CF4777"/>
    <w:rsid w:val="00CF520D"/>
    <w:rsid w:val="00D0004F"/>
    <w:rsid w:val="00D0011C"/>
    <w:rsid w:val="00D11D18"/>
    <w:rsid w:val="00D16212"/>
    <w:rsid w:val="00D169AF"/>
    <w:rsid w:val="00D22599"/>
    <w:rsid w:val="00D25249"/>
    <w:rsid w:val="00D30E85"/>
    <w:rsid w:val="00D44172"/>
    <w:rsid w:val="00D50791"/>
    <w:rsid w:val="00D5379B"/>
    <w:rsid w:val="00D57D2E"/>
    <w:rsid w:val="00D63B8C"/>
    <w:rsid w:val="00D739CC"/>
    <w:rsid w:val="00D74088"/>
    <w:rsid w:val="00D748BF"/>
    <w:rsid w:val="00D8093D"/>
    <w:rsid w:val="00D8108C"/>
    <w:rsid w:val="00D842AE"/>
    <w:rsid w:val="00D86CB4"/>
    <w:rsid w:val="00D9211C"/>
    <w:rsid w:val="00DA1BCA"/>
    <w:rsid w:val="00DB011C"/>
    <w:rsid w:val="00DB4358"/>
    <w:rsid w:val="00DC0217"/>
    <w:rsid w:val="00DC17F1"/>
    <w:rsid w:val="00DC46FF"/>
    <w:rsid w:val="00DD0AB2"/>
    <w:rsid w:val="00DD1A4F"/>
    <w:rsid w:val="00DD7C2C"/>
    <w:rsid w:val="00DF0EFD"/>
    <w:rsid w:val="00DF27E7"/>
    <w:rsid w:val="00E0168F"/>
    <w:rsid w:val="00E05BB7"/>
    <w:rsid w:val="00E06797"/>
    <w:rsid w:val="00E07DD8"/>
    <w:rsid w:val="00E104B0"/>
    <w:rsid w:val="00E17634"/>
    <w:rsid w:val="00E21C83"/>
    <w:rsid w:val="00E23F4C"/>
    <w:rsid w:val="00E26502"/>
    <w:rsid w:val="00E276DF"/>
    <w:rsid w:val="00E3123E"/>
    <w:rsid w:val="00E357CC"/>
    <w:rsid w:val="00E46145"/>
    <w:rsid w:val="00E46D9A"/>
    <w:rsid w:val="00E47183"/>
    <w:rsid w:val="00E5239B"/>
    <w:rsid w:val="00E52F3F"/>
    <w:rsid w:val="00E558E8"/>
    <w:rsid w:val="00E565FF"/>
    <w:rsid w:val="00E65388"/>
    <w:rsid w:val="00E85B7D"/>
    <w:rsid w:val="00E90DE0"/>
    <w:rsid w:val="00E9121B"/>
    <w:rsid w:val="00E95917"/>
    <w:rsid w:val="00EA39E5"/>
    <w:rsid w:val="00EA6A56"/>
    <w:rsid w:val="00EB172A"/>
    <w:rsid w:val="00EB439B"/>
    <w:rsid w:val="00EB6C7F"/>
    <w:rsid w:val="00EB6C81"/>
    <w:rsid w:val="00EB77B4"/>
    <w:rsid w:val="00EC51F5"/>
    <w:rsid w:val="00EC5A46"/>
    <w:rsid w:val="00EC63E2"/>
    <w:rsid w:val="00ED6F70"/>
    <w:rsid w:val="00EE024D"/>
    <w:rsid w:val="00EF22B3"/>
    <w:rsid w:val="00EF4845"/>
    <w:rsid w:val="00F024AC"/>
    <w:rsid w:val="00F04B69"/>
    <w:rsid w:val="00F113DA"/>
    <w:rsid w:val="00F135A4"/>
    <w:rsid w:val="00F14593"/>
    <w:rsid w:val="00F26254"/>
    <w:rsid w:val="00F26DAD"/>
    <w:rsid w:val="00F30AD8"/>
    <w:rsid w:val="00F31C62"/>
    <w:rsid w:val="00F332BC"/>
    <w:rsid w:val="00F35EEC"/>
    <w:rsid w:val="00F37DC8"/>
    <w:rsid w:val="00F42092"/>
    <w:rsid w:val="00F43467"/>
    <w:rsid w:val="00F57A7D"/>
    <w:rsid w:val="00F60D7A"/>
    <w:rsid w:val="00F650C3"/>
    <w:rsid w:val="00F7155A"/>
    <w:rsid w:val="00F77E98"/>
    <w:rsid w:val="00F8091E"/>
    <w:rsid w:val="00F8615C"/>
    <w:rsid w:val="00F918AB"/>
    <w:rsid w:val="00FA10EA"/>
    <w:rsid w:val="00FA2593"/>
    <w:rsid w:val="00FA6C93"/>
    <w:rsid w:val="00FB7E48"/>
    <w:rsid w:val="00FD5860"/>
    <w:rsid w:val="00FD6087"/>
    <w:rsid w:val="00FE352D"/>
    <w:rsid w:val="00FE3BD2"/>
    <w:rsid w:val="00FE7D62"/>
    <w:rsid w:val="00FF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4680A1F8"/>
  <w15:docId w15:val="{342C0618-59B8-4F48-9033-0A099362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Normal-pool"/>
    <w:qFormat/>
    <w:rsid w:val="00CC766A"/>
    <w:rPr>
      <w:rFonts w:eastAsia="Calibri"/>
      <w:szCs w:val="22"/>
      <w:lang w:val="en-GB"/>
    </w:rPr>
  </w:style>
  <w:style w:type="paragraph" w:styleId="Heading1">
    <w:name w:val="heading 1"/>
    <w:basedOn w:val="Normal"/>
    <w:next w:val="Normalnumber"/>
    <w:qFormat/>
    <w:rsid w:val="00B405B7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B405B7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200D58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715E88"/>
    <w:pPr>
      <w:keepNext/>
      <w:outlineLvl w:val="3"/>
    </w:pPr>
  </w:style>
  <w:style w:type="paragraph" w:styleId="Heading5">
    <w:name w:val="heading 5"/>
    <w:basedOn w:val="Normal"/>
    <w:next w:val="Normal"/>
    <w:qFormat/>
    <w:rsid w:val="00247707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247707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247707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247707"/>
    <w:pPr>
      <w:keepNext/>
      <w:widowControl w:val="0"/>
      <w:numPr>
        <w:numId w:val="14"/>
      </w:numPr>
      <w:tabs>
        <w:tab w:val="left" w:pos="-1440"/>
        <w:tab w:val="left" w:pos="-720"/>
      </w:tabs>
      <w:suppressAutoHyphens/>
      <w:ind w:hanging="360"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247707"/>
    <w:pPr>
      <w:keepNext/>
      <w:widowControl w:val="0"/>
      <w:numPr>
        <w:numId w:val="15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AB5340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E21C83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2C2C3E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2C2C3E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2C2C3E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2C2C3E"/>
    <w:pPr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0247B0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2A237D"/>
    <w:pPr>
      <w:ind w:left="1814" w:hanging="567"/>
    </w:pPr>
  </w:style>
  <w:style w:type="paragraph" w:customStyle="1" w:styleId="CH1">
    <w:name w:val="CH1"/>
    <w:basedOn w:val="Normal"/>
    <w:next w:val="CH2"/>
    <w:rsid w:val="006303B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number"/>
    <w:rsid w:val="00CE524C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"/>
    <w:next w:val="Normalnumber"/>
    <w:rsid w:val="006303B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"/>
    <w:next w:val="Normalnumber"/>
    <w:rsid w:val="004C5C9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1F75DE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semiHidden/>
    <w:rsid w:val="00D8108C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character" w:styleId="FootnoteReference">
    <w:name w:val="footnote reference"/>
    <w:aliases w:val="16 Point,Superscript 6 Point,Footnote text,Footnote Text1,Footnote Text2,number,Footnote reference number,Footnote symbol,note TESI,-E Fußnotenzeichen,SUPERS,stylish,ftref,Footnote Reference Superscript,-E Fuﬂnotenzeichen,fr,Ref,註腳內容"/>
    <w:basedOn w:val="DefaultParagraphFont"/>
    <w:link w:val="BVIfnrCarCarChar"/>
    <w:uiPriority w:val="99"/>
    <w:qFormat/>
    <w:rsid w:val="001559C9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DNV-FT,Fußnotentextf, Char1,-E Fußnotentext,Fußnotentext Ursprung,-E Fußnotentext1,-E Fußnotentext2,-E Fußnotentext3,Fußnotentext Char1,Fußnotentext Char Char,Fußnotentext Char1 Char Char,Char1,fn,ft"/>
    <w:basedOn w:val="Normal"/>
    <w:link w:val="FootnoteTextChar"/>
    <w:uiPriority w:val="99"/>
    <w:qFormat/>
    <w:rsid w:val="00247707"/>
    <w:pPr>
      <w:spacing w:before="20" w:after="40"/>
      <w:ind w:left="1247"/>
    </w:pPr>
    <w:rPr>
      <w:sz w:val="18"/>
    </w:rPr>
  </w:style>
  <w:style w:type="table" w:customStyle="1" w:styleId="AATable">
    <w:name w:val="AA_Table"/>
    <w:basedOn w:val="TableNormal"/>
    <w:rsid w:val="00651BFA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160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"/>
    <w:qFormat/>
    <w:rsid w:val="00A469FA"/>
    <w:pPr>
      <w:keepNext/>
      <w:keepLines/>
      <w:suppressAutoHyphens/>
      <w:ind w:right="3402"/>
    </w:pPr>
    <w:rPr>
      <w:b/>
    </w:rPr>
  </w:style>
  <w:style w:type="paragraph" w:customStyle="1" w:styleId="AATitle2">
    <w:name w:val="AA_Title2"/>
    <w:basedOn w:val="AATitle"/>
    <w:rsid w:val="006431A6"/>
    <w:pPr>
      <w:spacing w:before="120" w:after="120"/>
      <w:ind w:right="1701"/>
    </w:pPr>
  </w:style>
  <w:style w:type="paragraph" w:customStyle="1" w:styleId="BBTitle">
    <w:name w:val="BB_Title"/>
    <w:basedOn w:val="Normal"/>
    <w:rsid w:val="0009640C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aliases w:val="Footer-pool"/>
    <w:basedOn w:val="Normal"/>
    <w:rsid w:val="002A6864"/>
    <w:pPr>
      <w:tabs>
        <w:tab w:val="center" w:pos="4320"/>
        <w:tab w:val="right" w:pos="8640"/>
      </w:tabs>
      <w:spacing w:before="60" w:after="120"/>
    </w:pPr>
  </w:style>
  <w:style w:type="paragraph" w:styleId="Header">
    <w:name w:val="header"/>
    <w:aliases w:val="Header-pool"/>
    <w:basedOn w:val="Normal"/>
    <w:link w:val="HeaderChar"/>
    <w:rsid w:val="00AB5340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715E88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071886"/>
    <w:pPr>
      <w:numPr>
        <w:numId w:val="16"/>
      </w:numPr>
    </w:pPr>
  </w:style>
  <w:style w:type="paragraph" w:customStyle="1" w:styleId="NormalNonumber">
    <w:name w:val="Normal_No_number"/>
    <w:basedOn w:val="Normal"/>
    <w:rsid w:val="004C5C96"/>
    <w:pPr>
      <w:spacing w:after="120"/>
      <w:ind w:left="1247"/>
    </w:pPr>
  </w:style>
  <w:style w:type="paragraph" w:customStyle="1" w:styleId="Normalnumber">
    <w:name w:val="Normal_number"/>
    <w:basedOn w:val="Normal"/>
    <w:rsid w:val="00071886"/>
    <w:pPr>
      <w:numPr>
        <w:numId w:val="37"/>
      </w:numPr>
      <w:spacing w:after="120"/>
    </w:pPr>
  </w:style>
  <w:style w:type="paragraph" w:customStyle="1" w:styleId="Titletable">
    <w:name w:val="Title_table"/>
    <w:basedOn w:val="Normal"/>
    <w:rsid w:val="000247B0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"/>
    <w:next w:val="Normal"/>
    <w:rsid w:val="003F0E85"/>
    <w:pPr>
      <w:tabs>
        <w:tab w:val="right" w:leader="dot" w:pos="9486"/>
      </w:tabs>
      <w:spacing w:before="120" w:after="120"/>
      <w:ind w:left="1814" w:hanging="567"/>
    </w:pPr>
    <w:rPr>
      <w:bCs/>
    </w:rPr>
  </w:style>
  <w:style w:type="paragraph" w:styleId="TOC2">
    <w:name w:val="toc 2"/>
    <w:basedOn w:val="Normal"/>
    <w:next w:val="Normal"/>
    <w:rsid w:val="002C2C3E"/>
    <w:pPr>
      <w:tabs>
        <w:tab w:val="right" w:leader="dot" w:pos="9486"/>
      </w:tabs>
      <w:ind w:left="2381" w:hanging="567"/>
    </w:pPr>
  </w:style>
  <w:style w:type="paragraph" w:styleId="TOC3">
    <w:name w:val="toc 3"/>
    <w:basedOn w:val="Normal"/>
    <w:next w:val="Normal"/>
    <w:rsid w:val="002929D8"/>
    <w:pPr>
      <w:tabs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"/>
    <w:next w:val="Normal"/>
    <w:rsid w:val="002929D8"/>
    <w:pPr>
      <w:tabs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247707"/>
    <w:pPr>
      <w:ind w:left="800"/>
    </w:pPr>
    <w:rPr>
      <w:sz w:val="18"/>
      <w:szCs w:val="18"/>
    </w:rPr>
  </w:style>
  <w:style w:type="paragraph" w:customStyle="1" w:styleId="ZZAnxheader">
    <w:name w:val="ZZ_Anx_header"/>
    <w:basedOn w:val="Normal"/>
    <w:rsid w:val="00715E88"/>
    <w:rPr>
      <w:b/>
      <w:bCs/>
      <w:sz w:val="28"/>
    </w:rPr>
  </w:style>
  <w:style w:type="paragraph" w:customStyle="1" w:styleId="ZZAnxtitle">
    <w:name w:val="ZZ_Anx_title"/>
    <w:basedOn w:val="Normal"/>
    <w:rsid w:val="00715E88"/>
    <w:pPr>
      <w:spacing w:before="360" w:after="120"/>
      <w:ind w:left="1247"/>
    </w:pPr>
    <w:rPr>
      <w:b/>
      <w:bCs/>
      <w:sz w:val="28"/>
      <w:szCs w:val="26"/>
    </w:rPr>
  </w:style>
  <w:style w:type="paragraph" w:styleId="ListParagraph">
    <w:name w:val="List Paragraph"/>
    <w:aliases w:val="List Paragraph Char Char Char,Indicator Text,Bullet Points,MAIN CONTENT,OBC Bullet,List Paragraph12"/>
    <w:basedOn w:val="Normal"/>
    <w:link w:val="ListParagraphChar"/>
    <w:uiPriority w:val="34"/>
    <w:qFormat/>
    <w:rsid w:val="00CC766A"/>
    <w:pPr>
      <w:ind w:left="720"/>
      <w:contextualSpacing/>
    </w:pPr>
  </w:style>
  <w:style w:type="character" w:customStyle="1" w:styleId="FootnoteTextChar">
    <w:name w:val="Footnote Text Char"/>
    <w:aliases w:val="Geneva 9 Char,Font: Geneva 9 Char,Boston 10 Char,f Char,DNV-FT Char,Fußnotentextf Char, Char1 Char,-E Fußnotentext Char,Fußnotentext Ursprung Char,-E Fußnotentext1 Char,-E Fußnotentext2 Char,-E Fußnotentext3 Char,Char1 Char,fn Char"/>
    <w:link w:val="FootnoteText"/>
    <w:uiPriority w:val="99"/>
    <w:qFormat/>
    <w:rsid w:val="00CC766A"/>
    <w:rPr>
      <w:sz w:val="18"/>
      <w:lang w:val="en-GB"/>
    </w:rPr>
  </w:style>
  <w:style w:type="table" w:styleId="TableGrid">
    <w:name w:val="Table Grid"/>
    <w:basedOn w:val="TableNormal"/>
    <w:uiPriority w:val="59"/>
    <w:rsid w:val="00CC7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C76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C766A"/>
    <w:rPr>
      <w:rFonts w:ascii="Segoe UI" w:eastAsia="Calibri" w:hAnsi="Segoe UI" w:cs="Segoe UI"/>
      <w:sz w:val="18"/>
      <w:szCs w:val="18"/>
      <w:lang w:val="en-GB"/>
    </w:rPr>
  </w:style>
  <w:style w:type="character" w:customStyle="1" w:styleId="HeaderChar">
    <w:name w:val="Header Char"/>
    <w:aliases w:val="Header-pool Char"/>
    <w:basedOn w:val="DefaultParagraphFont"/>
    <w:link w:val="Header"/>
    <w:rsid w:val="00455F0E"/>
    <w:rPr>
      <w:rFonts w:eastAsia="Calibri"/>
      <w:b/>
      <w:sz w:val="18"/>
      <w:szCs w:val="22"/>
      <w:lang w:val="en-GB"/>
    </w:rPr>
  </w:style>
  <w:style w:type="character" w:customStyle="1" w:styleId="Normal-poolChar1">
    <w:name w:val="Normal-pool Char1"/>
    <w:locked/>
    <w:rsid w:val="007F405D"/>
    <w:rPr>
      <w:lang w:val="en-GB"/>
    </w:rPr>
  </w:style>
  <w:style w:type="paragraph" w:customStyle="1" w:styleId="Normalpool">
    <w:name w:val="Normal_pool"/>
    <w:link w:val="NormalpoolChar"/>
    <w:rsid w:val="00E52F3F"/>
    <w:pPr>
      <w:tabs>
        <w:tab w:val="left" w:pos="1247"/>
      </w:tabs>
    </w:pPr>
    <w:rPr>
      <w:lang w:val="en-GB"/>
    </w:rPr>
  </w:style>
  <w:style w:type="character" w:customStyle="1" w:styleId="NormalpoolChar">
    <w:name w:val="Normal_pool Char"/>
    <w:link w:val="Normalpool"/>
    <w:locked/>
    <w:rsid w:val="00E52F3F"/>
    <w:rPr>
      <w:lang w:val="en-GB"/>
    </w:rPr>
  </w:style>
  <w:style w:type="character" w:customStyle="1" w:styleId="ListParagraphChar">
    <w:name w:val="List Paragraph Char"/>
    <w:aliases w:val="List Paragraph Char Char Char Char,Indicator Text Char,Bullet Points Char,MAIN CONTENT Char,OBC Bullet Char,List Paragraph12 Char"/>
    <w:basedOn w:val="DefaultParagraphFont"/>
    <w:link w:val="ListParagraph"/>
    <w:uiPriority w:val="34"/>
    <w:locked/>
    <w:rsid w:val="004F629C"/>
    <w:rPr>
      <w:rFonts w:eastAsia="Calibri"/>
      <w:szCs w:val="22"/>
      <w:lang w:val="en-GB"/>
    </w:rPr>
  </w:style>
  <w:style w:type="paragraph" w:customStyle="1" w:styleId="BVIfnrCarCarChar">
    <w:name w:val="BVI fnr Car Car Char"/>
    <w:aliases w:val="BVI fnr Car Car Car Car Char Char,BVI fnr Car Car Car Car Char,BVI fnr Car Car Car Char,BVI fnr Car Car Car Car Car Char"/>
    <w:basedOn w:val="Normal"/>
    <w:link w:val="FootnoteReference"/>
    <w:uiPriority w:val="99"/>
    <w:rsid w:val="004F629C"/>
    <w:pPr>
      <w:spacing w:after="160" w:line="240" w:lineRule="exact"/>
      <w:jc w:val="both"/>
    </w:pPr>
    <w:rPr>
      <w:rFonts w:eastAsia="Times New Roman"/>
      <w:szCs w:val="18"/>
      <w:vertAlign w:val="superscript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4F629C"/>
    <w:pPr>
      <w:spacing w:after="120"/>
      <w:ind w:left="124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1454BBBC1CDE42AB175907F3F7B4C8" ma:contentTypeVersion="13" ma:contentTypeDescription="Create a new document." ma:contentTypeScope="" ma:versionID="c8ae5dfc1791d708877a5adf9cc9b070">
  <xsd:schema xmlns:xsd="http://www.w3.org/2001/XMLSchema" xmlns:xs="http://www.w3.org/2001/XMLSchema" xmlns:p="http://schemas.microsoft.com/office/2006/metadata/properties" xmlns:ns3="d18b2cca-499f-4557-a4e9-65dcf311f482" xmlns:ns4="f500b1e4-de7e-4e77-a903-0925b28ae6a4" targetNamespace="http://schemas.microsoft.com/office/2006/metadata/properties" ma:root="true" ma:fieldsID="f11dc6477fa3bd931bf44f8a4ff97a23" ns3:_="" ns4:_="">
    <xsd:import namespace="d18b2cca-499f-4557-a4e9-65dcf311f482"/>
    <xsd:import namespace="f500b1e4-de7e-4e77-a903-0925b28ae6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b2cca-499f-4557-a4e9-65dcf311f4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0b1e4-de7e-4e77-a903-0925b28ae6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320FB-EACD-47AF-AD94-A0A65A121E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B0A04F-469E-463A-8AF0-BA9A3C92F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8b2cca-499f-4557-a4e9-65dcf311f482"/>
    <ds:schemaRef ds:uri="f500b1e4-de7e-4e77-a903-0925b28ae6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06A2C5-E0BB-4733-8FBD-2F26125D89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38F50A-3F2F-47F2-899F-162735ED2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5774</Words>
  <Characters>32912</Characters>
  <Application>Microsoft Office Word</Application>
  <DocSecurity>0</DocSecurity>
  <Lines>274</Lines>
  <Paragraphs>77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United Nations</Company>
  <LinksUpToDate>false</LinksUpToDate>
  <CharactersWithSpaces>38609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Veronica Gathu</dc:creator>
  <cp:lastModifiedBy>Natalia Sikalova</cp:lastModifiedBy>
  <cp:revision>4</cp:revision>
  <cp:lastPrinted>2017-12-03T12:37:00Z</cp:lastPrinted>
  <dcterms:created xsi:type="dcterms:W3CDTF">2021-01-07T07:39:00Z</dcterms:created>
  <dcterms:modified xsi:type="dcterms:W3CDTF">2021-01-07T07:42:00Z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denis.pshenichnikov</vt:lpwstr>
  </property>
  <property fmtid="{D5CDD505-2E9C-101B-9397-08002B2CF9AE}" pid="4" name="GeneratedDate">
    <vt:lpwstr>10/25/2017 1:39:20 PM</vt:lpwstr>
  </property>
  <property fmtid="{D5CDD505-2E9C-101B-9397-08002B2CF9AE}" pid="5" name="OriginalDocID">
    <vt:lpwstr>865e7234-c186-4932-8223-85f5cd2fd5f8</vt:lpwstr>
  </property>
  <property fmtid="{D5CDD505-2E9C-101B-9397-08002B2CF9AE}" pid="6" name="ContentTypeId">
    <vt:lpwstr>0x0101009B1454BBBC1CDE42AB175907F3F7B4C8</vt:lpwstr>
  </property>
</Properties>
</file>