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DB6055" w:rsidRPr="001B3AE2" w14:paraId="68515211" w14:textId="77777777" w:rsidTr="004E6294">
        <w:trPr>
          <w:cantSplit/>
          <w:trHeight w:val="57"/>
          <w:jc w:val="right"/>
        </w:trPr>
        <w:tc>
          <w:tcPr>
            <w:tcW w:w="1550" w:type="dxa"/>
          </w:tcPr>
          <w:p w14:paraId="08A90F9F" w14:textId="77777777" w:rsidR="00DB6055" w:rsidRPr="001B3AE2" w:rsidRDefault="00DB6055" w:rsidP="004E6294">
            <w:pPr>
              <w:rPr>
                <w:rFonts w:ascii="Arial" w:hAnsi="Arial" w:cs="Arial"/>
                <w:b/>
                <w:bCs/>
                <w:noProof/>
                <w:sz w:val="27"/>
                <w:szCs w:val="27"/>
              </w:rPr>
            </w:pPr>
            <w:r w:rsidRPr="001B3AE2">
              <w:rPr>
                <w:rFonts w:ascii="Arial" w:hAnsi="Arial" w:cs="Arial"/>
                <w:b/>
                <w:bCs/>
                <w:noProof/>
                <w:sz w:val="27"/>
                <w:szCs w:val="27"/>
              </w:rPr>
              <w:t xml:space="preserve">UNITED </w:t>
            </w:r>
            <w:r w:rsidRPr="001B3AE2">
              <w:rPr>
                <w:rFonts w:ascii="Arial" w:hAnsi="Arial" w:cs="Arial"/>
                <w:b/>
                <w:bCs/>
                <w:noProof/>
                <w:sz w:val="27"/>
                <w:szCs w:val="27"/>
              </w:rPr>
              <w:br/>
              <w:t>NATIONS</w:t>
            </w:r>
          </w:p>
        </w:tc>
        <w:tc>
          <w:tcPr>
            <w:tcW w:w="5347" w:type="dxa"/>
          </w:tcPr>
          <w:p w14:paraId="58C90241" w14:textId="77777777" w:rsidR="00DB6055" w:rsidRPr="001B3AE2" w:rsidRDefault="00DB6055" w:rsidP="004E6294"/>
        </w:tc>
        <w:tc>
          <w:tcPr>
            <w:tcW w:w="2815" w:type="dxa"/>
          </w:tcPr>
          <w:p w14:paraId="326859FF" w14:textId="77777777" w:rsidR="00DB6055" w:rsidRPr="001B3AE2" w:rsidRDefault="00DB6055" w:rsidP="004E6294">
            <w:pPr>
              <w:jc w:val="right"/>
              <w:rPr>
                <w:rFonts w:ascii="Arial" w:hAnsi="Arial" w:cs="Arial"/>
                <w:b/>
                <w:bCs/>
                <w:sz w:val="64"/>
                <w:szCs w:val="64"/>
              </w:rPr>
            </w:pPr>
            <w:r w:rsidRPr="001B3AE2">
              <w:rPr>
                <w:rFonts w:ascii="Arial" w:hAnsi="Arial" w:cs="Arial"/>
                <w:b/>
                <w:bCs/>
                <w:sz w:val="64"/>
                <w:szCs w:val="64"/>
              </w:rPr>
              <w:t>EP</w:t>
            </w:r>
          </w:p>
        </w:tc>
      </w:tr>
      <w:tr w:rsidR="00DB6055" w:rsidRPr="001B3AE2" w14:paraId="322258BB" w14:textId="77777777" w:rsidTr="004E6294">
        <w:trPr>
          <w:cantSplit/>
          <w:trHeight w:val="57"/>
          <w:jc w:val="right"/>
        </w:trPr>
        <w:tc>
          <w:tcPr>
            <w:tcW w:w="1550" w:type="dxa"/>
            <w:tcBorders>
              <w:bottom w:val="single" w:sz="4" w:space="0" w:color="auto"/>
            </w:tcBorders>
          </w:tcPr>
          <w:p w14:paraId="12C64C7E" w14:textId="77777777" w:rsidR="00DB6055" w:rsidRPr="001B3AE2" w:rsidRDefault="00DB6055" w:rsidP="004E6294">
            <w:pPr>
              <w:rPr>
                <w:noProof/>
              </w:rPr>
            </w:pPr>
          </w:p>
        </w:tc>
        <w:tc>
          <w:tcPr>
            <w:tcW w:w="5347" w:type="dxa"/>
            <w:tcBorders>
              <w:bottom w:val="single" w:sz="4" w:space="0" w:color="auto"/>
            </w:tcBorders>
          </w:tcPr>
          <w:p w14:paraId="5C7129FB" w14:textId="77777777" w:rsidR="00DB6055" w:rsidRPr="001B3AE2" w:rsidRDefault="00DB6055" w:rsidP="004E6294">
            <w:pPr>
              <w:rPr>
                <w:noProof/>
                <w:sz w:val="18"/>
                <w:szCs w:val="18"/>
              </w:rPr>
            </w:pPr>
          </w:p>
        </w:tc>
        <w:tc>
          <w:tcPr>
            <w:tcW w:w="2815" w:type="dxa"/>
            <w:tcBorders>
              <w:bottom w:val="single" w:sz="4" w:space="0" w:color="auto"/>
            </w:tcBorders>
          </w:tcPr>
          <w:p w14:paraId="7C646277" w14:textId="6B91584D" w:rsidR="00DB6055" w:rsidRPr="00D84473" w:rsidRDefault="00DB6055" w:rsidP="004E6294">
            <w:pPr>
              <w:rPr>
                <w:noProof/>
                <w:sz w:val="18"/>
                <w:szCs w:val="18"/>
              </w:rPr>
            </w:pPr>
            <w:r w:rsidRPr="00D84473">
              <w:rPr>
                <w:b/>
                <w:bCs/>
                <w:sz w:val="28"/>
              </w:rPr>
              <w:t>UNEP</w:t>
            </w:r>
            <w:r w:rsidRPr="00D84473">
              <w:rPr>
                <w:noProof/>
              </w:rPr>
              <w:t>/EA.5/</w:t>
            </w:r>
            <w:r w:rsidR="0094155F">
              <w:rPr>
                <w:noProof/>
              </w:rPr>
              <w:t>INF</w:t>
            </w:r>
            <w:r w:rsidR="007A4665">
              <w:rPr>
                <w:noProof/>
              </w:rPr>
              <w:t>/</w:t>
            </w:r>
            <w:r w:rsidR="003D0F6D">
              <w:rPr>
                <w:noProof/>
              </w:rPr>
              <w:t>11</w:t>
            </w:r>
          </w:p>
        </w:tc>
      </w:tr>
      <w:bookmarkStart w:id="0" w:name="_MON_1021710510"/>
      <w:bookmarkEnd w:id="0"/>
      <w:tr w:rsidR="00DB6055" w:rsidRPr="001B3AE2" w14:paraId="4C7B721D" w14:textId="77777777" w:rsidTr="004E6294">
        <w:trPr>
          <w:cantSplit/>
          <w:trHeight w:val="57"/>
          <w:jc w:val="right"/>
        </w:trPr>
        <w:tc>
          <w:tcPr>
            <w:tcW w:w="1550" w:type="dxa"/>
            <w:tcBorders>
              <w:top w:val="single" w:sz="4" w:space="0" w:color="auto"/>
              <w:bottom w:val="single" w:sz="24" w:space="0" w:color="auto"/>
            </w:tcBorders>
          </w:tcPr>
          <w:p w14:paraId="6AB2CE2E" w14:textId="77777777" w:rsidR="00DB6055" w:rsidRPr="001B3AE2" w:rsidRDefault="00DB6055" w:rsidP="004E6294">
            <w:pPr>
              <w:rPr>
                <w:noProof/>
              </w:rPr>
            </w:pPr>
            <w:r w:rsidRPr="001B3AE2">
              <w:rPr>
                <w:noProof/>
              </w:rPr>
              <w:object w:dxaOrig="1831" w:dyaOrig="1726" w14:anchorId="35368C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9pt;height:61.15pt" o:ole="" fillcolor="window">
                  <v:imagedata r:id="rId11" o:title=""/>
                </v:shape>
                <o:OLEObject Type="Embed" ProgID="Word.Picture.8" ShapeID="_x0000_i1025" DrawAspect="Content" ObjectID="_1672215475" r:id="rId12"/>
              </w:object>
            </w:r>
            <w:r w:rsidRPr="001B3AE2">
              <w:rPr>
                <w:noProof/>
                <w:lang w:eastAsia="en-GB"/>
              </w:rPr>
              <w:drawing>
                <wp:inline distT="0" distB="0" distL="0" distR="0" wp14:anchorId="1152FA96" wp14:editId="37640194">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689CA927" w14:textId="5107E0A0" w:rsidR="00DB6055" w:rsidRPr="001B3AE2" w:rsidRDefault="00BB488E" w:rsidP="004E6294">
            <w:pPr>
              <w:spacing w:before="1400" w:after="120"/>
              <w:rPr>
                <w:rFonts w:ascii="Arial" w:hAnsi="Arial" w:cs="Arial"/>
                <w:b/>
                <w:bCs/>
                <w:sz w:val="28"/>
                <w:szCs w:val="28"/>
              </w:rPr>
            </w:pPr>
            <w:r w:rsidRPr="001B3AE2">
              <w:rPr>
                <w:rFonts w:ascii="Arial" w:hAnsi="Arial" w:cs="Arial"/>
                <w:b/>
                <w:bCs/>
                <w:sz w:val="28"/>
                <w:szCs w:val="28"/>
              </w:rPr>
              <w:t>United</w:t>
            </w:r>
            <w:r w:rsidR="00960E83">
              <w:rPr>
                <w:rFonts w:ascii="Arial" w:hAnsi="Arial" w:cs="Arial"/>
                <w:b/>
                <w:bCs/>
                <w:sz w:val="28"/>
                <w:szCs w:val="28"/>
              </w:rPr>
              <w:t xml:space="preserve"> </w:t>
            </w:r>
            <w:r w:rsidRPr="001B3AE2">
              <w:rPr>
                <w:rFonts w:ascii="Arial" w:hAnsi="Arial" w:cs="Arial"/>
                <w:b/>
                <w:bCs/>
                <w:sz w:val="28"/>
                <w:szCs w:val="28"/>
              </w:rPr>
              <w:t>Nations</w:t>
            </w:r>
            <w:r w:rsidR="00DB6055" w:rsidRPr="001B3AE2">
              <w:rPr>
                <w:rFonts w:ascii="Arial" w:hAnsi="Arial" w:cs="Arial"/>
                <w:b/>
                <w:bCs/>
                <w:sz w:val="28"/>
                <w:szCs w:val="28"/>
              </w:rPr>
              <w:t xml:space="preserve"> </w:t>
            </w:r>
            <w:r w:rsidR="00DB6055" w:rsidRPr="001B3AE2">
              <w:rPr>
                <w:rFonts w:ascii="Arial" w:hAnsi="Arial" w:cs="Arial"/>
                <w:b/>
                <w:bCs/>
                <w:sz w:val="28"/>
                <w:szCs w:val="28"/>
              </w:rPr>
              <w:br/>
              <w:t xml:space="preserve">Environment Assembly of the </w:t>
            </w:r>
            <w:r w:rsidR="00DB6055" w:rsidRPr="001B3AE2">
              <w:rPr>
                <w:rFonts w:ascii="Arial" w:hAnsi="Arial" w:cs="Arial"/>
                <w:b/>
                <w:bCs/>
                <w:sz w:val="28"/>
                <w:szCs w:val="28"/>
              </w:rPr>
              <w:br/>
            </w:r>
            <w:r w:rsidRPr="001B3AE2">
              <w:rPr>
                <w:rFonts w:ascii="Arial" w:hAnsi="Arial" w:cs="Arial"/>
                <w:b/>
                <w:bCs/>
                <w:sz w:val="28"/>
                <w:szCs w:val="28"/>
              </w:rPr>
              <w:t>United</w:t>
            </w:r>
            <w:r w:rsidR="00960E83">
              <w:rPr>
                <w:rFonts w:ascii="Arial" w:hAnsi="Arial" w:cs="Arial"/>
                <w:b/>
                <w:bCs/>
                <w:sz w:val="28"/>
                <w:szCs w:val="28"/>
              </w:rPr>
              <w:t xml:space="preserve"> </w:t>
            </w:r>
            <w:r w:rsidRPr="001B3AE2">
              <w:rPr>
                <w:rFonts w:ascii="Arial" w:hAnsi="Arial" w:cs="Arial"/>
                <w:b/>
                <w:bCs/>
                <w:sz w:val="28"/>
                <w:szCs w:val="28"/>
              </w:rPr>
              <w:t>Nations</w:t>
            </w:r>
            <w:r w:rsidR="00DB6055" w:rsidRPr="001B3AE2">
              <w:rPr>
                <w:rFonts w:ascii="Arial" w:hAnsi="Arial" w:cs="Arial"/>
                <w:b/>
                <w:bCs/>
                <w:sz w:val="28"/>
                <w:szCs w:val="28"/>
              </w:rPr>
              <w:t xml:space="preserve"> Environment Programme</w:t>
            </w:r>
          </w:p>
        </w:tc>
        <w:tc>
          <w:tcPr>
            <w:tcW w:w="2815" w:type="dxa"/>
            <w:tcBorders>
              <w:top w:val="single" w:sz="4" w:space="0" w:color="auto"/>
              <w:bottom w:val="single" w:sz="24" w:space="0" w:color="auto"/>
            </w:tcBorders>
          </w:tcPr>
          <w:p w14:paraId="5D123354" w14:textId="0A18D7DF" w:rsidR="00DB6055" w:rsidRPr="00D84473" w:rsidRDefault="00DB6055" w:rsidP="004E6294">
            <w:pPr>
              <w:pStyle w:val="Normalpool"/>
              <w:spacing w:before="120"/>
            </w:pPr>
            <w:r w:rsidRPr="00D84473">
              <w:t xml:space="preserve">Distr.: General </w:t>
            </w:r>
            <w:r w:rsidRPr="00D84473">
              <w:br/>
            </w:r>
            <w:r w:rsidR="0094155F">
              <w:t>23 December 2020</w:t>
            </w:r>
          </w:p>
          <w:p w14:paraId="1E480884" w14:textId="6FA369AC" w:rsidR="00DB6055" w:rsidRPr="00D84473" w:rsidRDefault="00DB6055" w:rsidP="004E6294">
            <w:pPr>
              <w:pStyle w:val="Normalpool"/>
              <w:spacing w:before="120"/>
            </w:pPr>
            <w:r w:rsidRPr="00D84473">
              <w:t>English</w:t>
            </w:r>
            <w:r w:rsidR="00414B6E">
              <w:t xml:space="preserve"> only</w:t>
            </w:r>
          </w:p>
        </w:tc>
      </w:tr>
    </w:tbl>
    <w:p w14:paraId="36D5AB49" w14:textId="7F7C4EBA" w:rsidR="00DB6055" w:rsidRPr="005A5910" w:rsidRDefault="00BB488E" w:rsidP="00DB6055">
      <w:pPr>
        <w:pStyle w:val="AATitle"/>
      </w:pPr>
      <w:r w:rsidRPr="005A5910">
        <w:t>United Nations</w:t>
      </w:r>
      <w:r w:rsidR="00DB6055" w:rsidRPr="005A5910">
        <w:t xml:space="preserve"> Environment Assembly of the </w:t>
      </w:r>
      <w:r w:rsidR="00DB6055" w:rsidRPr="005A5910">
        <w:br/>
      </w:r>
      <w:r w:rsidRPr="005A5910">
        <w:t>United Nations</w:t>
      </w:r>
      <w:r w:rsidR="00DB6055" w:rsidRPr="005A5910">
        <w:t xml:space="preserve"> Environment Programme</w:t>
      </w:r>
    </w:p>
    <w:p w14:paraId="3E18E6D0" w14:textId="77777777" w:rsidR="00DB6055" w:rsidRPr="005A5910" w:rsidRDefault="00DB6055" w:rsidP="00DB6055">
      <w:pPr>
        <w:pStyle w:val="AATitle"/>
      </w:pPr>
      <w:r w:rsidRPr="005A5910">
        <w:t>Fifth session</w:t>
      </w:r>
    </w:p>
    <w:p w14:paraId="5C5B847D" w14:textId="5B06444C" w:rsidR="00DB6055" w:rsidRPr="005A5910" w:rsidRDefault="00DB6055" w:rsidP="00DB6055">
      <w:pPr>
        <w:pStyle w:val="AATitle"/>
        <w:rPr>
          <w:b w:val="0"/>
          <w:bCs/>
        </w:rPr>
      </w:pPr>
      <w:r w:rsidRPr="005A5910">
        <w:rPr>
          <w:b w:val="0"/>
          <w:bCs/>
        </w:rPr>
        <w:t>Nairobi (online), 22–26 February 2021</w:t>
      </w:r>
      <w:r w:rsidR="00301D8F" w:rsidRPr="005A5910">
        <w:rPr>
          <w:b w:val="0"/>
          <w:bCs/>
          <w:szCs w:val="18"/>
        </w:rPr>
        <w:footnoteReference w:customMarkFollows="1" w:id="2"/>
        <w:t>*</w:t>
      </w:r>
    </w:p>
    <w:p w14:paraId="3DF6A1D3" w14:textId="0202F083" w:rsidR="00DB6055" w:rsidRPr="005A5910" w:rsidRDefault="00DB6055" w:rsidP="00612B2F">
      <w:pPr>
        <w:pStyle w:val="AATitle"/>
      </w:pPr>
      <w:r w:rsidRPr="005A5910">
        <w:rPr>
          <w:b w:val="0"/>
          <w:bCs/>
        </w:rPr>
        <w:t xml:space="preserve">Item </w:t>
      </w:r>
      <w:r w:rsidR="003D0F6D">
        <w:rPr>
          <w:b w:val="0"/>
          <w:bCs/>
        </w:rPr>
        <w:t>5</w:t>
      </w:r>
      <w:r w:rsidRPr="005A5910">
        <w:rPr>
          <w:b w:val="0"/>
          <w:bCs/>
        </w:rPr>
        <w:t xml:space="preserve"> of the provisional agenda</w:t>
      </w:r>
      <w:r w:rsidR="00301D8F" w:rsidRPr="005A5910">
        <w:rPr>
          <w:b w:val="0"/>
          <w:bCs/>
          <w:szCs w:val="18"/>
        </w:rPr>
        <w:footnoteReference w:customMarkFollows="1" w:id="3"/>
        <w:t>**</w:t>
      </w:r>
    </w:p>
    <w:p w14:paraId="2EC4975B" w14:textId="77777777" w:rsidR="003D0F6D" w:rsidRDefault="003D0F6D" w:rsidP="00960E83">
      <w:pPr>
        <w:pStyle w:val="AATitle2"/>
        <w:tabs>
          <w:tab w:val="left" w:pos="3600"/>
        </w:tabs>
        <w:ind w:right="5806"/>
      </w:pPr>
      <w:r w:rsidRPr="00811DD5">
        <w:t>International environmental policy and governance issues</w:t>
      </w:r>
    </w:p>
    <w:p w14:paraId="3D397CFF" w14:textId="77777777" w:rsidR="000550F9" w:rsidRDefault="003D0F6D" w:rsidP="000550F9">
      <w:pPr>
        <w:pStyle w:val="BBTitle"/>
        <w:rPr>
          <w:sz w:val="24"/>
          <w:szCs w:val="24"/>
          <w:lang w:eastAsia="en-GB"/>
        </w:rPr>
      </w:pPr>
      <w:r w:rsidRPr="00277826">
        <w:rPr>
          <w:rFonts w:eastAsia="Calibri"/>
        </w:rPr>
        <w:t>Information on implementation of resolution</w:t>
      </w:r>
      <w:r w:rsidRPr="00277826">
        <w:t xml:space="preserve"> 4/16 on conservation and sustainable management of peatlands</w:t>
      </w:r>
      <w:r w:rsidR="000550F9">
        <w:rPr>
          <w:szCs w:val="18"/>
        </w:rPr>
        <w:t>**</w:t>
      </w:r>
      <w:r w:rsidR="000550F9">
        <w:rPr>
          <w:szCs w:val="18"/>
          <w:lang w:val="en-US"/>
        </w:rPr>
        <w:footnoteReference w:customMarkFollows="1" w:id="4"/>
        <w:t>*</w:t>
      </w:r>
      <w:r w:rsidR="000550F9">
        <w:rPr>
          <w:sz w:val="24"/>
          <w:szCs w:val="24"/>
          <w:lang w:eastAsia="en-GB"/>
        </w:rPr>
        <w:t xml:space="preserve"> </w:t>
      </w:r>
    </w:p>
    <w:p w14:paraId="6756EE3E" w14:textId="5322930A" w:rsidR="003D0F6D" w:rsidRPr="00277826" w:rsidRDefault="003D0F6D" w:rsidP="003D0F6D">
      <w:pPr>
        <w:pStyle w:val="CH2"/>
      </w:pPr>
      <w:r w:rsidRPr="00277826">
        <w:tab/>
      </w:r>
      <w:r>
        <w:tab/>
      </w:r>
      <w:r>
        <w:tab/>
      </w:r>
      <w:r w:rsidRPr="00277826">
        <w:t>Note by the Executive Director</w:t>
      </w:r>
    </w:p>
    <w:p w14:paraId="222948C8" w14:textId="0BCFE145" w:rsidR="003D0F6D" w:rsidRPr="00277826" w:rsidRDefault="003D0F6D" w:rsidP="003D0F6D">
      <w:pPr>
        <w:pStyle w:val="CH1"/>
      </w:pPr>
      <w:r w:rsidRPr="00277826">
        <w:tab/>
      </w:r>
      <w:r>
        <w:tab/>
      </w:r>
      <w:r w:rsidRPr="00277826">
        <w:t>Introduction</w:t>
      </w:r>
    </w:p>
    <w:p w14:paraId="56C54A54" w14:textId="77777777" w:rsidR="003D0F6D" w:rsidRPr="00277826" w:rsidRDefault="003D0F6D" w:rsidP="003D0F6D">
      <w:pPr>
        <w:pStyle w:val="Normalnumber"/>
        <w:rPr>
          <w:rFonts w:eastAsiaTheme="minorHAnsi"/>
        </w:rPr>
      </w:pPr>
      <w:r w:rsidRPr="00277826">
        <w:rPr>
          <w:rFonts w:eastAsiaTheme="minorHAnsi"/>
        </w:rPr>
        <w:t>In its Resolution 4/16 on the Conservation and sustainable management of peatlands, the United Nations Environment Assembly of the United Nations Environment Programme (UNEP), among other things, encouraged member states and other stakeholders to enhance regional and international collaboration for the conservation and the sustainable management of peatlands. In paragraph 2 of its Resolution 4/16, it also requested the Executive Director of UNEP, within existing resources and in consultation with the Ramsar Convention on Wetlands of International Importance Especially as Waterfowl Habitat (Ramsar) Secretariat, to coordinate efforts to create a comprehensive and accurate global peatlands inventory, which will be crucial as a basis to identify the extent of peatlands around the world, determine the appropriate interventions, understand carbon sequestration value and potential, and plan for sustainable peatlands management.</w:t>
      </w:r>
    </w:p>
    <w:p w14:paraId="69C15F64" w14:textId="77777777" w:rsidR="003D0F6D" w:rsidRPr="00277826" w:rsidRDefault="003D0F6D" w:rsidP="003D0F6D">
      <w:pPr>
        <w:pStyle w:val="Normalnumber"/>
        <w:rPr>
          <w:rFonts w:eastAsiaTheme="minorHAnsi"/>
        </w:rPr>
      </w:pPr>
      <w:r w:rsidRPr="00277826">
        <w:rPr>
          <w:rFonts w:eastAsiaTheme="minorHAnsi"/>
        </w:rPr>
        <w:t>Resolution 4/16 is consistent with expected accomplishment (a) of the healthy and productive ecosystems subprogramme of the UNEP’s Programme of Work 2019-2021 (The health and productivity of marine, freshwater and terrestrial ecosystems are institutionalized in education, monitoring and cross-sector and transboundary collaboration frameworks at the national and international levels).</w:t>
      </w:r>
    </w:p>
    <w:p w14:paraId="3A75683A" w14:textId="77777777" w:rsidR="003D0F6D" w:rsidRPr="00277826" w:rsidRDefault="003D0F6D" w:rsidP="003D0F6D">
      <w:pPr>
        <w:pStyle w:val="Normalnumber"/>
      </w:pPr>
      <w:r w:rsidRPr="00277826">
        <w:rPr>
          <w:rFonts w:eastAsiaTheme="minorHAnsi"/>
        </w:rPr>
        <w:t>Resolution 4/16 has no formal reporting requirements and as such, the present information document has been prepared as a courtesy to share an update on progress made on the implementation of the resolution. The present note, including its annex, has not been formally edited.</w:t>
      </w:r>
    </w:p>
    <w:p w14:paraId="417D8A32" w14:textId="6003D54B" w:rsidR="003D0F6D" w:rsidRPr="00277826" w:rsidRDefault="0031040D" w:rsidP="0031040D">
      <w:pPr>
        <w:pStyle w:val="CH1"/>
      </w:pPr>
      <w:r>
        <w:lastRenderedPageBreak/>
        <w:tab/>
        <w:t>I.</w:t>
      </w:r>
      <w:r>
        <w:tab/>
      </w:r>
      <w:r w:rsidR="003D0F6D" w:rsidRPr="00277826">
        <w:t xml:space="preserve">Progress on </w:t>
      </w:r>
      <w:r w:rsidR="0043404F">
        <w:t>i</w:t>
      </w:r>
      <w:r w:rsidR="003D0F6D" w:rsidRPr="00277826">
        <w:t xml:space="preserve">mplementation of the </w:t>
      </w:r>
      <w:r w:rsidR="0043404F">
        <w:t>r</w:t>
      </w:r>
      <w:r w:rsidR="003D0F6D" w:rsidRPr="00277826">
        <w:t xml:space="preserve">esolution </w:t>
      </w:r>
    </w:p>
    <w:p w14:paraId="082B80FA" w14:textId="77777777" w:rsidR="003D0F6D" w:rsidRPr="00277826" w:rsidRDefault="003D0F6D" w:rsidP="003D0F6D">
      <w:pPr>
        <w:pStyle w:val="Normalnumber"/>
        <w:rPr>
          <w:rFonts w:eastAsiaTheme="minorHAnsi"/>
        </w:rPr>
      </w:pPr>
      <w:bookmarkStart w:id="1" w:name="_Hlk53047364"/>
      <w:r w:rsidRPr="00277826">
        <w:rPr>
          <w:rFonts w:eastAsiaTheme="minorHAnsi"/>
        </w:rPr>
        <w:t xml:space="preserve">Resolution 4/16 </w:t>
      </w:r>
      <w:bookmarkEnd w:id="1"/>
      <w:r w:rsidRPr="00277826">
        <w:rPr>
          <w:rFonts w:eastAsiaTheme="minorHAnsi"/>
        </w:rPr>
        <w:t xml:space="preserve">emphasizes the importance of inter-disciplinary research, knowledge exchange and cooperation among all stakeholders involved to achieve effective conservation, protection and restoration of peatlands worldwide. Resolution 4/16 acknowledged the ongoing work of UNEP coordinating the </w:t>
      </w:r>
      <w:r w:rsidRPr="00960E83">
        <w:rPr>
          <w:rFonts w:eastAsiaTheme="minorHAnsi"/>
        </w:rPr>
        <w:t>Global Peatlands Initiative (GPI)</w:t>
      </w:r>
      <w:r w:rsidRPr="00277826">
        <w:rPr>
          <w:rFonts w:eastAsiaTheme="minorHAnsi"/>
        </w:rPr>
        <w:t xml:space="preserve"> an international partnership of 39</w:t>
      </w:r>
      <w:r w:rsidRPr="00960E83">
        <w:rPr>
          <w:rFonts w:eastAsiaTheme="minorHAnsi"/>
          <w:vertAlign w:val="superscript"/>
        </w:rPr>
        <w:footnoteReference w:customMarkFollows="1" w:id="5"/>
        <w:t>1</w:t>
      </w:r>
      <w:r w:rsidRPr="00277826">
        <w:rPr>
          <w:rFonts w:eastAsiaTheme="minorHAnsi"/>
        </w:rPr>
        <w:t xml:space="preserve"> organizations and 4 tropical peatland countries formed at the end of 2016. A team in the UNEP Ecosystems Division is supporting countries and stakeholders to implement 4/16 in connection with the GPI</w:t>
      </w:r>
      <w:r w:rsidRPr="00960E83">
        <w:rPr>
          <w:rFonts w:eastAsiaTheme="minorHAnsi"/>
          <w:vertAlign w:val="superscript"/>
        </w:rPr>
        <w:footnoteReference w:customMarkFollows="1" w:id="6"/>
        <w:t>2</w:t>
      </w:r>
      <w:r w:rsidRPr="00277826">
        <w:rPr>
          <w:rFonts w:eastAsiaTheme="minorHAnsi"/>
        </w:rPr>
        <w:t xml:space="preserve"> Project and their regular activities under the UNEP Programme of Work (POW). </w:t>
      </w:r>
    </w:p>
    <w:p w14:paraId="07FF9E03" w14:textId="33204B82" w:rsidR="003D0F6D" w:rsidRPr="0031040D" w:rsidRDefault="003D0F6D" w:rsidP="003D0F6D">
      <w:pPr>
        <w:pStyle w:val="Normalnumber"/>
        <w:rPr>
          <w:rFonts w:eastAsiaTheme="minorHAnsi"/>
          <w:i/>
          <w:iCs/>
        </w:rPr>
      </w:pPr>
      <w:r w:rsidRPr="00277826">
        <w:rPr>
          <w:rFonts w:eastAsiaTheme="minorHAnsi"/>
        </w:rPr>
        <w:t xml:space="preserve">Since its adoption in 2019, progress on the implementation of Resolution 4/16 has contributed directly to achieving the aims of Subprogramme 3 EA(a) in the POWs. Specifically, contributing to Indicator (a)(iii) </w:t>
      </w:r>
      <w:r w:rsidRPr="00960E83">
        <w:rPr>
          <w:rFonts w:eastAsiaTheme="minorHAnsi"/>
        </w:rPr>
        <w:t xml:space="preserve">Increase in the number of countries and groups of countries that improve their </w:t>
      </w:r>
      <w:r w:rsidR="00A427F3" w:rsidRPr="00960E83">
        <w:rPr>
          <w:rFonts w:eastAsiaTheme="minorHAnsi"/>
        </w:rPr>
        <w:br/>
      </w:r>
      <w:r w:rsidRPr="00960E83">
        <w:rPr>
          <w:rFonts w:eastAsiaTheme="minorHAnsi"/>
        </w:rPr>
        <w:t xml:space="preserve">cross-sector and transboundary collaboration frameworks for marine and terrestrial ecosystem management. </w:t>
      </w:r>
    </w:p>
    <w:p w14:paraId="745D8C7D" w14:textId="064B9AF2" w:rsidR="003D0F6D" w:rsidRPr="00277826" w:rsidRDefault="003D0F6D" w:rsidP="003D0F6D">
      <w:pPr>
        <w:pStyle w:val="Normalnumber"/>
        <w:rPr>
          <w:rFonts w:eastAsiaTheme="minorHAnsi"/>
        </w:rPr>
      </w:pPr>
      <w:r w:rsidRPr="00277826">
        <w:rPr>
          <w:rFonts w:eastAsiaTheme="minorHAnsi"/>
        </w:rPr>
        <w:t xml:space="preserve">In collaboration, UNEP and International Union for Conservation of Nature (IUCN) undertook a survey of nations with peatlands yielding responses from 26 countries. Of these, 12 were priority countries </w:t>
      </w:r>
      <w:proofErr w:type="gramStart"/>
      <w:r w:rsidRPr="00277826">
        <w:rPr>
          <w:rFonts w:eastAsiaTheme="minorHAnsi"/>
        </w:rPr>
        <w:t>on the basis of</w:t>
      </w:r>
      <w:proofErr w:type="gramEnd"/>
      <w:r w:rsidRPr="00277826">
        <w:rPr>
          <w:rFonts w:eastAsiaTheme="minorHAnsi"/>
        </w:rPr>
        <w:t xml:space="preserve"> their significant peatland extent or contributions of greenhouse gas (GHG) emissions from degraded peatlands. Eight out of these twelve countries had a national peatland strategy or policy, and a combined total of 27 peatland strategies and policies were identified across the countries that responded. Most of these included: coordination of action to protect existing peatlands; work to assess the distribution and condition of peatlands; and policies to support local communities. Few however included: policies to sustainably manage peatlands; monitor greenhouse gas emissions from degraded peatlands; stop peat extraction; or leverage private investment in peatlands restoration. Countries identified a number of barriers to the development of peatland policies and strategies, including lack of resources; limited understanding of peatland extent or issues; coordination between semi-autonomous provinces; low visibility of peatlands in national </w:t>
      </w:r>
      <w:r w:rsidR="00241CEF">
        <w:rPr>
          <w:rFonts w:eastAsiaTheme="minorHAnsi"/>
        </w:rPr>
        <w:br/>
      </w:r>
      <w:proofErr w:type="gramStart"/>
      <w:r w:rsidRPr="00277826">
        <w:rPr>
          <w:rFonts w:eastAsiaTheme="minorHAnsi"/>
        </w:rPr>
        <w:t>policy-making</w:t>
      </w:r>
      <w:proofErr w:type="gramEnd"/>
      <w:r w:rsidRPr="00277826">
        <w:rPr>
          <w:rFonts w:eastAsiaTheme="minorHAnsi"/>
        </w:rPr>
        <w:t>; and resistance from stakeholders with competing uses.</w:t>
      </w:r>
    </w:p>
    <w:p w14:paraId="40D324B7" w14:textId="2AA87CB5" w:rsidR="0031040D" w:rsidRPr="00C321E2" w:rsidRDefault="0031040D" w:rsidP="0031040D">
      <w:pPr>
        <w:pStyle w:val="Normalnumber"/>
        <w:tabs>
          <w:tab w:val="clear" w:pos="1134"/>
        </w:tabs>
        <w:rPr>
          <w:rFonts w:eastAsiaTheme="minorHAnsi"/>
          <w:color w:val="000000"/>
        </w:rPr>
      </w:pPr>
      <w:r w:rsidRPr="0031040D">
        <w:rPr>
          <w:rFonts w:eastAsiaTheme="minorHAnsi"/>
        </w:rPr>
        <w:t>Momentum</w:t>
      </w:r>
      <w:r w:rsidRPr="00C321E2">
        <w:rPr>
          <w:rFonts w:eastAsiaTheme="minorHAnsi"/>
          <w:color w:val="000000"/>
        </w:rPr>
        <w:t xml:space="preserve"> for 4/16 implementation is built on the work of UNEP and the GPI partners and the commitments made by the </w:t>
      </w:r>
      <w:r w:rsidRPr="00960E83">
        <w:rPr>
          <w:rFonts w:eastAsiaTheme="minorHAnsi"/>
          <w:bCs/>
          <w:color w:val="000000"/>
        </w:rPr>
        <w:t>Republic of Congo (ROC), Indonesia and the Democratic Republic of Congo (DRC)</w:t>
      </w:r>
      <w:r w:rsidRPr="008642D9">
        <w:rPr>
          <w:rFonts w:eastAsiaTheme="minorHAnsi"/>
          <w:bCs/>
          <w:color w:val="000000"/>
        </w:rPr>
        <w:t xml:space="preserve"> outlined in the 2018 </w:t>
      </w:r>
      <w:r w:rsidRPr="00960E83">
        <w:rPr>
          <w:rFonts w:eastAsiaTheme="minorHAnsi"/>
          <w:bCs/>
          <w:color w:val="000000"/>
        </w:rPr>
        <w:t>Brazzaville Declaration on Peatlands</w:t>
      </w:r>
      <w:r w:rsidR="00BA794F" w:rsidRPr="00960E83">
        <w:rPr>
          <w:rFonts w:eastAsiaTheme="minorHAnsi"/>
          <w:bCs/>
          <w:color w:val="000000"/>
        </w:rPr>
        <w:t>.</w:t>
      </w:r>
      <w:r w:rsidRPr="00960E83">
        <w:rPr>
          <w:rStyle w:val="FootnoteReference"/>
          <w:rFonts w:eastAsiaTheme="minorHAnsi"/>
          <w:bCs/>
        </w:rPr>
        <w:footnoteReference w:customMarkFollows="1" w:id="7"/>
        <w:t>3</w:t>
      </w:r>
      <w:r w:rsidRPr="008642D9">
        <w:rPr>
          <w:rFonts w:eastAsiaTheme="minorHAnsi"/>
          <w:bCs/>
          <w:color w:val="000000"/>
        </w:rPr>
        <w:t xml:space="preserve"> UNEP and GPI partners support by facilitat</w:t>
      </w:r>
      <w:r w:rsidRPr="00262C9E">
        <w:rPr>
          <w:rFonts w:eastAsiaTheme="minorHAnsi"/>
          <w:bCs/>
          <w:color w:val="000000"/>
        </w:rPr>
        <w:t xml:space="preserve">ing high-level </w:t>
      </w:r>
      <w:r w:rsidRPr="00960E83">
        <w:rPr>
          <w:rFonts w:eastAsiaTheme="minorHAnsi"/>
          <w:bCs/>
          <w:color w:val="000000"/>
        </w:rPr>
        <w:t>South-South exchanges</w:t>
      </w:r>
      <w:r w:rsidRPr="00960E83">
        <w:rPr>
          <w:rStyle w:val="FootnoteReference"/>
          <w:rFonts w:eastAsiaTheme="minorHAnsi"/>
          <w:bCs/>
        </w:rPr>
        <w:footnoteReference w:customMarkFollows="1" w:id="8"/>
        <w:t>4</w:t>
      </w:r>
      <w:r w:rsidRPr="008642D9">
        <w:rPr>
          <w:rFonts w:eastAsiaTheme="minorHAnsi"/>
          <w:bCs/>
          <w:color w:val="000000"/>
        </w:rPr>
        <w:t xml:space="preserve"> between the 3 signatory countries of the Declaration and </w:t>
      </w:r>
      <w:r w:rsidRPr="00960E83">
        <w:rPr>
          <w:rFonts w:eastAsiaTheme="minorHAnsi"/>
          <w:bCs/>
          <w:color w:val="000000"/>
        </w:rPr>
        <w:t>Peru</w:t>
      </w:r>
      <w:r w:rsidRPr="008642D9">
        <w:rPr>
          <w:rFonts w:eastAsiaTheme="minorHAnsi"/>
          <w:bCs/>
          <w:color w:val="000000"/>
        </w:rPr>
        <w:t xml:space="preserve">. UNEP is also helping to strengthen the </w:t>
      </w:r>
      <w:r w:rsidRPr="00960E83">
        <w:rPr>
          <w:rFonts w:eastAsiaTheme="minorHAnsi"/>
          <w:bCs/>
          <w:color w:val="000000"/>
        </w:rPr>
        <w:t>International Tropical Peatlands Centre (ITPC)</w:t>
      </w:r>
      <w:r w:rsidR="00BA794F" w:rsidRPr="00960E83">
        <w:rPr>
          <w:rFonts w:eastAsiaTheme="minorHAnsi"/>
          <w:bCs/>
          <w:color w:val="000000"/>
        </w:rPr>
        <w:t>,</w:t>
      </w:r>
      <w:r w:rsidRPr="00960E83">
        <w:rPr>
          <w:rStyle w:val="FootnoteReference"/>
          <w:rFonts w:eastAsiaTheme="minorHAnsi"/>
          <w:bCs/>
        </w:rPr>
        <w:footnoteReference w:customMarkFollows="1" w:id="9"/>
        <w:t>5</w:t>
      </w:r>
      <w:r w:rsidRPr="00C321E2">
        <w:rPr>
          <w:rFonts w:eastAsiaTheme="minorHAnsi"/>
          <w:color w:val="000000"/>
        </w:rPr>
        <w:t xml:space="preserve"> an international hub for the advancement of tropical peatlands research and by coordinating and hosting research workshops and events to accelerate information, data, tools and methods exchanges. For example, in July 2019 </w:t>
      </w:r>
      <w:r w:rsidRPr="00960E83">
        <w:rPr>
          <w:rFonts w:eastAsiaTheme="minorHAnsi"/>
          <w:bCs/>
          <w:color w:val="000000"/>
        </w:rPr>
        <w:t>Enhancing Evidence-Based Policy by Developing Core Common Outcomes and Collaborations for Peatland Research and Monitoring</w:t>
      </w:r>
      <w:r w:rsidRPr="00960E83">
        <w:rPr>
          <w:rStyle w:val="FootnoteReference"/>
          <w:rFonts w:eastAsiaTheme="minorHAnsi"/>
          <w:bCs/>
        </w:rPr>
        <w:footnoteReference w:customMarkFollows="1" w:id="10"/>
        <w:t>6</w:t>
      </w:r>
      <w:r w:rsidRPr="00C321E2">
        <w:rPr>
          <w:rFonts w:eastAsiaTheme="minorHAnsi"/>
          <w:color w:val="000000"/>
        </w:rPr>
        <w:t xml:space="preserve"> helped to advance tropical peatlands inter-disciplinary research and collaboration. Building on outputs from this workshop, in 2020, peatland researchers from across the tropics prioritized key variables for peatland monitoring and research. In 2021 a standardized approach to peatland monitoring will be proposed to increase the availability of comparable data for evidence synthesis, which can improve the evidence base for future peatland policy and practice. This built on results of the GPI co-hosted workshop with Newcastle University to </w:t>
      </w:r>
      <w:r w:rsidRPr="008642D9">
        <w:rPr>
          <w:rFonts w:eastAsiaTheme="minorHAnsi"/>
          <w:color w:val="000000"/>
        </w:rPr>
        <w:t>develop</w:t>
      </w:r>
      <w:r w:rsidRPr="00960E83">
        <w:rPr>
          <w:rFonts w:eastAsiaTheme="minorHAnsi"/>
          <w:b/>
          <w:bCs/>
          <w:color w:val="000000"/>
        </w:rPr>
        <w:t xml:space="preserve"> </w:t>
      </w:r>
      <w:r w:rsidRPr="00960E83">
        <w:rPr>
          <w:rFonts w:eastAsiaTheme="minorHAnsi"/>
          <w:color w:val="000000"/>
        </w:rPr>
        <w:t>Core Common Outcomes and Reporting Standards for Peatlands Research</w:t>
      </w:r>
      <w:r w:rsidRPr="00960E83">
        <w:rPr>
          <w:rStyle w:val="FootnoteReference"/>
          <w:rFonts w:eastAsiaTheme="minorHAnsi"/>
        </w:rPr>
        <w:footnoteReference w:customMarkFollows="1" w:id="11"/>
        <w:t>7</w:t>
      </w:r>
      <w:r w:rsidRPr="008642D9">
        <w:rPr>
          <w:rFonts w:eastAsiaTheme="minorHAnsi"/>
          <w:color w:val="000000"/>
        </w:rPr>
        <w:t xml:space="preserve"> with 32 </w:t>
      </w:r>
      <w:r w:rsidRPr="00960E83">
        <w:rPr>
          <w:rFonts w:eastAsiaTheme="minorHAnsi"/>
          <w:color w:val="000000"/>
        </w:rPr>
        <w:t>United Kingdom</w:t>
      </w:r>
      <w:r w:rsidRPr="00C321E2">
        <w:rPr>
          <w:rFonts w:eastAsiaTheme="minorHAnsi"/>
          <w:color w:val="000000"/>
        </w:rPr>
        <w:t xml:space="preserve"> and 5 international peatlands researchers and policymakers.</w:t>
      </w:r>
    </w:p>
    <w:p w14:paraId="7F345D50" w14:textId="1CC4E90C" w:rsidR="0031040D" w:rsidRPr="00C321E2" w:rsidRDefault="0031040D" w:rsidP="00752BEB">
      <w:pPr>
        <w:pStyle w:val="Normalnumber"/>
        <w:tabs>
          <w:tab w:val="clear" w:pos="1134"/>
        </w:tabs>
        <w:rPr>
          <w:rFonts w:eastAsiaTheme="minorHAnsi"/>
          <w:color w:val="000000"/>
        </w:rPr>
      </w:pPr>
      <w:r w:rsidRPr="00C321E2">
        <w:rPr>
          <w:rFonts w:eastAsiaTheme="minorHAnsi"/>
          <w:color w:val="000000"/>
        </w:rPr>
        <w:t xml:space="preserve">Spurred on by 4/16, a dedicated Peatlands Unit under the Ministry of Environment and Sustainable Development of DRC, with technical and financial support from the Japanese Cooperation Agency (JICA), UNEP, Food and Agriculture Organization (FAO) and GPI partners organized the </w:t>
      </w:r>
      <w:r w:rsidRPr="00C321E2">
        <w:rPr>
          <w:rFonts w:eastAsiaTheme="minorHAnsi"/>
          <w:color w:val="000000"/>
        </w:rPr>
        <w:lastRenderedPageBreak/>
        <w:t xml:space="preserve">first ever </w:t>
      </w:r>
      <w:r w:rsidRPr="00960E83">
        <w:rPr>
          <w:rFonts w:eastAsiaTheme="minorHAnsi"/>
          <w:bCs/>
          <w:color w:val="000000"/>
        </w:rPr>
        <w:t>DRC National Peatlands workshop</w:t>
      </w:r>
      <w:r w:rsidRPr="00960E83">
        <w:rPr>
          <w:rStyle w:val="FootnoteReference"/>
          <w:rFonts w:eastAsiaTheme="minorHAnsi"/>
          <w:bCs/>
        </w:rPr>
        <w:footnoteReference w:customMarkFollows="1" w:id="12"/>
        <w:t>8</w:t>
      </w:r>
      <w:r>
        <w:rPr>
          <w:rFonts w:eastAsiaTheme="minorHAnsi"/>
          <w:b/>
          <w:color w:val="000000"/>
        </w:rPr>
        <w:t xml:space="preserve"> </w:t>
      </w:r>
      <w:r w:rsidRPr="00C321E2">
        <w:rPr>
          <w:rFonts w:eastAsiaTheme="minorHAnsi"/>
          <w:color w:val="000000"/>
        </w:rPr>
        <w:t xml:space="preserve">in Kinshasa. UNEP continues to support the DRC to advance on roadmap development and national action plan peatlands sustainable management. In fact, UNEP is working through the GPI to help support all countries by providing expert technical support and bringing best practice approaches to global events, outreach and workshops, while sharing information and inspiring collaboration and commitments through informal and formal partnerships. In May 2019, the </w:t>
      </w:r>
      <w:r w:rsidRPr="00960E83">
        <w:rPr>
          <w:rFonts w:eastAsiaTheme="minorHAnsi"/>
          <w:bCs/>
          <w:color w:val="000000"/>
        </w:rPr>
        <w:t>German Federal Agency for Nature Conservation (</w:t>
      </w:r>
      <w:proofErr w:type="spellStart"/>
      <w:r w:rsidRPr="00960E83">
        <w:rPr>
          <w:rFonts w:eastAsiaTheme="minorHAnsi"/>
          <w:bCs/>
          <w:color w:val="000000"/>
        </w:rPr>
        <w:t>BfN</w:t>
      </w:r>
      <w:proofErr w:type="spellEnd"/>
      <w:r w:rsidRPr="00960E83">
        <w:rPr>
          <w:rFonts w:eastAsiaTheme="minorHAnsi"/>
          <w:bCs/>
          <w:color w:val="000000"/>
        </w:rPr>
        <w:t>)</w:t>
      </w:r>
      <w:r w:rsidRPr="008642D9">
        <w:rPr>
          <w:rFonts w:eastAsiaTheme="minorHAnsi"/>
          <w:bCs/>
          <w:color w:val="000000"/>
        </w:rPr>
        <w:t>,</w:t>
      </w:r>
      <w:r w:rsidRPr="00C321E2">
        <w:rPr>
          <w:rFonts w:eastAsiaTheme="minorHAnsi"/>
          <w:color w:val="000000"/>
        </w:rPr>
        <w:t xml:space="preserve"> UNEP, Wetlands International, Ramsar Secretariat, Greifswald Mire </w:t>
      </w:r>
      <w:proofErr w:type="spellStart"/>
      <w:r w:rsidRPr="00C321E2">
        <w:rPr>
          <w:rFonts w:eastAsiaTheme="minorHAnsi"/>
          <w:color w:val="000000"/>
        </w:rPr>
        <w:t>Center</w:t>
      </w:r>
      <w:proofErr w:type="spellEnd"/>
      <w:r w:rsidRPr="00C321E2">
        <w:rPr>
          <w:rFonts w:eastAsiaTheme="minorHAnsi"/>
          <w:color w:val="000000"/>
        </w:rPr>
        <w:t xml:space="preserve"> (GMC) invited the Secretariats of relevant multilateral environmental agreements (MEAs) - the Ramsar Convention on Wetlands, UN Framework Convention on Climate Change (UNFCCC), Convention on Biological Diversity (CBD), UN Convention to Combat Desertification (UNCCD), The Convention on Migratory Species (CMS) Group, Water Convention - with contracting parties, international organizations and peatland experts to </w:t>
      </w:r>
      <w:r w:rsidRPr="008642D9">
        <w:rPr>
          <w:rFonts w:eastAsiaTheme="minorHAnsi"/>
          <w:color w:val="000000"/>
        </w:rPr>
        <w:t>“</w:t>
      </w:r>
      <w:r w:rsidRPr="00960E83">
        <w:rPr>
          <w:rFonts w:eastAsiaTheme="minorHAnsi"/>
          <w:color w:val="000000"/>
        </w:rPr>
        <w:t>Exploring Synergies for Peatlands – Detecting and enhancing the global importance of peatlands in achieving the Sustainable Development Goals</w:t>
      </w:r>
      <w:r w:rsidRPr="008642D9">
        <w:rPr>
          <w:rFonts w:eastAsiaTheme="minorHAnsi"/>
          <w:color w:val="000000"/>
        </w:rPr>
        <w:t>”</w:t>
      </w:r>
      <w:r w:rsidR="00BA794F" w:rsidRPr="008642D9">
        <w:rPr>
          <w:rFonts w:eastAsiaTheme="minorHAnsi"/>
          <w:color w:val="000000"/>
        </w:rPr>
        <w:t>.</w:t>
      </w:r>
      <w:r w:rsidRPr="00262C9E">
        <w:rPr>
          <w:rStyle w:val="FootnoteReference"/>
          <w:rFonts w:eastAsiaTheme="minorHAnsi"/>
        </w:rPr>
        <w:footnoteReference w:customMarkFollows="1" w:id="13"/>
        <w:t>9</w:t>
      </w:r>
      <w:r w:rsidRPr="00C321E2">
        <w:rPr>
          <w:rFonts w:eastAsiaTheme="minorHAnsi"/>
          <w:color w:val="000000"/>
        </w:rPr>
        <w:t xml:space="preserve"> </w:t>
      </w:r>
    </w:p>
    <w:p w14:paraId="16ECC84A" w14:textId="492D3B2A" w:rsidR="0031040D" w:rsidRPr="008642D9" w:rsidRDefault="0031040D" w:rsidP="0031040D">
      <w:pPr>
        <w:pStyle w:val="Normalnumber"/>
        <w:tabs>
          <w:tab w:val="clear" w:pos="1134"/>
        </w:tabs>
        <w:rPr>
          <w:rFonts w:cstheme="minorHAnsi"/>
          <w:color w:val="000000"/>
        </w:rPr>
      </w:pPr>
      <w:r w:rsidRPr="008642D9">
        <w:rPr>
          <w:rFonts w:eastAsiaTheme="minorHAnsi"/>
          <w:color w:val="000000"/>
        </w:rPr>
        <w:t xml:space="preserve">And later in the year, </w:t>
      </w:r>
      <w:r w:rsidRPr="008642D9">
        <w:rPr>
          <w:rFonts w:eastAsiaTheme="minorHAnsi" w:cstheme="minorHAnsi"/>
          <w:color w:val="000000"/>
        </w:rPr>
        <w:t xml:space="preserve">the </w:t>
      </w:r>
      <w:r w:rsidRPr="00960E83">
        <w:rPr>
          <w:rFonts w:eastAsiaTheme="minorHAnsi" w:cstheme="minorHAnsi"/>
          <w:color w:val="000000"/>
        </w:rPr>
        <w:t>German Minister for Environment, Nature Conservation and Nuclear Safety</w:t>
      </w:r>
      <w:r w:rsidRPr="00960E83">
        <w:rPr>
          <w:rFonts w:eastAsiaTheme="minorHAnsi"/>
          <w:color w:val="000000"/>
        </w:rPr>
        <w:t xml:space="preserve"> (BMU)</w:t>
      </w:r>
      <w:r w:rsidRPr="008642D9">
        <w:rPr>
          <w:rFonts w:eastAsiaTheme="minorHAnsi"/>
          <w:color w:val="000000"/>
        </w:rPr>
        <w:t xml:space="preserve"> and UNEP once again joined forces with </w:t>
      </w:r>
      <w:proofErr w:type="spellStart"/>
      <w:r w:rsidRPr="008642D9">
        <w:rPr>
          <w:rFonts w:eastAsiaTheme="minorHAnsi"/>
          <w:color w:val="000000"/>
        </w:rPr>
        <w:t>BfN</w:t>
      </w:r>
      <w:proofErr w:type="spellEnd"/>
      <w:r w:rsidRPr="008642D9">
        <w:rPr>
          <w:rFonts w:eastAsiaTheme="minorHAnsi"/>
          <w:color w:val="000000"/>
        </w:rPr>
        <w:t xml:space="preserve">, Ramsar Secretariat, GMC and GPI members to provide technical guidance to 30 government representatives, experts and stakeholders from the public sector and civil society from </w:t>
      </w:r>
      <w:r w:rsidRPr="00960E83">
        <w:rPr>
          <w:rFonts w:eastAsiaTheme="minorHAnsi"/>
          <w:color w:val="000000"/>
        </w:rPr>
        <w:t>11</w:t>
      </w:r>
      <w:r w:rsidRPr="00960E83">
        <w:rPr>
          <w:rStyle w:val="FootnoteReference"/>
          <w:rFonts w:eastAsiaTheme="minorHAnsi"/>
        </w:rPr>
        <w:footnoteReference w:customMarkFollows="1" w:id="14"/>
        <w:t>10</w:t>
      </w:r>
      <w:r w:rsidRPr="00960E83">
        <w:rPr>
          <w:rFonts w:eastAsiaTheme="minorHAnsi"/>
          <w:color w:val="000000"/>
        </w:rPr>
        <w:t xml:space="preserve"> EU Member States, other European countries</w:t>
      </w:r>
      <w:r w:rsidRPr="008642D9">
        <w:rPr>
          <w:rFonts w:eastAsiaTheme="minorHAnsi"/>
          <w:color w:val="000000"/>
        </w:rPr>
        <w:t xml:space="preserve"> and beyond in order to establish key principles for the development or revision of their national peatlands policies or strategies as captured in the </w:t>
      </w:r>
      <w:r w:rsidRPr="00960E83">
        <w:rPr>
          <w:rFonts w:eastAsiaTheme="minorHAnsi"/>
          <w:color w:val="000000"/>
        </w:rPr>
        <w:t>Policy Brief: Peatland strategies in Europe</w:t>
      </w:r>
      <w:r w:rsidR="00BA794F" w:rsidRPr="00960E83">
        <w:rPr>
          <w:rFonts w:eastAsiaTheme="minorHAnsi"/>
          <w:color w:val="000000"/>
        </w:rPr>
        <w:t>.</w:t>
      </w:r>
      <w:r w:rsidRPr="00960E83">
        <w:rPr>
          <w:rStyle w:val="FootnoteReference"/>
          <w:rFonts w:eastAsiaTheme="minorHAnsi"/>
        </w:rPr>
        <w:footnoteReference w:customMarkFollows="1" w:id="15"/>
        <w:t>11</w:t>
      </w:r>
      <w:r w:rsidRPr="008642D9">
        <w:rPr>
          <w:rFonts w:eastAsiaTheme="minorHAnsi"/>
          <w:color w:val="000000"/>
        </w:rPr>
        <w:t xml:space="preserve"> Following, </w:t>
      </w:r>
      <w:r w:rsidRPr="00262C9E">
        <w:rPr>
          <w:rFonts w:cstheme="minorHAnsi"/>
          <w:color w:val="000000"/>
        </w:rPr>
        <w:t xml:space="preserve">UNEP together with co-hosts CMS, held a </w:t>
      </w:r>
      <w:r w:rsidRPr="00960E83">
        <w:rPr>
          <w:rFonts w:cstheme="minorHAnsi"/>
          <w:color w:val="000000"/>
        </w:rPr>
        <w:t>Working Meeting for Peatlands Synergies</w:t>
      </w:r>
      <w:r w:rsidRPr="008642D9">
        <w:rPr>
          <w:rFonts w:cstheme="minorHAnsi"/>
          <w:color w:val="000000"/>
        </w:rPr>
        <w:t xml:space="preserve"> </w:t>
      </w:r>
      <w:r w:rsidRPr="008642D9">
        <w:rPr>
          <w:rFonts w:eastAsiaTheme="minorHAnsi"/>
        </w:rPr>
        <w:t>securing</w:t>
      </w:r>
      <w:r w:rsidRPr="00262C9E">
        <w:rPr>
          <w:rFonts w:cstheme="minorHAnsi"/>
          <w:color w:val="000000"/>
        </w:rPr>
        <w:t xml:space="preserve"> commitment and actionable collaboration to </w:t>
      </w:r>
      <w:r w:rsidRPr="008642D9">
        <w:rPr>
          <w:rFonts w:cstheme="minorHAnsi"/>
          <w:color w:val="000000"/>
        </w:rPr>
        <w:t xml:space="preserve">identify synergistic activities to advance peatland conservation, restoration and sustainable management. </w:t>
      </w:r>
    </w:p>
    <w:p w14:paraId="14CC8D09" w14:textId="77777777" w:rsidR="0031040D" w:rsidRPr="00C321E2" w:rsidRDefault="0031040D" w:rsidP="0031040D">
      <w:pPr>
        <w:pStyle w:val="Normalnumber"/>
        <w:tabs>
          <w:tab w:val="clear" w:pos="1134"/>
        </w:tabs>
        <w:rPr>
          <w:rFonts w:cstheme="minorHAnsi"/>
          <w:color w:val="000000"/>
        </w:rPr>
      </w:pPr>
      <w:r w:rsidRPr="0031040D">
        <w:rPr>
          <w:rFonts w:eastAsiaTheme="minorHAnsi"/>
        </w:rPr>
        <w:t>Other</w:t>
      </w:r>
      <w:r w:rsidRPr="00C321E2">
        <w:rPr>
          <w:rFonts w:eastAsiaTheme="minorHAnsi"/>
          <w:color w:val="000000"/>
        </w:rPr>
        <w:t xml:space="preserve"> noteworthy milestones were: </w:t>
      </w:r>
    </w:p>
    <w:p w14:paraId="064B570F" w14:textId="674390DF" w:rsidR="0031040D" w:rsidRPr="00C321E2" w:rsidRDefault="0031040D" w:rsidP="004763D9">
      <w:pPr>
        <w:pStyle w:val="Normalnumber"/>
        <w:numPr>
          <w:ilvl w:val="1"/>
          <w:numId w:val="3"/>
        </w:numPr>
        <w:tabs>
          <w:tab w:val="clear" w:pos="1134"/>
        </w:tabs>
        <w:ind w:firstLine="624"/>
        <w:rPr>
          <w:rFonts w:cstheme="minorHAnsi"/>
          <w:color w:val="000000"/>
        </w:rPr>
      </w:pPr>
      <w:r w:rsidRPr="00C321E2">
        <w:rPr>
          <w:rFonts w:cstheme="minorHAnsi"/>
          <w:color w:val="000000"/>
        </w:rPr>
        <w:t xml:space="preserve">The </w:t>
      </w:r>
      <w:r w:rsidRPr="0031040D">
        <w:rPr>
          <w:rFonts w:eastAsiaTheme="minorHAnsi"/>
        </w:rPr>
        <w:t>v</w:t>
      </w:r>
      <w:hyperlink r:id="rId14" w:history="1">
        <w:r w:rsidRPr="0031040D">
          <w:rPr>
            <w:rFonts w:eastAsiaTheme="minorHAnsi"/>
          </w:rPr>
          <w:t>ital</w:t>
        </w:r>
        <w:r w:rsidRPr="00C321E2">
          <w:rPr>
            <w:rFonts w:cstheme="minorHAnsi"/>
          </w:rPr>
          <w:t xml:space="preserve"> role of peatlands</w:t>
        </w:r>
      </w:hyperlink>
      <w:r w:rsidRPr="00C321E2">
        <w:rPr>
          <w:rFonts w:cstheme="minorHAnsi"/>
          <w:color w:val="000000"/>
        </w:rPr>
        <w:t xml:space="preserve"> and importance of peatlands for carbon sequestration and climate change mitigation included in </w:t>
      </w:r>
      <w:r w:rsidRPr="00960E83">
        <w:rPr>
          <w:rFonts w:cstheme="minorHAnsi"/>
          <w:bCs/>
          <w:color w:val="000000"/>
        </w:rPr>
        <w:t xml:space="preserve">Intergovernmental Panel on Climate Change </w:t>
      </w:r>
      <w:r w:rsidRPr="00960E83">
        <w:rPr>
          <w:rFonts w:cstheme="minorHAnsi"/>
          <w:bCs/>
          <w:iCs/>
          <w:color w:val="000000"/>
        </w:rPr>
        <w:t>Special Report</w:t>
      </w:r>
      <w:r w:rsidR="00BA794F" w:rsidRPr="00960E83">
        <w:rPr>
          <w:rFonts w:cstheme="minorHAnsi"/>
          <w:bCs/>
          <w:iCs/>
          <w:color w:val="000000"/>
        </w:rPr>
        <w:t>.</w:t>
      </w:r>
      <w:r w:rsidRPr="00960E83">
        <w:rPr>
          <w:rStyle w:val="FootnoteReference"/>
          <w:rFonts w:cstheme="minorHAnsi"/>
          <w:bCs/>
          <w:iCs/>
        </w:rPr>
        <w:footnoteReference w:customMarkFollows="1" w:id="16"/>
        <w:t>12</w:t>
      </w:r>
    </w:p>
    <w:p w14:paraId="13578430" w14:textId="4BDFFB57" w:rsidR="0031040D" w:rsidRPr="00C321E2" w:rsidRDefault="0031040D" w:rsidP="004763D9">
      <w:pPr>
        <w:pStyle w:val="Normalnumber"/>
        <w:numPr>
          <w:ilvl w:val="1"/>
          <w:numId w:val="3"/>
        </w:numPr>
        <w:tabs>
          <w:tab w:val="clear" w:pos="1134"/>
        </w:tabs>
        <w:ind w:firstLine="624"/>
        <w:rPr>
          <w:rFonts w:eastAsiaTheme="minorHAnsi" w:cstheme="minorHAnsi"/>
          <w:bCs/>
          <w:color w:val="000000"/>
        </w:rPr>
      </w:pPr>
      <w:bookmarkStart w:id="2" w:name="_Hlk31120337"/>
      <w:r w:rsidRPr="00960E83">
        <w:rPr>
          <w:rFonts w:eastAsiaTheme="minorHAnsi" w:cstheme="minorHAnsi"/>
          <w:bCs/>
          <w:iCs/>
          <w:color w:val="000000"/>
        </w:rPr>
        <w:t>Peatlands as a vital nature-based solution for global climate action</w:t>
      </w:r>
      <w:bookmarkEnd w:id="2"/>
      <w:r w:rsidRPr="00C321E2">
        <w:rPr>
          <w:rFonts w:eastAsiaTheme="minorHAnsi" w:cstheme="minorHAnsi"/>
          <w:bCs/>
          <w:color w:val="000000"/>
        </w:rPr>
        <w:t xml:space="preserve"> emphasized at </w:t>
      </w:r>
      <w:bookmarkStart w:id="3" w:name="_Hlk31120352"/>
      <w:r w:rsidRPr="00960E83">
        <w:rPr>
          <w:rFonts w:eastAsiaTheme="minorHAnsi" w:cstheme="minorHAnsi"/>
          <w:color w:val="000000"/>
        </w:rPr>
        <w:t>Secretary</w:t>
      </w:r>
      <w:r w:rsidR="008642D9">
        <w:rPr>
          <w:rFonts w:eastAsiaTheme="minorHAnsi" w:cstheme="minorHAnsi"/>
          <w:color w:val="000000"/>
        </w:rPr>
        <w:t>-</w:t>
      </w:r>
      <w:r w:rsidRPr="00960E83">
        <w:rPr>
          <w:rFonts w:eastAsiaTheme="minorHAnsi" w:cstheme="minorHAnsi"/>
          <w:color w:val="000000"/>
        </w:rPr>
        <w:t>General’s Climate Summit</w:t>
      </w:r>
      <w:bookmarkEnd w:id="3"/>
      <w:r w:rsidRPr="00960E83">
        <w:rPr>
          <w:rStyle w:val="FootnoteReference"/>
          <w:rFonts w:eastAsiaTheme="minorHAnsi" w:cstheme="minorHAnsi"/>
        </w:rPr>
        <w:footnoteReference w:customMarkFollows="1" w:id="17"/>
        <w:t>13</w:t>
      </w:r>
      <w:r w:rsidRPr="00C321E2">
        <w:rPr>
          <w:rFonts w:eastAsiaTheme="minorHAnsi" w:cstheme="minorHAnsi"/>
          <w:bCs/>
          <w:color w:val="000000"/>
        </w:rPr>
        <w:t xml:space="preserve"> by German Minister for Environment, Nature Conservation and Nuclear Safety (BMU), by Indonesia’s Deputy Minister of Environment and Forestry and by FAO’s Forestry Policy and Resources Division Director.</w:t>
      </w:r>
    </w:p>
    <w:p w14:paraId="1F76DF96" w14:textId="77777777" w:rsidR="0031040D" w:rsidRPr="00C321E2" w:rsidRDefault="0031040D" w:rsidP="004763D9">
      <w:pPr>
        <w:pStyle w:val="Normalnumber"/>
        <w:numPr>
          <w:ilvl w:val="1"/>
          <w:numId w:val="3"/>
        </w:numPr>
        <w:tabs>
          <w:tab w:val="clear" w:pos="1134"/>
        </w:tabs>
        <w:ind w:firstLine="624"/>
        <w:rPr>
          <w:rFonts w:eastAsiaTheme="minorHAnsi" w:cstheme="minorHAnsi"/>
          <w:bCs/>
          <w:color w:val="000000"/>
        </w:rPr>
      </w:pPr>
      <w:r w:rsidRPr="00C321E2">
        <w:rPr>
          <w:rFonts w:eastAsiaTheme="minorHAnsi" w:cstheme="minorHAnsi"/>
          <w:bCs/>
          <w:color w:val="000000"/>
        </w:rPr>
        <w:t xml:space="preserve">Peatlands were emphasized at an Extraordinary Meeting of Ministers of the </w:t>
      </w:r>
      <w:r w:rsidRPr="00960E83">
        <w:rPr>
          <w:rFonts w:eastAsiaTheme="minorHAnsi" w:cstheme="minorHAnsi"/>
          <w:color w:val="000000"/>
        </w:rPr>
        <w:t>Central African Forest Commission (COMIFAC)</w:t>
      </w:r>
      <w:r w:rsidRPr="00960E83">
        <w:rPr>
          <w:rStyle w:val="FootnoteReference"/>
          <w:rFonts w:eastAsiaTheme="minorHAnsi" w:cstheme="minorHAnsi"/>
        </w:rPr>
        <w:footnoteReference w:customMarkFollows="1" w:id="18"/>
        <w:t>14</w:t>
      </w:r>
      <w:r w:rsidRPr="00960E83">
        <w:rPr>
          <w:rFonts w:eastAsiaTheme="minorHAnsi" w:cstheme="minorHAnsi"/>
          <w:color w:val="000000"/>
        </w:rPr>
        <w:t xml:space="preserve"> </w:t>
      </w:r>
      <w:r w:rsidRPr="00C321E2">
        <w:rPr>
          <w:rFonts w:eastAsiaTheme="minorHAnsi" w:cstheme="minorHAnsi"/>
          <w:bCs/>
          <w:color w:val="000000"/>
        </w:rPr>
        <w:t xml:space="preserve">as Minister of Tourism and Environment of ROC, supported by DRC Minister of Environment and Sustainable Development secured peatlands as a topic for discussion in the formal agenda for the next </w:t>
      </w:r>
      <w:r w:rsidRPr="00960E83">
        <w:rPr>
          <w:rFonts w:eastAsiaTheme="minorHAnsi" w:cstheme="minorHAnsi"/>
          <w:color w:val="000000"/>
        </w:rPr>
        <w:t>COMIFAC Heads of State Conference</w:t>
      </w:r>
      <w:r w:rsidRPr="008642D9">
        <w:rPr>
          <w:rFonts w:eastAsiaTheme="minorHAnsi" w:cstheme="minorHAnsi"/>
          <w:color w:val="000000"/>
        </w:rPr>
        <w:t>.</w:t>
      </w:r>
    </w:p>
    <w:p w14:paraId="2E6C2F2C" w14:textId="3B8D82DE" w:rsidR="0031040D" w:rsidRPr="00C321E2" w:rsidRDefault="0031040D" w:rsidP="004763D9">
      <w:pPr>
        <w:pStyle w:val="Normalnumber"/>
        <w:numPr>
          <w:ilvl w:val="1"/>
          <w:numId w:val="3"/>
        </w:numPr>
        <w:tabs>
          <w:tab w:val="clear" w:pos="1134"/>
        </w:tabs>
        <w:ind w:firstLine="624"/>
        <w:rPr>
          <w:rFonts w:eastAsiaTheme="minorHAnsi" w:cstheme="minorHAnsi"/>
          <w:bCs/>
          <w:color w:val="000000"/>
        </w:rPr>
      </w:pPr>
      <w:r w:rsidRPr="00C321E2">
        <w:rPr>
          <w:rFonts w:eastAsiaTheme="minorHAnsi" w:cstheme="minorHAnsi"/>
          <w:bCs/>
          <w:color w:val="000000"/>
        </w:rPr>
        <w:t xml:space="preserve">FAO and GPI partners advanced critical on work to improve </w:t>
      </w:r>
      <w:r w:rsidRPr="00960E83">
        <w:rPr>
          <w:rFonts w:eastAsiaTheme="minorHAnsi" w:cstheme="minorHAnsi"/>
          <w:color w:val="000000"/>
        </w:rPr>
        <w:t>Peatland mapping and monitoring: recommendations and technical overview</w:t>
      </w:r>
      <w:r w:rsidRPr="00960E83">
        <w:rPr>
          <w:rStyle w:val="FootnoteReference"/>
          <w:rFonts w:eastAsiaTheme="minorHAnsi" w:cstheme="minorHAnsi"/>
        </w:rPr>
        <w:footnoteReference w:customMarkFollows="1" w:id="19"/>
        <w:t>15</w:t>
      </w:r>
      <w:r w:rsidRPr="00960E83">
        <w:rPr>
          <w:rFonts w:eastAsiaTheme="minorHAnsi" w:cstheme="minorHAnsi"/>
          <w:color w:val="000000"/>
        </w:rPr>
        <w:t xml:space="preserve"> </w:t>
      </w:r>
      <w:r w:rsidRPr="008642D9">
        <w:rPr>
          <w:rFonts w:eastAsiaTheme="minorHAnsi" w:cstheme="minorHAnsi"/>
          <w:color w:val="000000"/>
        </w:rPr>
        <w:t xml:space="preserve">during a </w:t>
      </w:r>
      <w:r w:rsidRPr="00960E83">
        <w:rPr>
          <w:rFonts w:eastAsiaTheme="minorHAnsi" w:cstheme="minorHAnsi"/>
          <w:color w:val="000000"/>
        </w:rPr>
        <w:t>participatory workshop</w:t>
      </w:r>
      <w:r w:rsidR="00BA794F" w:rsidRPr="00960E83">
        <w:rPr>
          <w:rFonts w:eastAsiaTheme="minorHAnsi" w:cstheme="minorHAnsi"/>
          <w:color w:val="000000"/>
        </w:rPr>
        <w:t>.</w:t>
      </w:r>
      <w:r w:rsidRPr="00960E83">
        <w:rPr>
          <w:rStyle w:val="FootnoteReference"/>
          <w:rFonts w:eastAsiaTheme="minorHAnsi" w:cstheme="minorHAnsi"/>
        </w:rPr>
        <w:footnoteReference w:customMarkFollows="1" w:id="20"/>
        <w:t>16</w:t>
      </w:r>
    </w:p>
    <w:p w14:paraId="075A6EE0" w14:textId="77777777" w:rsidR="0031040D" w:rsidRPr="00C321E2" w:rsidRDefault="0031040D" w:rsidP="004763D9">
      <w:pPr>
        <w:pStyle w:val="Normalnumber"/>
        <w:numPr>
          <w:ilvl w:val="1"/>
          <w:numId w:val="3"/>
        </w:numPr>
        <w:tabs>
          <w:tab w:val="clear" w:pos="1134"/>
        </w:tabs>
        <w:ind w:firstLine="624"/>
        <w:rPr>
          <w:rFonts w:eastAsiaTheme="minorHAnsi" w:cstheme="minorHAnsi"/>
          <w:bCs/>
          <w:color w:val="000000"/>
        </w:rPr>
      </w:pPr>
      <w:r w:rsidRPr="00C321E2">
        <w:rPr>
          <w:rFonts w:eastAsiaTheme="minorHAnsi" w:cstheme="minorHAnsi"/>
          <w:bCs/>
          <w:color w:val="000000"/>
        </w:rPr>
        <w:lastRenderedPageBreak/>
        <w:t xml:space="preserve">As one of the emerging issues of our time GPI coordinated </w:t>
      </w:r>
      <w:r w:rsidRPr="00960E83">
        <w:rPr>
          <w:rFonts w:eastAsiaTheme="minorHAnsi" w:cstheme="minorHAnsi"/>
          <w:color w:val="000000"/>
        </w:rPr>
        <w:t>Permafrost Peatlands: Losing ground in a warming world</w:t>
      </w:r>
      <w:r w:rsidRPr="00960E83">
        <w:rPr>
          <w:rStyle w:val="FootnoteReference"/>
          <w:rFonts w:eastAsiaTheme="minorHAnsi" w:cstheme="minorHAnsi"/>
        </w:rPr>
        <w:footnoteReference w:customMarkFollows="1" w:id="21"/>
        <w:t>17</w:t>
      </w:r>
      <w:r w:rsidRPr="00960E83">
        <w:rPr>
          <w:rFonts w:eastAsiaTheme="minorHAnsi" w:cstheme="minorHAnsi"/>
          <w:color w:val="000000"/>
        </w:rPr>
        <w:t xml:space="preserve"> </w:t>
      </w:r>
      <w:r w:rsidRPr="008642D9">
        <w:rPr>
          <w:rFonts w:eastAsiaTheme="minorHAnsi" w:cstheme="minorHAnsi"/>
          <w:color w:val="000000"/>
        </w:rPr>
        <w:t xml:space="preserve">chapter in the </w:t>
      </w:r>
      <w:r w:rsidRPr="00960E83">
        <w:rPr>
          <w:rFonts w:eastAsiaTheme="minorHAnsi" w:cstheme="minorHAnsi"/>
          <w:color w:val="000000"/>
        </w:rPr>
        <w:t>Frontiers Report.</w:t>
      </w:r>
      <w:r w:rsidRPr="008642D9">
        <w:rPr>
          <w:rFonts w:eastAsiaTheme="minorHAnsi" w:cstheme="minorHAnsi"/>
          <w:color w:val="000000"/>
        </w:rPr>
        <w:t xml:space="preserve"> </w:t>
      </w:r>
    </w:p>
    <w:p w14:paraId="335C2A38" w14:textId="4CA42823" w:rsidR="0031040D" w:rsidRPr="00C321E2" w:rsidRDefault="0031040D" w:rsidP="004763D9">
      <w:pPr>
        <w:pStyle w:val="Normalnumber"/>
        <w:numPr>
          <w:ilvl w:val="1"/>
          <w:numId w:val="3"/>
        </w:numPr>
        <w:tabs>
          <w:tab w:val="clear" w:pos="1134"/>
        </w:tabs>
        <w:ind w:firstLine="624"/>
        <w:rPr>
          <w:rFonts w:eastAsiaTheme="minorHAnsi" w:cstheme="minorHAnsi"/>
          <w:bCs/>
          <w:color w:val="000000"/>
        </w:rPr>
      </w:pPr>
      <w:r w:rsidRPr="00C321E2">
        <w:rPr>
          <w:rFonts w:eastAsiaTheme="minorHAnsi" w:cstheme="minorHAnsi"/>
          <w:bCs/>
          <w:color w:val="000000"/>
        </w:rPr>
        <w:t xml:space="preserve">UNEP and GPI partners urged for action for peatlands conservation, restoration and sustainable management </w:t>
      </w:r>
      <w:r w:rsidRPr="008642D9">
        <w:rPr>
          <w:rFonts w:eastAsiaTheme="minorHAnsi" w:cstheme="minorHAnsi"/>
          <w:bCs/>
          <w:color w:val="000000"/>
        </w:rPr>
        <w:t xml:space="preserve">at </w:t>
      </w:r>
      <w:r w:rsidRPr="00960E83">
        <w:rPr>
          <w:rFonts w:eastAsiaTheme="minorHAnsi" w:cstheme="minorHAnsi"/>
          <w:bCs/>
          <w:color w:val="000000"/>
        </w:rPr>
        <w:t>key global and regional policy forums</w:t>
      </w:r>
      <w:r w:rsidRPr="008642D9">
        <w:rPr>
          <w:rFonts w:eastAsiaTheme="minorHAnsi" w:cstheme="minorHAnsi"/>
          <w:bCs/>
          <w:color w:val="000000"/>
        </w:rPr>
        <w:t>:</w:t>
      </w:r>
      <w:r w:rsidRPr="00C321E2">
        <w:rPr>
          <w:rFonts w:eastAsiaTheme="minorHAnsi" w:cstheme="minorHAnsi"/>
          <w:bCs/>
          <w:color w:val="000000"/>
        </w:rPr>
        <w:t xml:space="preserve"> 7 Global Landscapes Forums; 8</w:t>
      </w:r>
      <w:r w:rsidR="006F2248">
        <w:rPr>
          <w:rFonts w:eastAsiaTheme="minorHAnsi" w:cstheme="minorHAnsi"/>
          <w:bCs/>
          <w:color w:val="000000"/>
        </w:rPr>
        <w:t> </w:t>
      </w:r>
      <w:r w:rsidRPr="00C321E2">
        <w:rPr>
          <w:rFonts w:eastAsiaTheme="minorHAnsi" w:cstheme="minorHAnsi"/>
          <w:bCs/>
          <w:color w:val="000000"/>
        </w:rPr>
        <w:t xml:space="preserve">events at UNFCCC COP25; </w:t>
      </w:r>
      <w:proofErr w:type="spellStart"/>
      <w:r w:rsidRPr="00C321E2">
        <w:rPr>
          <w:rFonts w:eastAsiaTheme="minorHAnsi" w:cstheme="minorHAnsi"/>
          <w:bCs/>
          <w:color w:val="000000"/>
        </w:rPr>
        <w:t>Wetscapes</w:t>
      </w:r>
      <w:proofErr w:type="spellEnd"/>
      <w:r w:rsidRPr="00C321E2">
        <w:rPr>
          <w:rFonts w:eastAsiaTheme="minorHAnsi" w:cstheme="minorHAnsi"/>
          <w:bCs/>
          <w:color w:val="000000"/>
        </w:rPr>
        <w:t>; IUCN, UK Peatland Conference;</w:t>
      </w:r>
      <w:r w:rsidRPr="00C321E2">
        <w:rPr>
          <w:rFonts w:eastAsiaTheme="minorHAnsi"/>
          <w:color w:val="000000"/>
        </w:rPr>
        <w:t xml:space="preserve"> </w:t>
      </w:r>
      <w:proofErr w:type="spellStart"/>
      <w:r w:rsidRPr="00C321E2">
        <w:rPr>
          <w:rFonts w:eastAsiaTheme="minorHAnsi" w:cstheme="minorHAnsi"/>
          <w:bCs/>
          <w:color w:val="000000"/>
        </w:rPr>
        <w:t>Eurosite</w:t>
      </w:r>
      <w:proofErr w:type="spellEnd"/>
      <w:r w:rsidRPr="00C321E2">
        <w:rPr>
          <w:rFonts w:eastAsiaTheme="minorHAnsi" w:cstheme="minorHAnsi"/>
          <w:bCs/>
          <w:color w:val="000000"/>
        </w:rPr>
        <w:t xml:space="preserve"> Annual General Meeting and many more online sessions</w:t>
      </w:r>
      <w:bookmarkStart w:id="4" w:name="_Hlk30155503"/>
      <w:r w:rsidRPr="00C321E2">
        <w:rPr>
          <w:rFonts w:eastAsiaTheme="minorHAnsi" w:cstheme="minorHAnsi"/>
          <w:bCs/>
          <w:color w:val="000000"/>
        </w:rPr>
        <w:t>.</w:t>
      </w:r>
    </w:p>
    <w:p w14:paraId="71CC6B93" w14:textId="77777777" w:rsidR="0031040D" w:rsidRPr="00C321E2" w:rsidRDefault="0031040D" w:rsidP="004763D9">
      <w:pPr>
        <w:pStyle w:val="Normalnumber"/>
        <w:numPr>
          <w:ilvl w:val="1"/>
          <w:numId w:val="3"/>
        </w:numPr>
        <w:tabs>
          <w:tab w:val="clear" w:pos="1134"/>
        </w:tabs>
        <w:ind w:firstLine="624"/>
        <w:rPr>
          <w:rFonts w:eastAsiaTheme="minorHAnsi" w:cstheme="minorHAnsi"/>
          <w:bCs/>
          <w:color w:val="000000"/>
        </w:rPr>
      </w:pPr>
      <w:r w:rsidRPr="00C321E2">
        <w:rPr>
          <w:rFonts w:eastAsiaTheme="minorHAnsi" w:cstheme="minorHAnsi"/>
          <w:bCs/>
          <w:color w:val="000000"/>
        </w:rPr>
        <w:t xml:space="preserve">Advancing the work on peatlands inter-disciplinary research, Newcastle University, UNEP and the ITPC established a </w:t>
      </w:r>
      <w:r w:rsidRPr="00960E83">
        <w:rPr>
          <w:rFonts w:eastAsiaTheme="minorHAnsi" w:cstheme="minorHAnsi"/>
          <w:color w:val="000000"/>
        </w:rPr>
        <w:t>GPI (Tropical) Peatlands Research Working Group</w:t>
      </w:r>
      <w:r w:rsidRPr="00C321E2">
        <w:rPr>
          <w:rFonts w:eastAsiaTheme="minorHAnsi" w:cstheme="minorHAnsi"/>
          <w:bCs/>
          <w:color w:val="000000"/>
        </w:rPr>
        <w:t xml:space="preserve"> to foster collaboration on core outcome sets, joint research funding proposals and provide essential skills training.</w:t>
      </w:r>
      <w:bookmarkEnd w:id="4"/>
    </w:p>
    <w:p w14:paraId="4A47E04F" w14:textId="77777777" w:rsidR="0031040D" w:rsidRPr="00C321E2" w:rsidRDefault="0031040D" w:rsidP="004763D9">
      <w:pPr>
        <w:pStyle w:val="Normalnumber"/>
        <w:numPr>
          <w:ilvl w:val="1"/>
          <w:numId w:val="3"/>
        </w:numPr>
        <w:tabs>
          <w:tab w:val="clear" w:pos="1134"/>
        </w:tabs>
        <w:ind w:firstLine="624"/>
        <w:rPr>
          <w:rFonts w:eastAsiaTheme="minorHAnsi" w:cstheme="minorHAnsi"/>
          <w:bCs/>
          <w:color w:val="000000"/>
        </w:rPr>
      </w:pPr>
      <w:r w:rsidRPr="00960E83">
        <w:rPr>
          <w:rFonts w:eastAsiaTheme="minorHAnsi" w:cstheme="minorHAnsi"/>
          <w:color w:val="000000"/>
        </w:rPr>
        <w:t>Ramsar Scientific and Technical Review Panel (STRP)</w:t>
      </w:r>
      <w:r w:rsidRPr="008642D9">
        <w:rPr>
          <w:rFonts w:eastAsiaTheme="minorHAnsi" w:cstheme="minorHAnsi"/>
          <w:color w:val="000000"/>
        </w:rPr>
        <w:t xml:space="preserve"> is currently preparing specific guidance (technical, policy) for peatland restoration. In addition, </w:t>
      </w:r>
      <w:r w:rsidRPr="00960E83">
        <w:rPr>
          <w:rFonts w:eastAsiaTheme="minorHAnsi" w:cstheme="minorHAnsi"/>
          <w:color w:val="000000"/>
        </w:rPr>
        <w:t>Ramsar Secretariat</w:t>
      </w:r>
      <w:r w:rsidRPr="008642D9">
        <w:rPr>
          <w:rFonts w:eastAsiaTheme="minorHAnsi" w:cstheme="minorHAnsi"/>
          <w:color w:val="000000"/>
        </w:rPr>
        <w:t xml:space="preserve"> </w:t>
      </w:r>
      <w:r w:rsidRPr="00C321E2">
        <w:rPr>
          <w:rFonts w:eastAsiaTheme="minorHAnsi" w:cstheme="minorHAnsi"/>
          <w:bCs/>
          <w:color w:val="000000"/>
        </w:rPr>
        <w:t xml:space="preserve">is also preparing together with UNDP a webinar for the respective national focal points on </w:t>
      </w:r>
      <w:r w:rsidRPr="00960E83">
        <w:rPr>
          <w:rFonts w:eastAsiaTheme="minorHAnsi" w:cstheme="minorHAnsi"/>
          <w:color w:val="000000"/>
        </w:rPr>
        <w:t>how best to integrate wetland-based solutions into the updates of Nationally Determined Contributions (NDCs)</w:t>
      </w:r>
      <w:r w:rsidRPr="00C321E2">
        <w:rPr>
          <w:rFonts w:eastAsiaTheme="minorHAnsi" w:cstheme="minorHAnsi"/>
          <w:bCs/>
          <w:color w:val="000000"/>
        </w:rPr>
        <w:t xml:space="preserve"> as requested by the Paris Accord.</w:t>
      </w:r>
    </w:p>
    <w:p w14:paraId="23162CA1" w14:textId="2E21912D" w:rsidR="0031040D" w:rsidRPr="00C321E2" w:rsidRDefault="00C84865" w:rsidP="00C84865">
      <w:pPr>
        <w:pStyle w:val="CH2"/>
        <w:rPr>
          <w:rFonts w:eastAsiaTheme="minorHAnsi"/>
        </w:rPr>
      </w:pPr>
      <w:r>
        <w:rPr>
          <w:rFonts w:eastAsiaTheme="minorHAnsi"/>
        </w:rPr>
        <w:tab/>
      </w:r>
      <w:r>
        <w:rPr>
          <w:rFonts w:eastAsiaTheme="minorHAnsi"/>
        </w:rPr>
        <w:tab/>
      </w:r>
      <w:r w:rsidR="0031040D" w:rsidRPr="00C321E2">
        <w:rPr>
          <w:rFonts w:eastAsiaTheme="minorHAnsi"/>
        </w:rPr>
        <w:t xml:space="preserve">Regional </w:t>
      </w:r>
      <w:r w:rsidR="008642D9">
        <w:rPr>
          <w:rFonts w:eastAsiaTheme="minorHAnsi"/>
        </w:rPr>
        <w:t>e</w:t>
      </w:r>
      <w:r w:rsidR="0031040D" w:rsidRPr="00C321E2">
        <w:rPr>
          <w:rFonts w:eastAsiaTheme="minorHAnsi"/>
        </w:rPr>
        <w:t>fforts</w:t>
      </w:r>
    </w:p>
    <w:p w14:paraId="24BAED7D" w14:textId="58CB36F3" w:rsidR="0031040D" w:rsidRPr="00C321E2" w:rsidRDefault="0031040D" w:rsidP="0031040D">
      <w:pPr>
        <w:pStyle w:val="Normalnumber"/>
        <w:tabs>
          <w:tab w:val="clear" w:pos="1134"/>
        </w:tabs>
        <w:rPr>
          <w:rFonts w:eastAsiaTheme="minorHAnsi"/>
          <w:color w:val="000000"/>
          <w:szCs w:val="24"/>
        </w:rPr>
      </w:pPr>
      <w:r w:rsidRPr="00C321E2">
        <w:rPr>
          <w:rFonts w:eastAsiaTheme="minorHAnsi"/>
          <w:b/>
          <w:color w:val="000000"/>
          <w:u w:val="single"/>
        </w:rPr>
        <w:t>Latin America and the Caribbean:</w:t>
      </w:r>
      <w:r w:rsidRPr="00C321E2">
        <w:rPr>
          <w:rFonts w:eastAsiaTheme="minorHAnsi"/>
          <w:color w:val="000000"/>
        </w:rPr>
        <w:t xml:space="preserve"> With </w:t>
      </w:r>
      <w:r w:rsidRPr="00960E83">
        <w:rPr>
          <w:rFonts w:eastAsiaTheme="minorHAnsi"/>
          <w:bCs/>
          <w:color w:val="000000"/>
        </w:rPr>
        <w:t>Peruvian Ministry of Environment (MINAM)</w:t>
      </w:r>
      <w:r w:rsidRPr="008642D9">
        <w:rPr>
          <w:rFonts w:eastAsiaTheme="minorHAnsi"/>
          <w:bCs/>
          <w:color w:val="000000"/>
        </w:rPr>
        <w:t>,</w:t>
      </w:r>
      <w:r w:rsidRPr="00C321E2">
        <w:rPr>
          <w:rFonts w:eastAsiaTheme="minorHAnsi"/>
          <w:color w:val="000000"/>
        </w:rPr>
        <w:t xml:space="preserve"> FAO, UNEP, GMC and GPI support knowledge exchange through global forums and a series of 5</w:t>
      </w:r>
      <w:r w:rsidR="006F2248">
        <w:rPr>
          <w:rFonts w:eastAsiaTheme="minorHAnsi"/>
          <w:color w:val="000000"/>
        </w:rPr>
        <w:t> </w:t>
      </w:r>
      <w:r w:rsidRPr="00C321E2">
        <w:rPr>
          <w:rFonts w:eastAsiaTheme="minorHAnsi"/>
          <w:color w:val="000000"/>
        </w:rPr>
        <w:t>national webinars to advance and consolidate efforts toward sustainable management of peatlands in Peru</w:t>
      </w:r>
      <w:r w:rsidR="00BA794F">
        <w:rPr>
          <w:rFonts w:eastAsiaTheme="minorHAnsi"/>
          <w:color w:val="000000"/>
        </w:rPr>
        <w:t>.</w:t>
      </w:r>
      <w:r>
        <w:rPr>
          <w:rStyle w:val="FootnoteReference"/>
          <w:rFonts w:eastAsiaTheme="minorHAnsi"/>
        </w:rPr>
        <w:footnoteReference w:customMarkFollows="1" w:id="22"/>
        <w:t>18</w:t>
      </w:r>
      <w:r w:rsidRPr="00C321E2">
        <w:rPr>
          <w:rFonts w:eastAsiaTheme="minorHAnsi"/>
          <w:color w:val="000000"/>
        </w:rPr>
        <w:t xml:space="preserve"> With </w:t>
      </w:r>
      <w:r w:rsidRPr="00960E83">
        <w:rPr>
          <w:rFonts w:eastAsiaTheme="minorHAnsi"/>
          <w:bCs/>
          <w:color w:val="000000"/>
        </w:rPr>
        <w:t>Chilean Ministry of Environment,</w:t>
      </w:r>
      <w:r w:rsidRPr="00C321E2">
        <w:rPr>
          <w:rFonts w:eastAsiaTheme="minorHAnsi"/>
          <w:b/>
          <w:color w:val="000000"/>
        </w:rPr>
        <w:t xml:space="preserve"> </w:t>
      </w:r>
      <w:r w:rsidRPr="00C321E2">
        <w:rPr>
          <w:rFonts w:eastAsiaTheme="minorHAnsi"/>
          <w:color w:val="000000"/>
        </w:rPr>
        <w:t>UNEP, GMC and GPI supported Chile</w:t>
      </w:r>
      <w:r>
        <w:rPr>
          <w:rStyle w:val="FootnoteReference"/>
          <w:rFonts w:eastAsiaTheme="minorHAnsi"/>
        </w:rPr>
        <w:footnoteReference w:customMarkFollows="1" w:id="23"/>
        <w:t>19</w:t>
      </w:r>
      <w:r w:rsidRPr="00C321E2">
        <w:rPr>
          <w:rFonts w:eastAsiaTheme="minorHAnsi"/>
          <w:color w:val="000000"/>
        </w:rPr>
        <w:t xml:space="preserve"> to include peatlands in their NDC, helped to launch Chile’s national roadmap for the conservation and sustainable management of peatlands during a “Protection and sustainable use of peatlands as </w:t>
      </w:r>
      <w:r w:rsidR="006F2248">
        <w:rPr>
          <w:rFonts w:eastAsiaTheme="minorHAnsi"/>
          <w:color w:val="000000"/>
        </w:rPr>
        <w:br/>
      </w:r>
      <w:r w:rsidRPr="00C321E2">
        <w:rPr>
          <w:rFonts w:eastAsiaTheme="minorHAnsi"/>
          <w:color w:val="000000"/>
        </w:rPr>
        <w:t>nature-based solutions to climate change: international experiences” webinar as a celebration of International Bog Day.</w:t>
      </w:r>
    </w:p>
    <w:p w14:paraId="32359573" w14:textId="77777777" w:rsidR="0031040D" w:rsidRPr="00C321E2" w:rsidRDefault="0031040D" w:rsidP="0031040D">
      <w:pPr>
        <w:pStyle w:val="Normalnumber"/>
        <w:tabs>
          <w:tab w:val="clear" w:pos="1134"/>
        </w:tabs>
        <w:rPr>
          <w:rFonts w:eastAsia="Arial Unicode MS"/>
          <w:szCs w:val="24"/>
          <w:bdr w:val="nil"/>
          <w:lang w:val="en-CA"/>
        </w:rPr>
      </w:pPr>
      <w:r w:rsidRPr="00C321E2">
        <w:rPr>
          <w:rFonts w:eastAsia="Arial Unicode MS"/>
          <w:b/>
          <w:szCs w:val="24"/>
          <w:u w:val="single"/>
          <w:bdr w:val="nil"/>
        </w:rPr>
        <w:t>North America:</w:t>
      </w:r>
      <w:r w:rsidRPr="00C321E2">
        <w:rPr>
          <w:rFonts w:eastAsia="Arial Unicode MS"/>
          <w:szCs w:val="24"/>
          <w:bdr w:val="nil"/>
        </w:rPr>
        <w:t xml:space="preserve"> UNEP, </w:t>
      </w:r>
      <w:r w:rsidRPr="00C321E2">
        <w:rPr>
          <w:rFonts w:eastAsia="Arial Unicode MS"/>
          <w:szCs w:val="24"/>
          <w:bdr w:val="nil"/>
          <w:lang w:val="en-CA"/>
        </w:rPr>
        <w:t xml:space="preserve">the Water Institute, University of Waterloo convened 3 online workshops </w:t>
      </w:r>
      <w:r w:rsidRPr="00960E83">
        <w:rPr>
          <w:rFonts w:eastAsia="Arial Unicode MS"/>
          <w:bCs/>
          <w:i/>
          <w:szCs w:val="24"/>
          <w:bdr w:val="nil"/>
          <w:lang w:val="en-CA"/>
        </w:rPr>
        <w:t>Canada’s Peatlands: Towards a National</w:t>
      </w:r>
      <w:r w:rsidRPr="00C321E2">
        <w:rPr>
          <w:rFonts w:eastAsia="Arial Unicode MS"/>
          <w:b/>
          <w:i/>
          <w:szCs w:val="24"/>
          <w:bdr w:val="nil"/>
          <w:lang w:val="en-CA"/>
        </w:rPr>
        <w:t xml:space="preserve"> </w:t>
      </w:r>
      <w:r w:rsidRPr="00960E83">
        <w:rPr>
          <w:rFonts w:eastAsia="Arial Unicode MS"/>
          <w:bCs/>
          <w:i/>
          <w:szCs w:val="24"/>
          <w:bdr w:val="nil"/>
          <w:lang w:val="en-CA"/>
        </w:rPr>
        <w:t>Assessment</w:t>
      </w:r>
      <w:r w:rsidRPr="00960E83">
        <w:rPr>
          <w:rStyle w:val="FootnoteReference"/>
          <w:rFonts w:eastAsia="Arial Unicode MS"/>
          <w:bCs/>
          <w:i/>
          <w:bdr w:val="nil"/>
          <w:lang w:val="en-CA"/>
        </w:rPr>
        <w:footnoteReference w:customMarkFollows="1" w:id="24"/>
        <w:t>20</w:t>
      </w:r>
      <w:r w:rsidRPr="00C321E2">
        <w:rPr>
          <w:rFonts w:eastAsia="Arial Unicode MS"/>
          <w:i/>
          <w:szCs w:val="24"/>
          <w:bdr w:val="nil"/>
          <w:lang w:val="en-CA"/>
        </w:rPr>
        <w:t xml:space="preserve"> </w:t>
      </w:r>
      <w:r w:rsidRPr="00C321E2">
        <w:rPr>
          <w:rFonts w:eastAsia="Arial Unicode MS"/>
          <w:szCs w:val="24"/>
          <w:bdr w:val="nil"/>
          <w:lang w:val="en-CA"/>
        </w:rPr>
        <w:t>to establish and activate the peatlands network in Canada and identify gaps, data sources, to contribute the Global Peatlands Assessment/Inventory as requested in Resolution 4/16.</w:t>
      </w:r>
    </w:p>
    <w:p w14:paraId="1054B351" w14:textId="77777777" w:rsidR="0031040D" w:rsidRPr="00C321E2" w:rsidRDefault="0031040D" w:rsidP="0031040D">
      <w:pPr>
        <w:pStyle w:val="Normalnumber"/>
        <w:tabs>
          <w:tab w:val="clear" w:pos="1134"/>
        </w:tabs>
        <w:rPr>
          <w:rFonts w:eastAsia="Arial Unicode MS"/>
          <w:szCs w:val="24"/>
          <w:bdr w:val="nil"/>
          <w:lang w:val="en-CA"/>
        </w:rPr>
      </w:pPr>
      <w:r w:rsidRPr="00C321E2">
        <w:rPr>
          <w:rFonts w:eastAsia="Arial Unicode MS"/>
          <w:b/>
          <w:szCs w:val="24"/>
          <w:u w:val="single"/>
          <w:bdr w:val="nil"/>
          <w:lang w:val="en-CA"/>
        </w:rPr>
        <w:t>Europe:</w:t>
      </w:r>
      <w:r w:rsidRPr="00C321E2">
        <w:rPr>
          <w:rFonts w:eastAsia="Arial Unicode MS"/>
          <w:szCs w:val="24"/>
          <w:bdr w:val="nil"/>
          <w:lang w:val="en-CA"/>
        </w:rPr>
        <w:t xml:space="preserve"> UNEP works with </w:t>
      </w:r>
      <w:proofErr w:type="spellStart"/>
      <w:r w:rsidRPr="00C321E2">
        <w:rPr>
          <w:rFonts w:eastAsia="Arial Unicode MS"/>
          <w:szCs w:val="24"/>
          <w:bdr w:val="nil"/>
          <w:lang w:val="en-CA"/>
        </w:rPr>
        <w:t>Eurosite</w:t>
      </w:r>
      <w:proofErr w:type="spellEnd"/>
      <w:r w:rsidRPr="00C321E2">
        <w:rPr>
          <w:rFonts w:eastAsia="Arial Unicode MS"/>
          <w:szCs w:val="24"/>
          <w:bdr w:val="nil"/>
          <w:lang w:val="en-CA"/>
        </w:rPr>
        <w:t xml:space="preserve"> by strengthening the </w:t>
      </w:r>
      <w:proofErr w:type="spellStart"/>
      <w:r w:rsidRPr="00960E83">
        <w:rPr>
          <w:rFonts w:eastAsia="Arial Unicode MS"/>
          <w:bCs/>
          <w:szCs w:val="24"/>
          <w:bdr w:val="nil"/>
          <w:lang w:val="en-CA"/>
        </w:rPr>
        <w:t>Eurosite</w:t>
      </w:r>
      <w:proofErr w:type="spellEnd"/>
      <w:r w:rsidRPr="00960E83">
        <w:rPr>
          <w:rFonts w:eastAsia="Arial Unicode MS"/>
          <w:bCs/>
          <w:szCs w:val="24"/>
          <w:bdr w:val="nil"/>
          <w:lang w:val="en-CA"/>
        </w:rPr>
        <w:t xml:space="preserve"> Care-Peat Restoration and Management Group</w:t>
      </w:r>
      <w:r w:rsidRPr="00960E83">
        <w:rPr>
          <w:rStyle w:val="FootnoteReference"/>
          <w:rFonts w:eastAsia="Arial Unicode MS"/>
          <w:bCs/>
          <w:bdr w:val="nil"/>
          <w:lang w:val="en-CA"/>
        </w:rPr>
        <w:footnoteReference w:customMarkFollows="1" w:id="25"/>
        <w:t>21</w:t>
      </w:r>
      <w:r w:rsidRPr="008642D9">
        <w:rPr>
          <w:rFonts w:eastAsia="Arial Unicode MS"/>
          <w:bCs/>
          <w:szCs w:val="24"/>
          <w:bdr w:val="nil"/>
          <w:lang w:val="en-CA"/>
        </w:rPr>
        <w:t xml:space="preserve"> </w:t>
      </w:r>
      <w:r w:rsidRPr="00C321E2">
        <w:rPr>
          <w:rFonts w:eastAsia="Arial Unicode MS"/>
          <w:szCs w:val="24"/>
          <w:bdr w:val="nil"/>
          <w:lang w:val="en-CA"/>
        </w:rPr>
        <w:t xml:space="preserve">with best practice and policy approaches from GPI for conservation and restoration of peatlands, linked to the peatlands work stream of the </w:t>
      </w:r>
      <w:r w:rsidRPr="00960E83">
        <w:rPr>
          <w:rFonts w:eastAsia="Arial Unicode MS"/>
          <w:bCs/>
          <w:szCs w:val="24"/>
          <w:bdr w:val="nil"/>
          <w:lang w:val="en-CA"/>
        </w:rPr>
        <w:t>UN Decade on Ecosystem Restoration</w:t>
      </w:r>
      <w:r w:rsidRPr="008642D9">
        <w:rPr>
          <w:rFonts w:eastAsia="Arial Unicode MS"/>
          <w:bCs/>
          <w:szCs w:val="24"/>
          <w:bdr w:val="nil"/>
          <w:lang w:val="en-CA"/>
        </w:rPr>
        <w:t>,</w:t>
      </w:r>
      <w:r w:rsidRPr="00C321E2">
        <w:rPr>
          <w:rFonts w:eastAsia="Arial Unicode MS"/>
          <w:szCs w:val="24"/>
          <w:bdr w:val="nil"/>
          <w:lang w:val="en-CA"/>
        </w:rPr>
        <w:t xml:space="preserve"> and </w:t>
      </w:r>
      <w:bookmarkStart w:id="5" w:name="_Hlk61596965"/>
      <w:r w:rsidRPr="00C321E2">
        <w:rPr>
          <w:rFonts w:eastAsia="Arial Unicode MS"/>
          <w:szCs w:val="24"/>
          <w:bdr w:val="nil"/>
          <w:lang w:val="en-CA"/>
        </w:rPr>
        <w:t xml:space="preserve">coordinating efforts for a globally significant celebration of </w:t>
      </w:r>
      <w:r w:rsidRPr="00960E83">
        <w:rPr>
          <w:rFonts w:eastAsia="Arial Unicode MS"/>
          <w:bCs/>
          <w:szCs w:val="24"/>
          <w:bdr w:val="nil"/>
          <w:lang w:val="en-CA"/>
        </w:rPr>
        <w:t>Bog</w:t>
      </w:r>
      <w:r w:rsidRPr="00C321E2">
        <w:rPr>
          <w:rFonts w:eastAsia="Arial Unicode MS"/>
          <w:b/>
          <w:szCs w:val="24"/>
          <w:bdr w:val="nil"/>
          <w:lang w:val="en-CA"/>
        </w:rPr>
        <w:t xml:space="preserve"> </w:t>
      </w:r>
      <w:r w:rsidRPr="00960E83">
        <w:rPr>
          <w:rFonts w:eastAsia="Arial Unicode MS"/>
          <w:bCs/>
          <w:szCs w:val="24"/>
          <w:bdr w:val="nil"/>
          <w:lang w:val="en-CA"/>
        </w:rPr>
        <w:t>Day in 2021</w:t>
      </w:r>
      <w:bookmarkEnd w:id="5"/>
      <w:r w:rsidRPr="008642D9">
        <w:rPr>
          <w:rFonts w:eastAsia="Arial Unicode MS"/>
          <w:bCs/>
          <w:szCs w:val="24"/>
          <w:bdr w:val="nil"/>
          <w:lang w:val="en-CA"/>
        </w:rPr>
        <w:t>.</w:t>
      </w:r>
    </w:p>
    <w:p w14:paraId="0D4CD9D0" w14:textId="77777777" w:rsidR="0031040D" w:rsidRPr="00C321E2" w:rsidRDefault="0031040D" w:rsidP="0031040D">
      <w:pPr>
        <w:pStyle w:val="Normalnumber"/>
        <w:tabs>
          <w:tab w:val="clear" w:pos="1134"/>
        </w:tabs>
        <w:rPr>
          <w:rFonts w:eastAsia="Arial Unicode MS"/>
          <w:bdr w:val="nil"/>
        </w:rPr>
      </w:pPr>
      <w:r w:rsidRPr="00C321E2">
        <w:rPr>
          <w:rFonts w:eastAsia="Arial Unicode MS"/>
          <w:b/>
          <w:szCs w:val="24"/>
          <w:u w:val="single"/>
          <w:bdr w:val="nil"/>
        </w:rPr>
        <w:t>Africa:</w:t>
      </w:r>
      <w:r w:rsidRPr="00C321E2">
        <w:rPr>
          <w:rFonts w:eastAsia="Arial Unicode MS"/>
          <w:szCs w:val="24"/>
          <w:bdr w:val="nil"/>
        </w:rPr>
        <w:t xml:space="preserve"> UNEP, GMC and GPI are supporting the </w:t>
      </w:r>
      <w:r w:rsidRPr="00960E83">
        <w:rPr>
          <w:rFonts w:eastAsia="Arial Unicode MS"/>
          <w:bCs/>
          <w:szCs w:val="24"/>
          <w:bdr w:val="nil"/>
        </w:rPr>
        <w:t>Nile Basin Initiative</w:t>
      </w:r>
      <w:r w:rsidRPr="008642D9">
        <w:rPr>
          <w:rFonts w:eastAsia="Arial Unicode MS"/>
          <w:bCs/>
          <w:szCs w:val="24"/>
          <w:bdr w:val="nil"/>
        </w:rPr>
        <w:t xml:space="preserve"> to</w:t>
      </w:r>
      <w:r w:rsidRPr="00C321E2">
        <w:rPr>
          <w:rFonts w:eastAsia="Arial Unicode MS"/>
          <w:szCs w:val="24"/>
          <w:bdr w:val="nil"/>
        </w:rPr>
        <w:t xml:space="preserve"> identify Peatlands Restoration, Conservation and Sustainable Management actions as effective solutions to Climate Change challenges in the Nile Basin. </w:t>
      </w:r>
      <w:r w:rsidRPr="00C321E2">
        <w:rPr>
          <w:rFonts w:eastAsia="Arial Unicode MS"/>
          <w:bdr w:val="nil"/>
        </w:rPr>
        <w:t xml:space="preserve">UNEP is supporting </w:t>
      </w:r>
      <w:r w:rsidRPr="00960E83">
        <w:rPr>
          <w:rFonts w:eastAsia="Arial Unicode MS"/>
          <w:bCs/>
          <w:bdr w:val="nil"/>
        </w:rPr>
        <w:t>DRC and ROC</w:t>
      </w:r>
      <w:r w:rsidRPr="00C321E2">
        <w:rPr>
          <w:rFonts w:eastAsia="Arial Unicode MS"/>
          <w:bdr w:val="nil"/>
        </w:rPr>
        <w:t xml:space="preserve"> by delivering direct technical support during 5 webinars and 1 consultative workshop to help connect and prioritize peatlands in key initiatives such as: Central African Forest Imitative (CAFI); </w:t>
      </w:r>
      <w:r w:rsidRPr="00C321E2">
        <w:rPr>
          <w:rFonts w:eastAsia="Arial Unicode MS"/>
          <w:i/>
          <w:bdr w:val="nil"/>
        </w:rPr>
        <w:t>proposed</w:t>
      </w:r>
      <w:r w:rsidRPr="00C321E2">
        <w:rPr>
          <w:rFonts w:eastAsia="Arial Unicode MS"/>
          <w:bdr w:val="nil"/>
        </w:rPr>
        <w:t xml:space="preserve"> Conservation and Sustainable Management of Peatlands in Congo Programme; </w:t>
      </w:r>
      <w:proofErr w:type="spellStart"/>
      <w:r w:rsidRPr="00C321E2">
        <w:rPr>
          <w:rFonts w:eastAsia="Arial Unicode MS"/>
          <w:bdr w:val="nil"/>
        </w:rPr>
        <w:t>CongoPeat</w:t>
      </w:r>
      <w:proofErr w:type="spellEnd"/>
      <w:r w:rsidRPr="00C321E2">
        <w:rPr>
          <w:rFonts w:eastAsia="Arial Unicode MS"/>
          <w:bdr w:val="nil"/>
        </w:rPr>
        <w:t xml:space="preserve"> Project; GEF7 Congo Basin Sustainable Landscapes Impact Program (CBSL IP); etc.</w:t>
      </w:r>
    </w:p>
    <w:p w14:paraId="14109960" w14:textId="74CB65D6" w:rsidR="0031040D" w:rsidRPr="00C321E2" w:rsidRDefault="0031040D" w:rsidP="0031040D">
      <w:pPr>
        <w:pStyle w:val="Normalnumber"/>
        <w:tabs>
          <w:tab w:val="clear" w:pos="1134"/>
        </w:tabs>
        <w:rPr>
          <w:rFonts w:eastAsia="Arial Unicode MS"/>
          <w:szCs w:val="24"/>
          <w:bdr w:val="nil"/>
        </w:rPr>
      </w:pPr>
      <w:r w:rsidRPr="00C321E2">
        <w:rPr>
          <w:rFonts w:eastAsia="Arial Unicode MS"/>
          <w:b/>
          <w:szCs w:val="24"/>
          <w:u w:val="single"/>
          <w:bdr w:val="nil"/>
        </w:rPr>
        <w:t>Asia and the Pacific:</w:t>
      </w:r>
      <w:r w:rsidRPr="00C321E2">
        <w:rPr>
          <w:rFonts w:eastAsia="Arial Unicode MS"/>
          <w:szCs w:val="24"/>
          <w:bdr w:val="nil"/>
        </w:rPr>
        <w:t xml:space="preserve"> With the </w:t>
      </w:r>
      <w:r w:rsidRPr="00960E83">
        <w:rPr>
          <w:rFonts w:eastAsia="Arial Unicode MS"/>
          <w:bCs/>
          <w:szCs w:val="24"/>
          <w:bdr w:val="nil"/>
        </w:rPr>
        <w:t>Ministry of Environment and Forestry Indonesia</w:t>
      </w:r>
      <w:r w:rsidRPr="008642D9">
        <w:rPr>
          <w:rFonts w:eastAsia="Arial Unicode MS"/>
          <w:bCs/>
          <w:szCs w:val="24"/>
          <w:bdr w:val="nil"/>
        </w:rPr>
        <w:t>,</w:t>
      </w:r>
      <w:r w:rsidRPr="00C321E2">
        <w:rPr>
          <w:rFonts w:eastAsia="Arial Unicode MS"/>
          <w:szCs w:val="24"/>
          <w:bdr w:val="nil"/>
        </w:rPr>
        <w:t xml:space="preserve"> UNEP, FAO and GPI </w:t>
      </w:r>
      <w:r w:rsidRPr="00C321E2">
        <w:rPr>
          <w:rFonts w:eastAsia="Arial Unicode MS"/>
          <w:bdr w:val="nil"/>
        </w:rPr>
        <w:t>are</w:t>
      </w:r>
      <w:r w:rsidRPr="00C321E2">
        <w:rPr>
          <w:rFonts w:eastAsia="Arial Unicode MS"/>
          <w:szCs w:val="24"/>
          <w:bdr w:val="nil"/>
        </w:rPr>
        <w:t xml:space="preserve"> delivering support on peatlands management, livelihood opportunities and </w:t>
      </w:r>
      <w:r w:rsidR="006F2248">
        <w:rPr>
          <w:rFonts w:eastAsia="Arial Unicode MS"/>
          <w:szCs w:val="24"/>
          <w:bdr w:val="nil"/>
        </w:rPr>
        <w:br/>
      </w:r>
      <w:r w:rsidRPr="00C321E2">
        <w:rPr>
          <w:rFonts w:eastAsia="Arial Unicode MS"/>
          <w:szCs w:val="24"/>
          <w:bdr w:val="nil"/>
        </w:rPr>
        <w:t xml:space="preserve">decision-making planning in Indonesia. Additionally, the ITPC with support from GPI is negotiating </w:t>
      </w:r>
      <w:r w:rsidRPr="00C321E2">
        <w:rPr>
          <w:rFonts w:eastAsia="Calibri"/>
          <w:bCs/>
          <w:bdr w:val="nil"/>
        </w:rPr>
        <w:t>Memorandums of Understanding (</w:t>
      </w:r>
      <w:r w:rsidRPr="00C321E2">
        <w:rPr>
          <w:rFonts w:eastAsia="Arial Unicode MS"/>
          <w:szCs w:val="24"/>
          <w:bdr w:val="nil"/>
        </w:rPr>
        <w:t>MOUs</w:t>
      </w:r>
      <w:r w:rsidRPr="00C321E2">
        <w:rPr>
          <w:rFonts w:eastAsia="Calibri"/>
          <w:bCs/>
          <w:bdr w:val="nil"/>
        </w:rPr>
        <w:t>)</w:t>
      </w:r>
      <w:r w:rsidRPr="00C321E2">
        <w:rPr>
          <w:rFonts w:eastAsia="Arial Unicode MS"/>
          <w:szCs w:val="24"/>
          <w:bdr w:val="nil"/>
        </w:rPr>
        <w:t xml:space="preserve"> with international universities and has gained international </w:t>
      </w:r>
      <w:r w:rsidRPr="00C321E2">
        <w:rPr>
          <w:rFonts w:eastAsia="Arial Unicode MS"/>
          <w:szCs w:val="24"/>
          <w:bdr w:val="nil"/>
        </w:rPr>
        <w:lastRenderedPageBreak/>
        <w:t xml:space="preserve">attention through its </w:t>
      </w:r>
      <w:hyperlink r:id="rId15" w:history="1">
        <w:r w:rsidRPr="00C321E2">
          <w:rPr>
            <w:rFonts w:eastAsia="Arial Unicode MS"/>
            <w:szCs w:val="24"/>
            <w:bdr w:val="nil"/>
          </w:rPr>
          <w:t>Focus Group Discussions</w:t>
        </w:r>
      </w:hyperlink>
      <w:r>
        <w:rPr>
          <w:rStyle w:val="FootnoteReference"/>
          <w:rFonts w:eastAsia="Arial Unicode MS"/>
          <w:bdr w:val="nil"/>
        </w:rPr>
        <w:footnoteReference w:customMarkFollows="1" w:id="26"/>
        <w:t>22</w:t>
      </w:r>
      <w:r w:rsidRPr="00C321E2">
        <w:rPr>
          <w:rFonts w:eastAsia="Arial Unicode MS"/>
          <w:szCs w:val="24"/>
          <w:bdr w:val="nil"/>
        </w:rPr>
        <w:t xml:space="preserve"> by sharing best practices and gathering information on the Peatlands Project Initiatives happening in Indonesia.</w:t>
      </w:r>
    </w:p>
    <w:p w14:paraId="20F63B98" w14:textId="77777777" w:rsidR="0031040D" w:rsidRPr="00C321E2" w:rsidRDefault="0031040D" w:rsidP="0031040D">
      <w:pPr>
        <w:pStyle w:val="Normalnumber"/>
        <w:tabs>
          <w:tab w:val="clear" w:pos="1134"/>
        </w:tabs>
        <w:rPr>
          <w:rFonts w:eastAsia="Arial Unicode MS"/>
          <w:szCs w:val="24"/>
          <w:bdr w:val="nil"/>
        </w:rPr>
      </w:pPr>
      <w:r w:rsidRPr="00C321E2">
        <w:rPr>
          <w:rFonts w:eastAsia="Arial Unicode MS"/>
          <w:szCs w:val="24"/>
          <w:bdr w:val="nil"/>
        </w:rPr>
        <w:t xml:space="preserve">As a result of ongoing work by UNEP with the Global Peatlands Initiative partners, significant gains in awareness, action and policy have been witnessed, including an increasing interest in the GPI by Mongolia, England, Belarus, France, Germany and Scotland. Similarly, a diverse set of stakeholders are also reaching in to join efforts with UNEP and the Global Peatlands Initiative including coordinated youth advocacy groups, private sector companies and think tanks. </w:t>
      </w:r>
    </w:p>
    <w:p w14:paraId="6FAA6E0D" w14:textId="655323A5" w:rsidR="0031040D" w:rsidRPr="00C321E2" w:rsidRDefault="0031040D" w:rsidP="0031040D">
      <w:pPr>
        <w:pStyle w:val="Normalnumber"/>
        <w:tabs>
          <w:tab w:val="clear" w:pos="1134"/>
        </w:tabs>
        <w:rPr>
          <w:rFonts w:eastAsia="Arial Unicode MS"/>
          <w:szCs w:val="24"/>
          <w:bdr w:val="nil"/>
        </w:rPr>
      </w:pPr>
      <w:r w:rsidRPr="00C321E2">
        <w:rPr>
          <w:rFonts w:eastAsia="Arial Unicode MS"/>
          <w:szCs w:val="24"/>
          <w:bdr w:val="nil"/>
        </w:rPr>
        <w:t xml:space="preserve">Unfortunately, </w:t>
      </w:r>
      <w:r w:rsidRPr="00960E83">
        <w:rPr>
          <w:rFonts w:eastAsia="Arial Unicode MS"/>
          <w:bCs/>
          <w:szCs w:val="24"/>
          <w:bdr w:val="nil"/>
        </w:rPr>
        <w:t>UNEP has very limited financial and human resources for the implementation of Resolution 4/16</w:t>
      </w:r>
      <w:r w:rsidRPr="00C321E2">
        <w:rPr>
          <w:rFonts w:eastAsia="Arial Unicode MS"/>
          <w:szCs w:val="24"/>
          <w:bdr w:val="nil"/>
        </w:rPr>
        <w:t xml:space="preserve"> with contributions received to support the GPI Project from 2018 from the German International Climate Initiative (IKI) of 2 million Euros and a recent contribution of 100,000USD from the SIDA 2020 allocations. As such, additional resources are requested and being sought in an effort to support more countries to implement Resolution 4/16 and as a priority to complete an extensive </w:t>
      </w:r>
      <w:r w:rsidRPr="00C321E2">
        <w:rPr>
          <w:rFonts w:eastAsia="Arial Unicode MS"/>
          <w:i/>
          <w:szCs w:val="24"/>
          <w:bdr w:val="nil"/>
        </w:rPr>
        <w:t xml:space="preserve">Global Peatlands Assessment </w:t>
      </w:r>
      <w:r w:rsidRPr="00C321E2">
        <w:rPr>
          <w:rFonts w:eastAsia="Arial Unicode MS"/>
          <w:szCs w:val="24"/>
          <w:bdr w:val="nil"/>
        </w:rPr>
        <w:t xml:space="preserve">as a critical step to enable UNEP, together with the Ramsar Secretariat and partners, to establish a </w:t>
      </w:r>
      <w:r w:rsidRPr="00C321E2">
        <w:rPr>
          <w:rFonts w:eastAsia="Arial Unicode MS"/>
          <w:i/>
          <w:szCs w:val="24"/>
          <w:bdr w:val="nil"/>
        </w:rPr>
        <w:t>Global Peatlands Inventory</w:t>
      </w:r>
      <w:r w:rsidRPr="00C321E2">
        <w:rPr>
          <w:rFonts w:eastAsia="Arial Unicode MS"/>
          <w:szCs w:val="24"/>
          <w:bdr w:val="nil"/>
        </w:rPr>
        <w:t xml:space="preserve"> as called for in 4/16 (OP. 2).</w:t>
      </w:r>
      <w:r w:rsidR="00C84865">
        <w:rPr>
          <w:rFonts w:eastAsia="Arial Unicode MS"/>
          <w:szCs w:val="24"/>
          <w:bdr w:val="nil"/>
        </w:rPr>
        <w:t xml:space="preserve"> </w:t>
      </w:r>
      <w:bookmarkStart w:id="6" w:name="_Hlk45730531"/>
    </w:p>
    <w:p w14:paraId="784CDE95" w14:textId="6150981D" w:rsidR="0031040D" w:rsidRPr="00C321E2" w:rsidRDefault="00FA7082" w:rsidP="00FA7082">
      <w:pPr>
        <w:pStyle w:val="CH1"/>
      </w:pPr>
      <w:r>
        <w:tab/>
        <w:t>II.</w:t>
      </w:r>
      <w:r>
        <w:tab/>
      </w:r>
      <w:r w:rsidR="0031040D" w:rsidRPr="00C321E2">
        <w:t xml:space="preserve">Recommendations and </w:t>
      </w:r>
      <w:r w:rsidR="0043404F">
        <w:t>s</w:t>
      </w:r>
      <w:r w:rsidR="0031040D" w:rsidRPr="00C321E2">
        <w:t xml:space="preserve">uggested </w:t>
      </w:r>
      <w:r w:rsidR="008642D9">
        <w:t>a</w:t>
      </w:r>
      <w:r w:rsidR="0031040D" w:rsidRPr="00C321E2">
        <w:t xml:space="preserve">ctions </w:t>
      </w:r>
    </w:p>
    <w:bookmarkEnd w:id="6"/>
    <w:p w14:paraId="3803EFB1" w14:textId="77777777" w:rsidR="0031040D" w:rsidRPr="00C321E2" w:rsidRDefault="0031040D" w:rsidP="0031040D">
      <w:pPr>
        <w:pStyle w:val="Normalnumber"/>
        <w:tabs>
          <w:tab w:val="clear" w:pos="1134"/>
        </w:tabs>
        <w:rPr>
          <w:rFonts w:eastAsia="Arial Unicode MS"/>
          <w:szCs w:val="24"/>
          <w:bdr w:val="nil"/>
        </w:rPr>
      </w:pPr>
      <w:r w:rsidRPr="00C321E2">
        <w:rPr>
          <w:rFonts w:eastAsia="Arial Unicode MS"/>
          <w:szCs w:val="24"/>
          <w:bdr w:val="nil"/>
        </w:rPr>
        <w:t xml:space="preserve">A key lesson learned has been the value of continuous, high level and broad engagement, seeking opportunities for collaboration and partnership to advance the Resolution implementation with minimal funds. UNEP’s approach to leading the GPI partnership has been impactful as we have seen our collective work contributing to peatlands becoming recognized as a key ecosystem for climate action and biodiversity conservation. For example, Canada and Germany have both included peatlands in their nature based solution packages; and in Canada and the UK peatlands have been included in updated quantification methods in carbon markets; the </w:t>
      </w:r>
      <w:hyperlink r:id="rId16" w:history="1">
        <w:r w:rsidRPr="00C321E2">
          <w:rPr>
            <w:rFonts w:eastAsia="Arial Unicode MS"/>
            <w:szCs w:val="24"/>
            <w:bdr w:val="nil"/>
          </w:rPr>
          <w:t>UN Decade on Ecosystem Restoration</w:t>
        </w:r>
      </w:hyperlink>
      <w:r w:rsidRPr="00C321E2">
        <w:rPr>
          <w:rFonts w:eastAsia="Arial Unicode MS"/>
          <w:szCs w:val="24"/>
          <w:bdr w:val="nil"/>
        </w:rPr>
        <w:t xml:space="preserve"> has highlighted peatlands as a key landscape for conservation and restoration action. Furthermore, outreach to UNEP colleagues working with private banks has enabled the inclusion of criteria on sustainable land use investments that do not lead to degradation or drainage of peatlands as articulated in the vision of the </w:t>
      </w:r>
      <w:hyperlink r:id="rId17" w:history="1">
        <w:r w:rsidRPr="00C321E2">
          <w:rPr>
            <w:rFonts w:eastAsia="Arial Unicode MS"/>
            <w:szCs w:val="24"/>
            <w:bdr w:val="nil"/>
          </w:rPr>
          <w:t>&amp;</w:t>
        </w:r>
        <w:r w:rsidRPr="00C321E2">
          <w:rPr>
            <w:rFonts w:eastAsia="Arial Unicode MS"/>
            <w:sz w:val="24"/>
            <w:szCs w:val="24"/>
            <w:bdr w:val="nil"/>
          </w:rPr>
          <w:t xml:space="preserve"> </w:t>
        </w:r>
        <w:r w:rsidRPr="00C321E2">
          <w:rPr>
            <w:rFonts w:eastAsia="Arial Unicode MS"/>
            <w:szCs w:val="24"/>
            <w:bdr w:val="nil"/>
          </w:rPr>
          <w:t>Green Fund</w:t>
        </w:r>
      </w:hyperlink>
      <w:r w:rsidRPr="00C321E2">
        <w:rPr>
          <w:rFonts w:eastAsia="Arial Unicode MS"/>
          <w:szCs w:val="24"/>
          <w:bdr w:val="nil"/>
        </w:rPr>
        <w:t xml:space="preserve">. We have also seen increased investment into peatlands-targeted work by Germany through an </w:t>
      </w:r>
      <w:hyperlink r:id="rId18" w:history="1">
        <w:r w:rsidRPr="00C321E2">
          <w:rPr>
            <w:rFonts w:eastAsia="Arial Unicode MS"/>
            <w:szCs w:val="24"/>
            <w:bdr w:val="nil"/>
          </w:rPr>
          <w:t>IKI dedicated theme</w:t>
        </w:r>
      </w:hyperlink>
      <w:r w:rsidRPr="00C321E2">
        <w:rPr>
          <w:rFonts w:eastAsia="Arial Unicode MS"/>
          <w:szCs w:val="24"/>
          <w:bdr w:val="nil"/>
        </w:rPr>
        <w:t xml:space="preserve">, and by </w:t>
      </w:r>
      <w:r w:rsidRPr="00C321E2">
        <w:rPr>
          <w:rFonts w:eastAsia="Arial Unicode MS"/>
          <w:bdr w:val="nil"/>
        </w:rPr>
        <w:t>Green Climate Fund (</w:t>
      </w:r>
      <w:r w:rsidRPr="00C321E2">
        <w:rPr>
          <w:rFonts w:eastAsia="Arial Unicode MS"/>
          <w:szCs w:val="24"/>
          <w:bdr w:val="nil"/>
        </w:rPr>
        <w:t>GCF</w:t>
      </w:r>
      <w:r w:rsidRPr="00C321E2">
        <w:rPr>
          <w:rFonts w:eastAsia="Arial Unicode MS"/>
          <w:bdr w:val="nil"/>
        </w:rPr>
        <w:t>)</w:t>
      </w:r>
      <w:r w:rsidRPr="00C321E2">
        <w:rPr>
          <w:rFonts w:eastAsia="Arial Unicode MS"/>
          <w:szCs w:val="24"/>
          <w:bdr w:val="nil"/>
        </w:rPr>
        <w:t xml:space="preserve"> and </w:t>
      </w:r>
      <w:r w:rsidRPr="00C321E2">
        <w:rPr>
          <w:rFonts w:eastAsia="Arial Unicode MS"/>
          <w:bdr w:val="nil"/>
        </w:rPr>
        <w:t>Global Environment Facility (</w:t>
      </w:r>
      <w:r w:rsidRPr="00C321E2">
        <w:rPr>
          <w:rFonts w:eastAsia="Arial Unicode MS"/>
          <w:szCs w:val="24"/>
          <w:bdr w:val="nil"/>
        </w:rPr>
        <w:t>GEF</w:t>
      </w:r>
      <w:r w:rsidRPr="00C321E2">
        <w:rPr>
          <w:rFonts w:eastAsia="Arial Unicode MS"/>
          <w:bdr w:val="nil"/>
        </w:rPr>
        <w:t>).</w:t>
      </w:r>
      <w:r w:rsidRPr="00C321E2">
        <w:rPr>
          <w:rFonts w:eastAsia="Arial Unicode MS"/>
          <w:szCs w:val="24"/>
          <w:bdr w:val="nil"/>
        </w:rPr>
        <w:t xml:space="preserve"> </w:t>
      </w:r>
    </w:p>
    <w:p w14:paraId="0423FE03" w14:textId="77777777" w:rsidR="0031040D" w:rsidRPr="00C321E2" w:rsidRDefault="0031040D" w:rsidP="00FD33A3">
      <w:pPr>
        <w:pStyle w:val="Normalnumber"/>
        <w:rPr>
          <w:rFonts w:eastAsia="Arial Unicode MS"/>
          <w:bdr w:val="nil"/>
        </w:rPr>
      </w:pPr>
      <w:r w:rsidRPr="0031040D">
        <w:rPr>
          <w:rFonts w:eastAsiaTheme="minorHAnsi"/>
        </w:rPr>
        <w:t>However</w:t>
      </w:r>
      <w:r w:rsidRPr="00C321E2">
        <w:rPr>
          <w:rFonts w:eastAsia="Arial Unicode MS"/>
          <w:bdr w:val="nil"/>
        </w:rPr>
        <w:t>, UNEP was unable to support a larger number of countries to initiate actions to update and develop peatlands policies and strategies for the conservation, restoration and sustainable management of these valuable ecosystems, as there is a global difficulty in knowing where exactly peatland areas are located and what decisions or ongoing land uses are impacting peatland health negatively, thus contributing to Greenhouse Gas (GHG) emissions or biodiversity and resilience losses.</w:t>
      </w:r>
    </w:p>
    <w:p w14:paraId="3880BAE6" w14:textId="5D97EBD6" w:rsidR="0031040D" w:rsidRPr="00C321E2" w:rsidRDefault="0031040D" w:rsidP="00FD33A3">
      <w:pPr>
        <w:pStyle w:val="Normalnumber"/>
        <w:rPr>
          <w:rFonts w:eastAsia="Arial Unicode MS"/>
          <w:szCs w:val="24"/>
          <w:bdr w:val="nil"/>
        </w:rPr>
      </w:pPr>
      <w:r w:rsidRPr="0031040D">
        <w:rPr>
          <w:rFonts w:eastAsiaTheme="minorHAnsi"/>
        </w:rPr>
        <w:t>Recommendations</w:t>
      </w:r>
    </w:p>
    <w:p w14:paraId="3D8EDC80" w14:textId="77777777" w:rsidR="0031040D" w:rsidRPr="0031040D" w:rsidRDefault="0031040D" w:rsidP="004763D9">
      <w:pPr>
        <w:pStyle w:val="Normalnumber"/>
        <w:numPr>
          <w:ilvl w:val="1"/>
          <w:numId w:val="3"/>
        </w:numPr>
        <w:tabs>
          <w:tab w:val="clear" w:pos="1134"/>
        </w:tabs>
        <w:ind w:firstLine="624"/>
        <w:rPr>
          <w:rFonts w:eastAsiaTheme="minorHAnsi"/>
        </w:rPr>
      </w:pPr>
      <w:r w:rsidRPr="00C321E2">
        <w:rPr>
          <w:rFonts w:eastAsia="Arial Unicode MS"/>
          <w:bdr w:val="nil"/>
        </w:rPr>
        <w:t xml:space="preserve">More </w:t>
      </w:r>
      <w:r w:rsidRPr="0031040D">
        <w:rPr>
          <w:rFonts w:eastAsiaTheme="minorHAnsi"/>
        </w:rPr>
        <w:t xml:space="preserve">work will need to be done to enable peatlands coordinated action, especially to answer the fundamental question of where peatlands are and how they are changing – we must continue to advance and strengthen the links between science and policy – while undertaking the Global Peatlands Assessment which aims to set a baseline picture of the state of global peatlands. </w:t>
      </w:r>
    </w:p>
    <w:p w14:paraId="2CADF743" w14:textId="77777777" w:rsidR="0031040D" w:rsidRPr="0031040D" w:rsidRDefault="0031040D" w:rsidP="004763D9">
      <w:pPr>
        <w:pStyle w:val="Normalnumber"/>
        <w:numPr>
          <w:ilvl w:val="1"/>
          <w:numId w:val="3"/>
        </w:numPr>
        <w:tabs>
          <w:tab w:val="clear" w:pos="1134"/>
        </w:tabs>
        <w:ind w:firstLine="624"/>
        <w:rPr>
          <w:rFonts w:eastAsiaTheme="minorHAnsi"/>
        </w:rPr>
      </w:pPr>
      <w:r w:rsidRPr="0031040D">
        <w:rPr>
          <w:rFonts w:eastAsiaTheme="minorHAnsi"/>
        </w:rPr>
        <w:t xml:space="preserve">Further investment is needed in peatlands science and technical capability especially on the knowledge of peatlands extent, GHG fluxes, ecosystem valuation, and carbon storage capacity. </w:t>
      </w:r>
    </w:p>
    <w:p w14:paraId="28F39A3C" w14:textId="77777777" w:rsidR="0031040D" w:rsidRPr="0031040D" w:rsidRDefault="0031040D" w:rsidP="004763D9">
      <w:pPr>
        <w:pStyle w:val="Normalnumber"/>
        <w:numPr>
          <w:ilvl w:val="1"/>
          <w:numId w:val="3"/>
        </w:numPr>
        <w:tabs>
          <w:tab w:val="clear" w:pos="1134"/>
        </w:tabs>
        <w:ind w:firstLine="624"/>
        <w:rPr>
          <w:rFonts w:eastAsiaTheme="minorHAnsi"/>
        </w:rPr>
      </w:pPr>
      <w:r w:rsidRPr="0031040D">
        <w:rPr>
          <w:rFonts w:eastAsiaTheme="minorHAnsi"/>
        </w:rPr>
        <w:t>Further investment in direct conservation of intact peatlands ecosystems in order to avoid emissions, support biodiversity protection, water and climate resilience.</w:t>
      </w:r>
    </w:p>
    <w:p w14:paraId="2470C1EC" w14:textId="77777777" w:rsidR="0031040D" w:rsidRPr="0031040D" w:rsidRDefault="0031040D" w:rsidP="004763D9">
      <w:pPr>
        <w:pStyle w:val="Normalnumber"/>
        <w:numPr>
          <w:ilvl w:val="1"/>
          <w:numId w:val="3"/>
        </w:numPr>
        <w:tabs>
          <w:tab w:val="clear" w:pos="1134"/>
        </w:tabs>
        <w:ind w:firstLine="624"/>
        <w:rPr>
          <w:rFonts w:eastAsiaTheme="minorHAnsi"/>
        </w:rPr>
      </w:pPr>
      <w:r w:rsidRPr="0031040D">
        <w:rPr>
          <w:rFonts w:eastAsiaTheme="minorHAnsi"/>
        </w:rPr>
        <w:t xml:space="preserve">Continue to highlight key role of peatlands in climate change mitigation, especially in relation to NDCs under the Paris Agreement with </w:t>
      </w:r>
      <w:proofErr w:type="gramStart"/>
      <w:r w:rsidRPr="0031040D">
        <w:rPr>
          <w:rFonts w:eastAsiaTheme="minorHAnsi"/>
        </w:rPr>
        <w:t>particular opportunities</w:t>
      </w:r>
      <w:proofErr w:type="gramEnd"/>
      <w:r w:rsidRPr="0031040D">
        <w:rPr>
          <w:rFonts w:eastAsiaTheme="minorHAnsi"/>
        </w:rPr>
        <w:t xml:space="preserve"> in Articles 5 and 6. </w:t>
      </w:r>
    </w:p>
    <w:p w14:paraId="14CC3136" w14:textId="77777777" w:rsidR="0031040D" w:rsidRPr="00C321E2" w:rsidRDefault="0031040D" w:rsidP="004763D9">
      <w:pPr>
        <w:pStyle w:val="Normalnumber"/>
        <w:numPr>
          <w:ilvl w:val="1"/>
          <w:numId w:val="3"/>
        </w:numPr>
        <w:tabs>
          <w:tab w:val="clear" w:pos="1134"/>
        </w:tabs>
        <w:ind w:firstLine="624"/>
        <w:rPr>
          <w:rFonts w:eastAsia="MS Mincho"/>
          <w:color w:val="000000" w:themeColor="text1"/>
          <w:kern w:val="2"/>
        </w:rPr>
      </w:pPr>
      <w:r w:rsidRPr="0031040D">
        <w:rPr>
          <w:rFonts w:eastAsiaTheme="minorHAnsi"/>
        </w:rPr>
        <w:t>Continue to</w:t>
      </w:r>
      <w:r w:rsidRPr="00C321E2">
        <w:rPr>
          <w:rFonts w:eastAsia="MS Mincho"/>
          <w:color w:val="000000" w:themeColor="text1"/>
          <w:kern w:val="2"/>
        </w:rPr>
        <w:t xml:space="preserve"> highlight the key role of peatlands in biodiversity conservation as key areas for investment in meeting CBD targets.</w:t>
      </w:r>
    </w:p>
    <w:p w14:paraId="78889A1D" w14:textId="77777777" w:rsidR="0031040D" w:rsidRPr="00C321E2" w:rsidRDefault="0031040D" w:rsidP="0031040D">
      <w:pPr>
        <w:pStyle w:val="Normalnumber"/>
        <w:tabs>
          <w:tab w:val="clear" w:pos="1134"/>
        </w:tabs>
        <w:rPr>
          <w:rFonts w:eastAsia="MS Mincho"/>
          <w:color w:val="000000" w:themeColor="text1"/>
          <w:kern w:val="2"/>
        </w:rPr>
      </w:pPr>
      <w:r w:rsidRPr="00C321E2">
        <w:rPr>
          <w:rFonts w:eastAsia="MS Mincho"/>
          <w:color w:val="000000" w:themeColor="text1"/>
          <w:kern w:val="2"/>
        </w:rPr>
        <w:t xml:space="preserve">Continue to </w:t>
      </w:r>
      <w:r w:rsidRPr="0031040D">
        <w:rPr>
          <w:rFonts w:eastAsiaTheme="minorHAnsi"/>
        </w:rPr>
        <w:t>stress</w:t>
      </w:r>
      <w:r w:rsidRPr="00C321E2">
        <w:rPr>
          <w:rFonts w:eastAsia="MS Mincho"/>
          <w:color w:val="000000" w:themeColor="text1"/>
          <w:kern w:val="2"/>
        </w:rPr>
        <w:t xml:space="preserve"> the complementarity of peatlands conservation for advancing MEAs and providing multiple benefits including climate, biodiversity, cultural heritage, and for our economic and social health and well-being.</w:t>
      </w:r>
    </w:p>
    <w:p w14:paraId="64B2DAD7" w14:textId="77777777" w:rsidR="0031040D" w:rsidRPr="00C321E2" w:rsidRDefault="0031040D" w:rsidP="0031040D">
      <w:pPr>
        <w:pStyle w:val="Normalnumber"/>
        <w:tabs>
          <w:tab w:val="clear" w:pos="1134"/>
        </w:tabs>
        <w:rPr>
          <w:rFonts w:eastAsia="Arial Unicode MS"/>
          <w:color w:val="000000" w:themeColor="text1"/>
          <w:kern w:val="2"/>
          <w:szCs w:val="24"/>
          <w:bdr w:val="nil"/>
        </w:rPr>
      </w:pPr>
      <w:r w:rsidRPr="00C321E2">
        <w:rPr>
          <w:rFonts w:eastAsia="Arial Unicode MS"/>
          <w:color w:val="000000" w:themeColor="text1"/>
          <w:kern w:val="2"/>
          <w:szCs w:val="24"/>
          <w:bdr w:val="nil"/>
        </w:rPr>
        <w:t xml:space="preserve">UNEP and the GPI partners will need the support of Member States to concertedly raise the flag on the </w:t>
      </w:r>
      <w:r w:rsidRPr="0031040D">
        <w:rPr>
          <w:rFonts w:eastAsiaTheme="minorHAnsi"/>
        </w:rPr>
        <w:t>need</w:t>
      </w:r>
      <w:r w:rsidRPr="00C321E2">
        <w:rPr>
          <w:rFonts w:eastAsia="Arial Unicode MS"/>
          <w:color w:val="000000" w:themeColor="text1"/>
          <w:kern w:val="2"/>
          <w:szCs w:val="24"/>
          <w:bdr w:val="nil"/>
        </w:rPr>
        <w:t xml:space="preserve"> to establish the state of peatlands globally by securing and leveraging government </w:t>
      </w:r>
      <w:r w:rsidRPr="00C321E2">
        <w:rPr>
          <w:rFonts w:eastAsia="Arial Unicode MS"/>
          <w:color w:val="000000" w:themeColor="text1"/>
          <w:kern w:val="2"/>
          <w:szCs w:val="24"/>
          <w:bdr w:val="nil"/>
        </w:rPr>
        <w:lastRenderedPageBreak/>
        <w:t>commitments, building on ongoing and future academic research, and drawing on the diverse set of GPI partners to establish a basis for the ambitious Global Peatlands Inventory as outlined in Resolution 4/16. Such a Global Peatlands Inventory is expected to become a vital tool for countries to track and report on peatlands health, their GHG emissions, emissions reductions and avoidance while accounting for unique biodiversity and other vital ecosystem services that peatlands provide.</w:t>
      </w:r>
    </w:p>
    <w:p w14:paraId="6D474325" w14:textId="25454C0D" w:rsidR="0031040D" w:rsidRPr="00C321E2" w:rsidRDefault="00FA7082" w:rsidP="00FA7082">
      <w:pPr>
        <w:pStyle w:val="CH1"/>
        <w:rPr>
          <w:rFonts w:eastAsia="Arial Unicode MS"/>
          <w:bdr w:val="nil"/>
        </w:rPr>
      </w:pPr>
      <w:r>
        <w:rPr>
          <w:rFonts w:eastAsia="Arial Unicode MS"/>
          <w:bdr w:val="nil"/>
        </w:rPr>
        <w:tab/>
        <w:t>I</w:t>
      </w:r>
      <w:r w:rsidR="00FD33A3">
        <w:rPr>
          <w:rFonts w:eastAsia="Arial Unicode MS"/>
          <w:bdr w:val="nil"/>
        </w:rPr>
        <w:t>I</w:t>
      </w:r>
      <w:r>
        <w:rPr>
          <w:rFonts w:eastAsia="Arial Unicode MS"/>
          <w:bdr w:val="nil"/>
        </w:rPr>
        <w:t>I.</w:t>
      </w:r>
      <w:r>
        <w:rPr>
          <w:rFonts w:eastAsia="Arial Unicode MS"/>
          <w:bdr w:val="nil"/>
        </w:rPr>
        <w:tab/>
      </w:r>
      <w:r w:rsidR="0031040D" w:rsidRPr="00C321E2">
        <w:rPr>
          <w:rFonts w:eastAsia="Arial Unicode MS"/>
          <w:bdr w:val="nil"/>
        </w:rPr>
        <w:t xml:space="preserve">Further information </w:t>
      </w:r>
    </w:p>
    <w:p w14:paraId="13067E48" w14:textId="283F55D2" w:rsidR="0031040D" w:rsidRPr="00C321E2" w:rsidRDefault="0031040D" w:rsidP="0031040D">
      <w:pPr>
        <w:pStyle w:val="Normalnumber"/>
        <w:tabs>
          <w:tab w:val="clear" w:pos="1134"/>
        </w:tabs>
        <w:rPr>
          <w:rFonts w:eastAsia="Arial Unicode MS"/>
          <w:color w:val="000000"/>
          <w:szCs w:val="24"/>
          <w:bdr w:val="nil"/>
          <w:lang w:val="de-DE"/>
        </w:rPr>
      </w:pPr>
      <w:r w:rsidRPr="00C321E2">
        <w:rPr>
          <w:rFonts w:eastAsia="Arial Unicode MS"/>
          <w:color w:val="000000"/>
          <w:szCs w:val="24"/>
          <w:bdr w:val="nil"/>
        </w:rPr>
        <w:t xml:space="preserve">UNEP’s work leading the Global Peatlands Initiative was </w:t>
      </w:r>
      <w:r w:rsidRPr="00C321E2">
        <w:rPr>
          <w:rFonts w:eastAsia="Arial Unicode MS"/>
          <w:color w:val="000000"/>
          <w:szCs w:val="24"/>
          <w:bdr w:val="nil"/>
          <w:lang w:val="de-DE"/>
        </w:rPr>
        <w:t xml:space="preserve">highlighted as one of 6 stand-out best practices for South South and Triangular Cooperation in the 2020 </w:t>
      </w:r>
      <w:r w:rsidRPr="00C321E2">
        <w:rPr>
          <w:rFonts w:eastAsia="Arial Unicode MS"/>
          <w:szCs w:val="24"/>
          <w:bdr w:val="nil"/>
          <w:lang w:val="de-DE"/>
        </w:rPr>
        <w:t>collection of United Nations Office for South-South Cooperation Good Practices publication</w:t>
      </w:r>
      <w:r>
        <w:rPr>
          <w:rStyle w:val="FootnoteReference"/>
          <w:rFonts w:eastAsia="Arial Unicode MS"/>
          <w:bdr w:val="nil"/>
          <w:lang w:val="de-DE"/>
        </w:rPr>
        <w:footnoteReference w:customMarkFollows="1" w:id="27"/>
        <w:t>23</w:t>
      </w:r>
      <w:r w:rsidRPr="00C321E2">
        <w:rPr>
          <w:rFonts w:eastAsia="Arial Unicode MS"/>
          <w:szCs w:val="24"/>
          <w:bdr w:val="nil"/>
          <w:lang w:val="de-DE"/>
        </w:rPr>
        <w:t xml:space="preserve"> for the Life on Land </w:t>
      </w:r>
      <w:r w:rsidRPr="00C321E2">
        <w:rPr>
          <w:rFonts w:eastAsia="Calibri"/>
          <w:bdr w:val="nil"/>
          <w:lang w:val="de-DE" w:eastAsia="de-DE"/>
        </w:rPr>
        <w:t>Sustainable Development Goals (</w:t>
      </w:r>
      <w:r w:rsidRPr="0031040D">
        <w:rPr>
          <w:rFonts w:eastAsiaTheme="minorHAnsi"/>
        </w:rPr>
        <w:t>SDG</w:t>
      </w:r>
      <w:r w:rsidRPr="00C321E2">
        <w:rPr>
          <w:rFonts w:eastAsia="Calibri"/>
          <w:bdr w:val="nil"/>
          <w:lang w:val="de-DE" w:eastAsia="de-DE"/>
        </w:rPr>
        <w:t>).</w:t>
      </w:r>
      <w:r w:rsidRPr="00C321E2">
        <w:rPr>
          <w:rFonts w:eastAsia="Arial Unicode MS"/>
          <w:szCs w:val="24"/>
          <w:bdr w:val="nil"/>
          <w:lang w:val="de-DE"/>
        </w:rPr>
        <w:t xml:space="preserve"> The Global Peatlands Initiative was further featured as a best practice in South South Galaxy</w:t>
      </w:r>
      <w:r>
        <w:rPr>
          <w:rStyle w:val="FootnoteReference"/>
          <w:rFonts w:eastAsia="Arial Unicode MS"/>
          <w:bdr w:val="nil"/>
          <w:lang w:val="de-DE"/>
        </w:rPr>
        <w:footnoteReference w:customMarkFollows="1" w:id="28"/>
        <w:t>24</w:t>
      </w:r>
      <w:r w:rsidRPr="00C321E2">
        <w:rPr>
          <w:rFonts w:eastAsia="Arial Unicode MS"/>
          <w:szCs w:val="24"/>
          <w:bdr w:val="nil"/>
          <w:lang w:val="de-DE"/>
        </w:rPr>
        <w:t xml:space="preserve"> portal &amp; captured in UNEP‘s South South Cooperation in Action – Stories of Success</w:t>
      </w:r>
      <w:r w:rsidR="0043404F">
        <w:rPr>
          <w:rFonts w:eastAsia="Arial Unicode MS"/>
          <w:szCs w:val="24"/>
          <w:bdr w:val="nil"/>
          <w:lang w:val="de-DE"/>
        </w:rPr>
        <w:t>.</w:t>
      </w:r>
      <w:r>
        <w:rPr>
          <w:rStyle w:val="FootnoteReference"/>
          <w:rFonts w:eastAsia="Arial Unicode MS"/>
          <w:bdr w:val="nil"/>
          <w:lang w:val="de-DE"/>
        </w:rPr>
        <w:footnoteReference w:customMarkFollows="1" w:id="29"/>
        <w:t>25</w:t>
      </w:r>
      <w:r w:rsidRPr="00C321E2">
        <w:rPr>
          <w:rFonts w:eastAsia="Arial Unicode MS"/>
          <w:szCs w:val="24"/>
          <w:bdr w:val="nil"/>
          <w:lang w:val="de-DE"/>
        </w:rPr>
        <w:t xml:space="preserve"> Finally</w:t>
      </w:r>
      <w:r w:rsidRPr="00C321E2">
        <w:rPr>
          <w:rFonts w:eastAsia="Arial Unicode MS"/>
          <w:color w:val="000000"/>
          <w:szCs w:val="24"/>
          <w:bdr w:val="nil"/>
          <w:lang w:val="de-DE"/>
        </w:rPr>
        <w:t xml:space="preserve">, GPI was highlighted to the </w:t>
      </w:r>
      <w:r w:rsidRPr="00C321E2">
        <w:rPr>
          <w:rFonts w:eastAsia="Calibri"/>
          <w:color w:val="000000"/>
          <w:bdr w:val="nil"/>
          <w:lang w:val="de-DE" w:eastAsia="de-DE"/>
        </w:rPr>
        <w:t>UN General Assembly (</w:t>
      </w:r>
      <w:r w:rsidRPr="00C321E2">
        <w:rPr>
          <w:rFonts w:eastAsia="Arial Unicode MS"/>
          <w:color w:val="000000"/>
          <w:szCs w:val="24"/>
          <w:bdr w:val="nil"/>
          <w:lang w:val="de-DE"/>
        </w:rPr>
        <w:t>UNGA</w:t>
      </w:r>
      <w:r w:rsidRPr="00C321E2">
        <w:rPr>
          <w:rFonts w:eastAsia="Calibri"/>
          <w:color w:val="000000"/>
          <w:bdr w:val="nil"/>
          <w:lang w:val="de-DE" w:eastAsia="de-DE"/>
        </w:rPr>
        <w:t>)</w:t>
      </w:r>
      <w:r w:rsidRPr="00C321E2">
        <w:rPr>
          <w:rFonts w:eastAsia="Arial Unicode MS"/>
          <w:color w:val="000000"/>
          <w:szCs w:val="24"/>
          <w:bdr w:val="nil"/>
          <w:lang w:val="de-DE"/>
        </w:rPr>
        <w:t xml:space="preserve"> Committee for Programme &amp; Coordination (CPC) by UNEP as a major result for Subprogramme 3 in 2018/2019 and significant result area planned for the ongoing 2020/2021 Prog</w:t>
      </w:r>
      <w:bookmarkStart w:id="7" w:name="_GoBack"/>
      <w:bookmarkEnd w:id="7"/>
      <w:r w:rsidRPr="00C321E2">
        <w:rPr>
          <w:rFonts w:eastAsia="Arial Unicode MS"/>
          <w:color w:val="000000"/>
          <w:szCs w:val="24"/>
          <w:bdr w:val="nil"/>
          <w:lang w:val="de-DE"/>
        </w:rPr>
        <w:t xml:space="preserve">ramme of Work. </w:t>
      </w:r>
    </w:p>
    <w:p w14:paraId="2E0C7BFF" w14:textId="77777777" w:rsidR="0031040D" w:rsidRPr="00C321E2" w:rsidRDefault="0031040D" w:rsidP="0031040D">
      <w:pPr>
        <w:pStyle w:val="Normalnumber"/>
        <w:tabs>
          <w:tab w:val="clear" w:pos="1134"/>
        </w:tabs>
        <w:rPr>
          <w:rFonts w:eastAsia="Arial Unicode MS"/>
          <w:szCs w:val="24"/>
          <w:bdr w:val="nil"/>
        </w:rPr>
      </w:pPr>
      <w:r w:rsidRPr="00C321E2">
        <w:rPr>
          <w:rFonts w:eastAsia="Arial Unicode MS"/>
          <w:szCs w:val="24"/>
          <w:bdr w:val="nil"/>
        </w:rPr>
        <w:t xml:space="preserve">IUCN, Ramsar and have UNEP agreed to coordinate efforts to </w:t>
      </w:r>
      <w:hyperlink r:id="rId19" w:history="1">
        <w:r w:rsidRPr="00C321E2">
          <w:rPr>
            <w:rFonts w:eastAsia="Arial Unicode MS"/>
            <w:szCs w:val="24"/>
            <w:bdr w:val="nil"/>
          </w:rPr>
          <w:t>jointly report on the progress of complementary peatlands resolutions</w:t>
        </w:r>
      </w:hyperlink>
      <w:r>
        <w:rPr>
          <w:rStyle w:val="FootnoteReference"/>
          <w:rFonts w:eastAsia="Arial Unicode MS"/>
          <w:bdr w:val="nil"/>
        </w:rPr>
        <w:footnoteReference w:customMarkFollows="1" w:id="30"/>
        <w:t>26</w:t>
      </w:r>
      <w:r w:rsidRPr="00C321E2">
        <w:rPr>
          <w:rFonts w:eastAsia="Arial Unicode MS"/>
          <w:szCs w:val="24"/>
          <w:bdr w:val="nil"/>
        </w:rPr>
        <w:t xml:space="preserve"> – to bring together content reported toward the different peatlands resolutions, exchange information and reduce the reporting burden. </w:t>
      </w:r>
    </w:p>
    <w:p w14:paraId="33544C41" w14:textId="77777777" w:rsidR="0031040D" w:rsidRPr="00FD33A3" w:rsidRDefault="0031040D" w:rsidP="0031040D">
      <w:pPr>
        <w:pStyle w:val="Normalnumber"/>
        <w:tabs>
          <w:tab w:val="clear" w:pos="1134"/>
        </w:tabs>
        <w:rPr>
          <w:rFonts w:eastAsia="Arial Unicode MS"/>
          <w:i/>
          <w:color w:val="000000" w:themeColor="text1"/>
          <w:szCs w:val="24"/>
          <w:bdr w:val="nil"/>
        </w:rPr>
      </w:pPr>
      <w:r w:rsidRPr="0031040D">
        <w:rPr>
          <w:rFonts w:eastAsiaTheme="minorHAnsi"/>
        </w:rPr>
        <w:t>You may find additional information and follow progress at our UNEP resolution online</w:t>
      </w:r>
      <w:r w:rsidRPr="00C321E2">
        <w:rPr>
          <w:rFonts w:eastAsia="Arial Unicode MS"/>
          <w:kern w:val="2"/>
          <w:szCs w:val="24"/>
          <w:bdr w:val="nil"/>
        </w:rPr>
        <w:t xml:space="preserve"> reporting tool (</w:t>
      </w:r>
      <w:hyperlink r:id="rId20" w:history="1">
        <w:r w:rsidRPr="00C321E2">
          <w:rPr>
            <w:rFonts w:eastAsia="MS Mincho"/>
            <w:kern w:val="2"/>
            <w:bdr w:val="nil"/>
          </w:rPr>
          <w:t>https://</w:t>
        </w:r>
        <w:r w:rsidRPr="0031040D">
          <w:rPr>
            <w:rFonts w:eastAsiaTheme="minorHAnsi"/>
          </w:rPr>
          <w:t>unea</w:t>
        </w:r>
        <w:r w:rsidRPr="00C321E2">
          <w:rPr>
            <w:rFonts w:eastAsia="MS Mincho"/>
            <w:kern w:val="2"/>
            <w:bdr w:val="nil"/>
          </w:rPr>
          <w:t>.unep.org/monitoring/viewoutcome/84</w:t>
        </w:r>
      </w:hyperlink>
      <w:r w:rsidRPr="00C321E2">
        <w:rPr>
          <w:rFonts w:eastAsia="Arial Unicode MS"/>
          <w:kern w:val="2"/>
          <w:szCs w:val="24"/>
          <w:bdr w:val="nil"/>
        </w:rPr>
        <w:t xml:space="preserve">) which will provide more detailed information on the implementation of Resolution 4/16 on the Conservation and sustainable management of peatlands. For additional information, kindly contact UNEP Global Peatlands Coordinator, Dianna </w:t>
      </w:r>
      <w:proofErr w:type="spellStart"/>
      <w:r w:rsidRPr="00C321E2">
        <w:rPr>
          <w:rFonts w:eastAsia="Arial Unicode MS"/>
          <w:kern w:val="2"/>
          <w:szCs w:val="24"/>
          <w:bdr w:val="nil"/>
        </w:rPr>
        <w:t>Kopansky</w:t>
      </w:r>
      <w:proofErr w:type="spellEnd"/>
      <w:r w:rsidRPr="00C321E2">
        <w:rPr>
          <w:rFonts w:eastAsia="Arial Unicode MS"/>
          <w:kern w:val="2"/>
          <w:szCs w:val="24"/>
          <w:bdr w:val="nil"/>
        </w:rPr>
        <w:t xml:space="preserve"> via email at dianna.kopansky@un.org.</w:t>
      </w:r>
    </w:p>
    <w:p w14:paraId="5A034FF6" w14:textId="77777777" w:rsidR="00EF5A4C" w:rsidRPr="005A5910" w:rsidRDefault="00EF5A4C" w:rsidP="008C6F06">
      <w:pPr>
        <w:pStyle w:val="Normalpool"/>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7"/>
        <w:gridCol w:w="1898"/>
      </w:tblGrid>
      <w:tr w:rsidR="008178EE" w:rsidRPr="005A5910" w14:paraId="74BC99F8" w14:textId="77777777" w:rsidTr="008178EE">
        <w:tc>
          <w:tcPr>
            <w:tcW w:w="1897" w:type="dxa"/>
          </w:tcPr>
          <w:p w14:paraId="5EFD0889" w14:textId="77777777" w:rsidR="008178EE" w:rsidRPr="005A5910" w:rsidRDefault="008178EE" w:rsidP="008178EE">
            <w:pPr>
              <w:pStyle w:val="Normalpool"/>
              <w:spacing w:before="520"/>
              <w:rPr>
                <w:rFonts w:eastAsiaTheme="minorHAnsi"/>
              </w:rPr>
            </w:pPr>
            <w:bookmarkStart w:id="8" w:name="_Hlk59542073"/>
          </w:p>
        </w:tc>
        <w:tc>
          <w:tcPr>
            <w:tcW w:w="1897" w:type="dxa"/>
          </w:tcPr>
          <w:p w14:paraId="2C3D608A" w14:textId="77777777" w:rsidR="008178EE" w:rsidRPr="005A5910" w:rsidRDefault="008178EE" w:rsidP="008178EE">
            <w:pPr>
              <w:pStyle w:val="Normalpool"/>
              <w:spacing w:before="520"/>
              <w:rPr>
                <w:rFonts w:eastAsiaTheme="minorHAnsi"/>
              </w:rPr>
            </w:pPr>
          </w:p>
        </w:tc>
        <w:tc>
          <w:tcPr>
            <w:tcW w:w="1897" w:type="dxa"/>
            <w:tcBorders>
              <w:bottom w:val="single" w:sz="4" w:space="0" w:color="auto"/>
            </w:tcBorders>
          </w:tcPr>
          <w:p w14:paraId="49AD4FC5" w14:textId="77777777" w:rsidR="008178EE" w:rsidRPr="005A5910" w:rsidRDefault="008178EE" w:rsidP="008178EE">
            <w:pPr>
              <w:pStyle w:val="Normalpool"/>
              <w:spacing w:before="520"/>
              <w:rPr>
                <w:rFonts w:eastAsiaTheme="minorHAnsi"/>
              </w:rPr>
            </w:pPr>
          </w:p>
        </w:tc>
        <w:tc>
          <w:tcPr>
            <w:tcW w:w="1897" w:type="dxa"/>
          </w:tcPr>
          <w:p w14:paraId="18DA16E7" w14:textId="77777777" w:rsidR="008178EE" w:rsidRPr="005A5910" w:rsidRDefault="008178EE" w:rsidP="008178EE">
            <w:pPr>
              <w:pStyle w:val="Normalpool"/>
              <w:spacing w:before="520"/>
              <w:rPr>
                <w:rFonts w:eastAsiaTheme="minorHAnsi"/>
              </w:rPr>
            </w:pPr>
          </w:p>
        </w:tc>
        <w:tc>
          <w:tcPr>
            <w:tcW w:w="1898" w:type="dxa"/>
          </w:tcPr>
          <w:p w14:paraId="01AD69B3" w14:textId="77777777" w:rsidR="008178EE" w:rsidRPr="005A5910" w:rsidRDefault="008178EE" w:rsidP="008178EE">
            <w:pPr>
              <w:pStyle w:val="Normalpool"/>
              <w:spacing w:before="520"/>
              <w:rPr>
                <w:rFonts w:eastAsiaTheme="minorHAnsi"/>
              </w:rPr>
            </w:pPr>
          </w:p>
        </w:tc>
      </w:tr>
      <w:bookmarkEnd w:id="8"/>
    </w:tbl>
    <w:p w14:paraId="1B8F3E98" w14:textId="7A38B7C9" w:rsidR="008178EE" w:rsidRPr="005A5910" w:rsidRDefault="008178EE" w:rsidP="008C6F06">
      <w:pPr>
        <w:pStyle w:val="Normalpool"/>
        <w:rPr>
          <w:rFonts w:eastAsiaTheme="minorHAnsi"/>
        </w:rPr>
      </w:pPr>
    </w:p>
    <w:sectPr w:rsidR="008178EE" w:rsidRPr="005A5910" w:rsidSect="00AF63F4">
      <w:headerReference w:type="even" r:id="rId21"/>
      <w:headerReference w:type="default" r:id="rId22"/>
      <w:footerReference w:type="even" r:id="rId23"/>
      <w:footerReference w:type="default" r:id="rId24"/>
      <w:headerReference w:type="first" r:id="rId25"/>
      <w:footerReference w:type="first" r:id="rId26"/>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21F3AA" w14:textId="77777777" w:rsidR="00A53A03" w:rsidRDefault="00A53A03">
      <w:r>
        <w:separator/>
      </w:r>
    </w:p>
    <w:p w14:paraId="0E8D7044" w14:textId="77777777" w:rsidR="00A53A03" w:rsidRDefault="00A53A03"/>
  </w:endnote>
  <w:endnote w:type="continuationSeparator" w:id="0">
    <w:p w14:paraId="41E53B48" w14:textId="77777777" w:rsidR="00A53A03" w:rsidRDefault="00A53A03">
      <w:r>
        <w:continuationSeparator/>
      </w:r>
    </w:p>
    <w:p w14:paraId="12200224" w14:textId="77777777" w:rsidR="00A53A03" w:rsidRDefault="00A53A03"/>
  </w:endnote>
  <w:endnote w:type="continuationNotice" w:id="1">
    <w:p w14:paraId="7A67A8B0" w14:textId="77777777" w:rsidR="00A53A03" w:rsidRDefault="00A53A03"/>
    <w:p w14:paraId="75BF54F5" w14:textId="77777777" w:rsidR="00A53A03" w:rsidRDefault="00A53A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6644002"/>
      <w:docPartObj>
        <w:docPartGallery w:val="Page Numbers (Bottom of Page)"/>
        <w:docPartUnique/>
      </w:docPartObj>
    </w:sdtPr>
    <w:sdtEndPr>
      <w:rPr>
        <w:noProof/>
      </w:rPr>
    </w:sdtEndPr>
    <w:sdtContent>
      <w:p w14:paraId="6EF08CA9" w14:textId="066C624E" w:rsidR="00205694" w:rsidRDefault="00205694" w:rsidP="003011FE">
        <w:pPr>
          <w:pStyle w:val="Footer-pool"/>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8599249"/>
      <w:docPartObj>
        <w:docPartGallery w:val="Page Numbers (Bottom of Page)"/>
        <w:docPartUnique/>
      </w:docPartObj>
    </w:sdtPr>
    <w:sdtEndPr>
      <w:rPr>
        <w:noProof/>
      </w:rPr>
    </w:sdtEndPr>
    <w:sdtContent>
      <w:p w14:paraId="048052E4" w14:textId="65B15FC7" w:rsidR="00205694" w:rsidRDefault="00205694" w:rsidP="000037AD">
        <w:pPr>
          <w:pStyle w:val="Footer-pool"/>
          <w:jc w:val="right"/>
        </w:pPr>
        <w:r w:rsidRPr="00F53931">
          <w:fldChar w:fldCharType="begin"/>
        </w:r>
        <w:r w:rsidRPr="00F53931">
          <w:instrText xml:space="preserve"> PAGE   \* MERGEFORMAT </w:instrText>
        </w:r>
        <w:r w:rsidRPr="00F53931">
          <w:fldChar w:fldCharType="separate"/>
        </w:r>
        <w:r>
          <w:rPr>
            <w:noProof/>
          </w:rPr>
          <w:t>13</w:t>
        </w:r>
        <w:r w:rsidRPr="00F53931">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FE489" w14:textId="5457CDBE" w:rsidR="00205694" w:rsidRPr="007C5083" w:rsidRDefault="00205694" w:rsidP="002A4B66">
    <w:pPr>
      <w:pStyle w:val="Footer-pool"/>
      <w:rPr>
        <w:b w:val="0"/>
        <w:bCs/>
        <w:sz w:val="20"/>
      </w:rPr>
    </w:pPr>
    <w:bookmarkStart w:id="9" w:name="_Hlk50460653"/>
    <w:bookmarkStart w:id="10" w:name="_Hlk50460654"/>
    <w:bookmarkStart w:id="11" w:name="_Hlk50460655"/>
    <w:bookmarkStart w:id="12" w:name="_Hlk50460656"/>
    <w:r w:rsidRPr="0046283A">
      <w:rPr>
        <w:b w:val="0"/>
        <w:bCs/>
        <w:sz w:val="20"/>
      </w:rPr>
      <w:t>K200</w:t>
    </w:r>
    <w:bookmarkEnd w:id="9"/>
    <w:bookmarkEnd w:id="10"/>
    <w:bookmarkEnd w:id="11"/>
    <w:bookmarkEnd w:id="12"/>
    <w:r w:rsidR="0046283A">
      <w:rPr>
        <w:b w:val="0"/>
        <w:bCs/>
        <w:sz w:val="20"/>
      </w:rPr>
      <w:t>30</w:t>
    </w:r>
    <w:r w:rsidR="003D0F6D">
      <w:rPr>
        <w:b w:val="0"/>
        <w:bCs/>
        <w:sz w:val="20"/>
      </w:rPr>
      <w:t>25</w:t>
    </w:r>
    <w:r w:rsidR="00EF5A4C" w:rsidRPr="0046283A">
      <w:rPr>
        <w:b w:val="0"/>
        <w:bCs/>
        <w:sz w:val="20"/>
      </w:rPr>
      <w:tab/>
    </w:r>
    <w:r w:rsidR="00960E83">
      <w:rPr>
        <w:b w:val="0"/>
        <w:bCs/>
        <w:sz w:val="20"/>
      </w:rPr>
      <w:t>150121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75EA67" w14:textId="77777777" w:rsidR="00A53A03" w:rsidRPr="009922E9" w:rsidRDefault="00A53A03" w:rsidP="00F87A8D">
      <w:pPr>
        <w:pStyle w:val="Normalpool"/>
        <w:tabs>
          <w:tab w:val="clear" w:pos="1247"/>
          <w:tab w:val="left" w:pos="624"/>
        </w:tabs>
        <w:spacing w:before="60"/>
        <w:ind w:left="624"/>
        <w:rPr>
          <w:sz w:val="18"/>
          <w:szCs w:val="18"/>
        </w:rPr>
      </w:pPr>
      <w:r w:rsidRPr="0011200E">
        <w:rPr>
          <w:sz w:val="18"/>
          <w:szCs w:val="18"/>
        </w:rPr>
        <w:separator/>
      </w:r>
    </w:p>
  </w:footnote>
  <w:footnote w:type="continuationSeparator" w:id="0">
    <w:p w14:paraId="2F8FDFE7" w14:textId="77777777" w:rsidR="00A53A03" w:rsidRDefault="00A53A03">
      <w:r>
        <w:continuationSeparator/>
      </w:r>
    </w:p>
    <w:p w14:paraId="3D8D6135" w14:textId="77777777" w:rsidR="00A53A03" w:rsidRDefault="00A53A03"/>
  </w:footnote>
  <w:footnote w:type="continuationNotice" w:id="1">
    <w:p w14:paraId="1A7E1C7B" w14:textId="77777777" w:rsidR="00A53A03" w:rsidRDefault="00A53A03"/>
    <w:p w14:paraId="73175C3E" w14:textId="77777777" w:rsidR="00A53A03" w:rsidRDefault="00A53A03"/>
  </w:footnote>
  <w:footnote w:id="2">
    <w:p w14:paraId="1A76F486" w14:textId="77777777" w:rsidR="00205694" w:rsidRPr="0081716B" w:rsidRDefault="00205694" w:rsidP="000550F9">
      <w:pPr>
        <w:pStyle w:val="Normalpool"/>
        <w:tabs>
          <w:tab w:val="clear" w:pos="1247"/>
          <w:tab w:val="left" w:pos="624"/>
        </w:tabs>
        <w:spacing w:before="20" w:after="40"/>
        <w:ind w:left="1247"/>
        <w:rPr>
          <w:sz w:val="18"/>
          <w:szCs w:val="18"/>
        </w:rPr>
      </w:pPr>
      <w:r w:rsidRPr="0081716B">
        <w:rPr>
          <w:sz w:val="18"/>
          <w:szCs w:val="18"/>
        </w:rPr>
        <w:t>* In accordance with the decisions taken at the meeting of the Bureau of the United Nations Environment Assembly held on 8 October 2020 and at the joint meeting of the Bureaux of the United Nations Environment Assembly and the Committee of Permanent Representatives held on 1 December 2020, the fifth session of the Assembly is expected to adjourn on 23 February 2021 and resume as an in-person meeting in February 2022.</w:t>
      </w:r>
    </w:p>
  </w:footnote>
  <w:footnote w:id="3">
    <w:p w14:paraId="6B745A61" w14:textId="5A993E25" w:rsidR="00205694" w:rsidRPr="0081716B" w:rsidRDefault="00205694" w:rsidP="000550F9">
      <w:pPr>
        <w:pStyle w:val="Normalpool"/>
        <w:tabs>
          <w:tab w:val="clear" w:pos="1247"/>
          <w:tab w:val="left" w:pos="624"/>
        </w:tabs>
        <w:spacing w:before="20" w:after="40"/>
        <w:ind w:left="1247"/>
        <w:rPr>
          <w:bCs/>
          <w:sz w:val="18"/>
          <w:szCs w:val="18"/>
        </w:rPr>
      </w:pPr>
      <w:r w:rsidRPr="0081716B">
        <w:rPr>
          <w:rStyle w:val="FootnoteReference"/>
          <w:sz w:val="18"/>
          <w:vertAlign w:val="baseline"/>
        </w:rPr>
        <w:t>**</w:t>
      </w:r>
      <w:r w:rsidRPr="0081716B">
        <w:rPr>
          <w:sz w:val="18"/>
          <w:szCs w:val="18"/>
        </w:rPr>
        <w:t xml:space="preserve"> UNEP/EA.5/</w:t>
      </w:r>
      <w:r w:rsidR="003901AD">
        <w:rPr>
          <w:sz w:val="18"/>
          <w:szCs w:val="18"/>
        </w:rPr>
        <w:t>1/</w:t>
      </w:r>
      <w:r w:rsidRPr="0081716B">
        <w:rPr>
          <w:sz w:val="18"/>
          <w:szCs w:val="18"/>
        </w:rPr>
        <w:t>Rev.1.</w:t>
      </w:r>
    </w:p>
  </w:footnote>
  <w:footnote w:id="4">
    <w:p w14:paraId="617D1C79" w14:textId="77777777" w:rsidR="000550F9" w:rsidRDefault="000550F9" w:rsidP="000550F9">
      <w:pPr>
        <w:pStyle w:val="FootnoteText"/>
        <w:tabs>
          <w:tab w:val="left" w:pos="624"/>
        </w:tabs>
        <w:rPr>
          <w:bCs/>
          <w:szCs w:val="18"/>
        </w:rPr>
      </w:pPr>
      <w:r w:rsidRPr="000550F9">
        <w:rPr>
          <w:rStyle w:val="FootnoteReference"/>
          <w:sz w:val="18"/>
          <w:vertAlign w:val="baseline"/>
        </w:rPr>
        <w:t>***</w:t>
      </w:r>
      <w:r w:rsidRPr="000550F9">
        <w:rPr>
          <w:szCs w:val="18"/>
        </w:rPr>
        <w:t xml:space="preserve"> </w:t>
      </w:r>
      <w:r>
        <w:rPr>
          <w:szCs w:val="18"/>
        </w:rPr>
        <w:t>The present document is being issued without formal editing.</w:t>
      </w:r>
    </w:p>
  </w:footnote>
  <w:footnote w:id="5">
    <w:p w14:paraId="032E4826" w14:textId="77777777" w:rsidR="003D0F6D" w:rsidRPr="0081716B" w:rsidRDefault="003D0F6D" w:rsidP="000550F9">
      <w:pPr>
        <w:pStyle w:val="FootnoteText"/>
        <w:tabs>
          <w:tab w:val="clear" w:pos="1247"/>
          <w:tab w:val="left" w:pos="624"/>
        </w:tabs>
        <w:rPr>
          <w:szCs w:val="18"/>
          <w:lang w:val="en-US"/>
        </w:rPr>
      </w:pPr>
      <w:r w:rsidRPr="0081716B">
        <w:rPr>
          <w:rStyle w:val="FootnoteReference"/>
          <w:sz w:val="18"/>
          <w:lang w:val="en-US"/>
        </w:rPr>
        <w:t>1</w:t>
      </w:r>
      <w:r w:rsidRPr="0081716B">
        <w:rPr>
          <w:szCs w:val="18"/>
          <w:lang w:val="en-US"/>
        </w:rPr>
        <w:t xml:space="preserve"> Number of partners as at end November 2020 (see more at www.globalpeatlands.org).</w:t>
      </w:r>
    </w:p>
  </w:footnote>
  <w:footnote w:id="6">
    <w:p w14:paraId="219280FF" w14:textId="77777777" w:rsidR="003D0F6D" w:rsidRPr="0081716B" w:rsidRDefault="003D0F6D" w:rsidP="000550F9">
      <w:pPr>
        <w:pStyle w:val="FootnoteText"/>
        <w:tabs>
          <w:tab w:val="clear" w:pos="1247"/>
          <w:tab w:val="left" w:pos="624"/>
        </w:tabs>
        <w:rPr>
          <w:szCs w:val="18"/>
          <w:lang w:val="en-US"/>
        </w:rPr>
      </w:pPr>
      <w:r w:rsidRPr="0081716B">
        <w:rPr>
          <w:rStyle w:val="FootnoteReference"/>
          <w:sz w:val="18"/>
          <w:lang w:val="en-US"/>
        </w:rPr>
        <w:t>2</w:t>
      </w:r>
      <w:r w:rsidRPr="0081716B">
        <w:rPr>
          <w:szCs w:val="18"/>
          <w:lang w:val="en-US"/>
        </w:rPr>
        <w:t xml:space="preserve"> </w:t>
      </w:r>
      <w:hyperlink r:id="rId1" w:history="1">
        <w:r w:rsidRPr="0081716B">
          <w:rPr>
            <w:rStyle w:val="Hyperlink"/>
            <w:sz w:val="18"/>
            <w:szCs w:val="18"/>
            <w:lang w:val="en-US"/>
          </w:rPr>
          <w:t>https://www.international-climate-initiative.com/en/details/project/the-global-peatlands-initiative-assessing-measuring-and-preserving-peat-carbon-18_III_096-3039</w:t>
        </w:r>
      </w:hyperlink>
      <w:r w:rsidRPr="0081716B">
        <w:rPr>
          <w:szCs w:val="18"/>
          <w:lang w:val="en-US"/>
        </w:rPr>
        <w:t>.</w:t>
      </w:r>
    </w:p>
  </w:footnote>
  <w:footnote w:id="7">
    <w:p w14:paraId="43FE2691" w14:textId="781FE454"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3</w:t>
      </w:r>
      <w:r w:rsidRPr="0081716B">
        <w:rPr>
          <w:szCs w:val="18"/>
          <w:lang w:val="en-US"/>
        </w:rPr>
        <w:t xml:space="preserve"> https://www.unenvironment.org/resources/resolutions-treaties-and-decisions/brazzaville-declaration</w:t>
      </w:r>
      <w:r w:rsidR="0081716B" w:rsidRPr="0081716B">
        <w:rPr>
          <w:szCs w:val="18"/>
          <w:lang w:val="en-US"/>
        </w:rPr>
        <w:t>.</w:t>
      </w:r>
    </w:p>
  </w:footnote>
  <w:footnote w:id="8">
    <w:p w14:paraId="081A510F" w14:textId="0F18F4EA"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4</w:t>
      </w:r>
      <w:r w:rsidRPr="0081716B">
        <w:rPr>
          <w:szCs w:val="18"/>
          <w:lang w:val="en-US"/>
        </w:rPr>
        <w:t xml:space="preserve"> </w:t>
      </w:r>
      <w:hyperlink r:id="rId2" w:history="1">
        <w:r w:rsidRPr="0081716B">
          <w:rPr>
            <w:rStyle w:val="Hyperlink"/>
            <w:sz w:val="18"/>
            <w:szCs w:val="18"/>
            <w:lang w:val="en-US"/>
          </w:rPr>
          <w:t>https://www.unenvironment.org/news-and-stories/story/south-south-cooperation-peatlands-indonesia-republic-congo-solidify-their</w:t>
        </w:r>
      </w:hyperlink>
      <w:r w:rsidRPr="0081716B">
        <w:rPr>
          <w:szCs w:val="18"/>
          <w:lang w:val="en-US"/>
        </w:rPr>
        <w:t xml:space="preserve"> and https://www.unsouthsouth.org/wp-content/uploads/2020/09/Good-Practices-in-SSTC-for-Sustainable-Development-Vol.-3-2020-Digital-Light-FINAL.pdf</w:t>
      </w:r>
      <w:r w:rsidR="0081716B" w:rsidRPr="0081716B">
        <w:rPr>
          <w:szCs w:val="18"/>
          <w:lang w:val="en-US"/>
        </w:rPr>
        <w:t>.</w:t>
      </w:r>
    </w:p>
  </w:footnote>
  <w:footnote w:id="9">
    <w:p w14:paraId="74A471C1" w14:textId="5D9D5703"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5</w:t>
      </w:r>
      <w:r w:rsidRPr="0081716B">
        <w:rPr>
          <w:szCs w:val="18"/>
          <w:lang w:val="en-US"/>
        </w:rPr>
        <w:t xml:space="preserve"> https://www.tropicalpeatlands.org/</w:t>
      </w:r>
      <w:r w:rsidR="0081716B" w:rsidRPr="0081716B">
        <w:rPr>
          <w:szCs w:val="18"/>
          <w:lang w:val="en-US"/>
        </w:rPr>
        <w:t>.</w:t>
      </w:r>
    </w:p>
  </w:footnote>
  <w:footnote w:id="10">
    <w:p w14:paraId="63ACF9FD" w14:textId="38DFBFEF"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6</w:t>
      </w:r>
      <w:r w:rsidRPr="0081716B">
        <w:rPr>
          <w:szCs w:val="18"/>
          <w:lang w:val="en-US"/>
        </w:rPr>
        <w:t xml:space="preserve"> https://www.globalpeatlands.org/?p=16418</w:t>
      </w:r>
      <w:r w:rsidR="0081716B" w:rsidRPr="0081716B">
        <w:rPr>
          <w:szCs w:val="18"/>
          <w:lang w:val="en-US"/>
        </w:rPr>
        <w:t>.</w:t>
      </w:r>
    </w:p>
  </w:footnote>
  <w:footnote w:id="11">
    <w:p w14:paraId="7DFF48EE" w14:textId="6FEB81CE"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7</w:t>
      </w:r>
      <w:r w:rsidRPr="0081716B">
        <w:rPr>
          <w:szCs w:val="18"/>
          <w:lang w:val="en-US"/>
        </w:rPr>
        <w:t xml:space="preserve"> https://www.globalpeatlands.org/?p=16378</w:t>
      </w:r>
      <w:r w:rsidR="0081716B" w:rsidRPr="0081716B">
        <w:rPr>
          <w:szCs w:val="18"/>
          <w:lang w:val="en-US"/>
        </w:rPr>
        <w:t>.</w:t>
      </w:r>
    </w:p>
  </w:footnote>
  <w:footnote w:id="12">
    <w:p w14:paraId="459DD37D" w14:textId="73466DB4"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8</w:t>
      </w:r>
      <w:r w:rsidRPr="0081716B">
        <w:rPr>
          <w:szCs w:val="18"/>
          <w:lang w:val="en-US"/>
        </w:rPr>
        <w:t xml:space="preserve"> https://www.globalpeatlands.org/?p=16582</w:t>
      </w:r>
      <w:r w:rsidR="0081716B" w:rsidRPr="0081716B">
        <w:rPr>
          <w:szCs w:val="18"/>
          <w:lang w:val="en-US"/>
        </w:rPr>
        <w:t>.</w:t>
      </w:r>
    </w:p>
  </w:footnote>
  <w:footnote w:id="13">
    <w:p w14:paraId="52C73428" w14:textId="477CDE12"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9</w:t>
      </w:r>
      <w:r w:rsidRPr="0081716B">
        <w:rPr>
          <w:szCs w:val="18"/>
          <w:lang w:val="en-US"/>
        </w:rPr>
        <w:t xml:space="preserve"> https://www.ramsar.org/sites/default/files/documents/library/mea_peatlands_workshop_report_e.pdf; https://redd.unfccc.int/uploads/2_231_190814_workshop_report_final.pdf</w:t>
      </w:r>
      <w:r w:rsidR="0081716B" w:rsidRPr="0081716B">
        <w:rPr>
          <w:szCs w:val="18"/>
          <w:lang w:val="en-US"/>
        </w:rPr>
        <w:t>.</w:t>
      </w:r>
    </w:p>
  </w:footnote>
  <w:footnote w:id="14">
    <w:p w14:paraId="3F28C2E4" w14:textId="77777777"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10</w:t>
      </w:r>
      <w:r w:rsidRPr="0081716B">
        <w:rPr>
          <w:szCs w:val="18"/>
          <w:lang w:val="en-US"/>
        </w:rPr>
        <w:t xml:space="preserve"> European Commission, Germany, the Netherlands, Finland, France, the UK, Latvia, Switzerland, Estonia, Austria and Sweden.</w:t>
      </w:r>
    </w:p>
  </w:footnote>
  <w:footnote w:id="15">
    <w:p w14:paraId="19C96EEF" w14:textId="244D25BF"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11</w:t>
      </w:r>
      <w:r w:rsidRPr="0081716B">
        <w:rPr>
          <w:szCs w:val="18"/>
          <w:lang w:val="en-US"/>
        </w:rPr>
        <w:t xml:space="preserve"> </w:t>
      </w:r>
      <w:hyperlink r:id="rId3" w:history="1">
        <w:r w:rsidR="0081716B" w:rsidRPr="003C4C75">
          <w:rPr>
            <w:rStyle w:val="Hyperlink"/>
            <w:sz w:val="18"/>
            <w:szCs w:val="18"/>
            <w:lang w:val="en-US"/>
          </w:rPr>
          <w:t>https://www.bfn.de/fileadmin/BfN/internationalernaturschutz/Dokumente/</w:t>
        </w:r>
        <w:r w:rsidR="0081716B" w:rsidRPr="003C4C75">
          <w:rPr>
            <w:rStyle w:val="Hyperlink"/>
            <w:sz w:val="18"/>
            <w:szCs w:val="18"/>
            <w:lang w:val="en-US"/>
          </w:rPr>
          <w:br/>
          <w:t>Peatland_Workshop_2019/Policy_brief_</w:t>
        </w:r>
      </w:hyperlink>
      <w:r w:rsidR="0081716B" w:rsidRPr="0081716B">
        <w:rPr>
          <w:rStyle w:val="Hyperlink"/>
          <w:sz w:val="18"/>
          <w:szCs w:val="18"/>
          <w:lang w:val="en-US"/>
        </w:rPr>
        <w:t>.</w:t>
      </w:r>
    </w:p>
    <w:p w14:paraId="5FB192F3" w14:textId="1C602F89" w:rsidR="0031040D" w:rsidRPr="0081716B" w:rsidRDefault="0031040D" w:rsidP="000550F9">
      <w:pPr>
        <w:pStyle w:val="FootnoteText"/>
        <w:tabs>
          <w:tab w:val="clear" w:pos="1247"/>
          <w:tab w:val="left" w:pos="624"/>
        </w:tabs>
        <w:rPr>
          <w:szCs w:val="18"/>
          <w:lang w:val="en-US"/>
        </w:rPr>
      </w:pPr>
      <w:r w:rsidRPr="0081716B">
        <w:rPr>
          <w:szCs w:val="18"/>
          <w:lang w:val="en-US"/>
        </w:rPr>
        <w:t>peatland_strategies_bf.pdf; https://www.globalpeatlands.org/?p=16675</w:t>
      </w:r>
      <w:r w:rsidR="0081716B" w:rsidRPr="0081716B">
        <w:rPr>
          <w:szCs w:val="18"/>
          <w:lang w:val="en-US"/>
        </w:rPr>
        <w:t>.</w:t>
      </w:r>
    </w:p>
  </w:footnote>
  <w:footnote w:id="16">
    <w:p w14:paraId="3A5F6319" w14:textId="4EE82BC8"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12</w:t>
      </w:r>
      <w:r w:rsidRPr="0081716B">
        <w:rPr>
          <w:szCs w:val="18"/>
          <w:lang w:val="en-US"/>
        </w:rPr>
        <w:t xml:space="preserve"> https://www.ipcc.ch/srccl/</w:t>
      </w:r>
      <w:r w:rsidR="0081716B" w:rsidRPr="0081716B">
        <w:rPr>
          <w:szCs w:val="18"/>
          <w:lang w:val="en-US"/>
        </w:rPr>
        <w:t>.</w:t>
      </w:r>
    </w:p>
  </w:footnote>
  <w:footnote w:id="17">
    <w:p w14:paraId="7869825B" w14:textId="5399D0B2"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13</w:t>
      </w:r>
      <w:r w:rsidRPr="0081716B">
        <w:rPr>
          <w:szCs w:val="18"/>
          <w:lang w:val="en-US"/>
        </w:rPr>
        <w:t xml:space="preserve"> https://www.globalpeatlands.org/?p=16613</w:t>
      </w:r>
      <w:r w:rsidR="0081716B" w:rsidRPr="0081716B">
        <w:rPr>
          <w:szCs w:val="18"/>
          <w:lang w:val="en-US"/>
        </w:rPr>
        <w:t>.</w:t>
      </w:r>
    </w:p>
  </w:footnote>
  <w:footnote w:id="18">
    <w:p w14:paraId="02BAD9D1" w14:textId="7A876D56"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14</w:t>
      </w:r>
      <w:r w:rsidRPr="0081716B">
        <w:rPr>
          <w:szCs w:val="18"/>
          <w:lang w:val="en-US"/>
        </w:rPr>
        <w:t xml:space="preserve"> </w:t>
      </w:r>
      <w:hyperlink r:id="rId4" w:history="1">
        <w:r w:rsidRPr="0081716B">
          <w:rPr>
            <w:rStyle w:val="Hyperlink"/>
            <w:sz w:val="18"/>
            <w:szCs w:val="18"/>
            <w:lang w:val="en-US"/>
          </w:rPr>
          <w:t>https://pfbc-cbfp.org/files/docs/news/8-2020/COMMUNIQUE%20FINAL%20DE%20LA%20SESSION%20EXTRAORDINAIRE%20DU%20CONSEIL%20DES%20MINISTRES%20DE%20LA%20COMIFAC%20TENUE%20PAR%20VISIOCONFERENCE%20LE%20JEUDI%2020%20AOUT%202020.pdf</w:t>
        </w:r>
      </w:hyperlink>
      <w:r w:rsidR="0081716B" w:rsidRPr="0081716B">
        <w:rPr>
          <w:rStyle w:val="Hyperlink"/>
          <w:sz w:val="18"/>
          <w:szCs w:val="18"/>
          <w:lang w:val="en-US"/>
        </w:rPr>
        <w:t>.</w:t>
      </w:r>
    </w:p>
  </w:footnote>
  <w:footnote w:id="19">
    <w:p w14:paraId="5542EB09" w14:textId="7C8D4B97"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15</w:t>
      </w:r>
      <w:r w:rsidRPr="0081716B">
        <w:rPr>
          <w:szCs w:val="18"/>
          <w:lang w:val="en-US"/>
        </w:rPr>
        <w:t xml:space="preserve"> </w:t>
      </w:r>
      <w:hyperlink r:id="rId5" w:history="1">
        <w:r w:rsidRPr="0081716B">
          <w:rPr>
            <w:rStyle w:val="Hyperlink"/>
            <w:sz w:val="18"/>
            <w:szCs w:val="18"/>
            <w:lang w:val="en-US"/>
          </w:rPr>
          <w:t>http://www.fao.org/3/CA8200EN/CA8200EN.pdf</w:t>
        </w:r>
      </w:hyperlink>
      <w:r w:rsidRPr="0081716B">
        <w:rPr>
          <w:szCs w:val="18"/>
          <w:lang w:val="en-US"/>
        </w:rPr>
        <w:t xml:space="preserve"> and http://www.fao.org/gfoi/news-events/news/detail/en/c/1265531/</w:t>
      </w:r>
      <w:r w:rsidR="0081716B" w:rsidRPr="0081716B">
        <w:rPr>
          <w:szCs w:val="18"/>
          <w:lang w:val="en-US"/>
        </w:rPr>
        <w:t>.</w:t>
      </w:r>
    </w:p>
  </w:footnote>
  <w:footnote w:id="20">
    <w:p w14:paraId="033F9663" w14:textId="10072118"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16</w:t>
      </w:r>
      <w:r w:rsidRPr="0081716B">
        <w:rPr>
          <w:szCs w:val="18"/>
          <w:lang w:val="en-US"/>
        </w:rPr>
        <w:t xml:space="preserve"> https://www.youtube.com/playlist?list=PLzp5NgJ2-dK6-oTRJrJvIgZbbZ0vIehyN</w:t>
      </w:r>
      <w:r w:rsidR="0081716B" w:rsidRPr="0081716B">
        <w:rPr>
          <w:szCs w:val="18"/>
          <w:lang w:val="en-US"/>
        </w:rPr>
        <w:t>.</w:t>
      </w:r>
    </w:p>
  </w:footnote>
  <w:footnote w:id="21">
    <w:p w14:paraId="3978FD7A" w14:textId="1B51FBEA"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17</w:t>
      </w:r>
      <w:r w:rsidRPr="0081716B">
        <w:rPr>
          <w:szCs w:val="18"/>
          <w:lang w:val="en-US"/>
        </w:rPr>
        <w:t xml:space="preserve"> https://wedocs.unep.org/bitstream/handle/20.500.11822/27542/</w:t>
      </w:r>
      <w:r w:rsidR="0081716B">
        <w:rPr>
          <w:szCs w:val="18"/>
          <w:lang w:val="en-US"/>
        </w:rPr>
        <w:br/>
      </w:r>
      <w:r w:rsidRPr="0081716B">
        <w:rPr>
          <w:szCs w:val="18"/>
          <w:lang w:val="en-US"/>
        </w:rPr>
        <w:t>Frontiers1819_ch3.pdf?sequence=1&amp;isAllowed=y</w:t>
      </w:r>
      <w:r w:rsidR="0081716B">
        <w:rPr>
          <w:szCs w:val="18"/>
          <w:lang w:val="en-US"/>
        </w:rPr>
        <w:t>.</w:t>
      </w:r>
    </w:p>
  </w:footnote>
  <w:footnote w:id="22">
    <w:p w14:paraId="71A0FCEC" w14:textId="406223E0"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18</w:t>
      </w:r>
      <w:r w:rsidRPr="0081716B">
        <w:rPr>
          <w:szCs w:val="18"/>
          <w:lang w:val="en-US"/>
        </w:rPr>
        <w:t xml:space="preserve"> </w:t>
      </w:r>
      <w:hyperlink r:id="rId6" w:history="1">
        <w:r w:rsidRPr="0081716B">
          <w:rPr>
            <w:rStyle w:val="Hyperlink"/>
            <w:sz w:val="18"/>
            <w:szCs w:val="18"/>
            <w:lang w:val="en-US"/>
          </w:rPr>
          <w:t>https://www.tropicalpeatlands.org/presentation/towards-a-new-paradigm-for-conservation-and-sustainable-management-of-peatlands-in-peru/</w:t>
        </w:r>
      </w:hyperlink>
      <w:r w:rsidRPr="0081716B">
        <w:rPr>
          <w:szCs w:val="18"/>
          <w:lang w:val="en-US"/>
        </w:rPr>
        <w:t xml:space="preserve"> and </w:t>
      </w:r>
      <w:hyperlink r:id="rId7" w:history="1">
        <w:r w:rsidRPr="0081716B">
          <w:rPr>
            <w:rStyle w:val="Hyperlink"/>
            <w:sz w:val="18"/>
            <w:szCs w:val="18"/>
            <w:lang w:val="en-US"/>
          </w:rPr>
          <w:t>https://www.jica.go.jp/english/news/field/2019/20191202_01.html</w:t>
        </w:r>
      </w:hyperlink>
      <w:r w:rsidRPr="0081716B">
        <w:rPr>
          <w:szCs w:val="18"/>
          <w:lang w:val="en-US"/>
        </w:rPr>
        <w:t xml:space="preserve"> and https://events.globallandscapesforum.org/agenda/biodiversity-2020/28-october-2020/peatlands-a-super-nature-based-solution-home-and-refuge-for-unique-and-threatened-biodiversity/</w:t>
      </w:r>
      <w:r w:rsidR="0081716B" w:rsidRPr="0081716B">
        <w:rPr>
          <w:szCs w:val="18"/>
          <w:lang w:val="en-US"/>
        </w:rPr>
        <w:t>.</w:t>
      </w:r>
    </w:p>
  </w:footnote>
  <w:footnote w:id="23">
    <w:p w14:paraId="4813E524" w14:textId="41D9175D"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19</w:t>
      </w:r>
      <w:r w:rsidRPr="0081716B">
        <w:rPr>
          <w:szCs w:val="18"/>
          <w:lang w:val="en-US"/>
        </w:rPr>
        <w:t xml:space="preserve"> https://www.unenvironment.org/news-and-stories/story/growing-awareness-value-chiles-peatlands;</w:t>
      </w:r>
      <w:r w:rsidR="00C84865" w:rsidRPr="0081716B">
        <w:rPr>
          <w:szCs w:val="18"/>
          <w:lang w:val="en-US"/>
        </w:rPr>
        <w:t xml:space="preserve"> </w:t>
      </w:r>
      <w:r w:rsidRPr="0081716B">
        <w:rPr>
          <w:szCs w:val="18"/>
          <w:lang w:val="en-US"/>
        </w:rPr>
        <w:t>https://www.globalpeatlands.org/?p=16720; https://mma.gob.cl/ministerio-del-medio-ambiente-anuncia-hoja-de-ruta-de-turberas/; https://www.youtube.com/watch?v=jwMMNDR9_Yg</w:t>
      </w:r>
      <w:r w:rsidR="0081716B" w:rsidRPr="0081716B">
        <w:rPr>
          <w:szCs w:val="18"/>
          <w:lang w:val="en-US"/>
        </w:rPr>
        <w:t>.</w:t>
      </w:r>
    </w:p>
  </w:footnote>
  <w:footnote w:id="24">
    <w:p w14:paraId="3E4A7636" w14:textId="77777777"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20</w:t>
      </w:r>
      <w:r w:rsidRPr="0081716B">
        <w:rPr>
          <w:szCs w:val="18"/>
          <w:lang w:val="en-US"/>
        </w:rPr>
        <w:t xml:space="preserve"> https://uwaterloo.ca/water-institute/news/water-institute-joins-global-peatlands-initiative</w:t>
      </w:r>
    </w:p>
  </w:footnote>
  <w:footnote w:id="25">
    <w:p w14:paraId="49A5D12E" w14:textId="6D67CAB9"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21</w:t>
      </w:r>
      <w:r w:rsidRPr="0081716B">
        <w:rPr>
          <w:szCs w:val="18"/>
          <w:lang w:val="en-US"/>
        </w:rPr>
        <w:t xml:space="preserve"> https://www.eurosite.org/eurosite-network/working-groups/</w:t>
      </w:r>
      <w:r w:rsidR="0081716B" w:rsidRPr="0081716B">
        <w:rPr>
          <w:szCs w:val="18"/>
          <w:lang w:val="en-US"/>
        </w:rPr>
        <w:t>.</w:t>
      </w:r>
    </w:p>
  </w:footnote>
  <w:footnote w:id="26">
    <w:p w14:paraId="7956AA33" w14:textId="31824397"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22</w:t>
      </w:r>
      <w:r w:rsidRPr="0081716B">
        <w:rPr>
          <w:szCs w:val="18"/>
          <w:lang w:val="en-US"/>
        </w:rPr>
        <w:t xml:space="preserve"> https://www.tropicalpeatlands.org/event/collecting-and-sharing-status-peatlands-project-initiatives-in-indonesia/</w:t>
      </w:r>
      <w:r w:rsidR="0081716B" w:rsidRPr="0081716B">
        <w:rPr>
          <w:szCs w:val="18"/>
          <w:lang w:val="en-US"/>
        </w:rPr>
        <w:t>.</w:t>
      </w:r>
    </w:p>
  </w:footnote>
  <w:footnote w:id="27">
    <w:p w14:paraId="0CCC543A" w14:textId="3F0803B0"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23</w:t>
      </w:r>
      <w:r w:rsidRPr="0081716B">
        <w:rPr>
          <w:szCs w:val="18"/>
          <w:lang w:val="en-US"/>
        </w:rPr>
        <w:t xml:space="preserve"> https://www.unsouthsouth.org/wp-content/uploads/2020/09/Good-Practices-in-SSTC-for-Sustainable-Development-Vol.-3-2020-Digital-Light-FINAL.pdf</w:t>
      </w:r>
      <w:r w:rsidR="0081716B" w:rsidRPr="0081716B">
        <w:rPr>
          <w:szCs w:val="18"/>
          <w:lang w:val="en-US"/>
        </w:rPr>
        <w:t>.</w:t>
      </w:r>
    </w:p>
  </w:footnote>
  <w:footnote w:id="28">
    <w:p w14:paraId="15C7E58D" w14:textId="6AEA7143"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24</w:t>
      </w:r>
      <w:r w:rsidRPr="0081716B">
        <w:rPr>
          <w:szCs w:val="18"/>
          <w:lang w:val="en-US"/>
        </w:rPr>
        <w:t xml:space="preserve"> http://www.southsouth-galaxy.org/</w:t>
      </w:r>
      <w:r w:rsidR="0081716B" w:rsidRPr="0081716B">
        <w:rPr>
          <w:szCs w:val="18"/>
          <w:lang w:val="en-US"/>
        </w:rPr>
        <w:t>.</w:t>
      </w:r>
    </w:p>
  </w:footnote>
  <w:footnote w:id="29">
    <w:p w14:paraId="30BE19B5" w14:textId="3B0932B1" w:rsidR="0031040D" w:rsidRPr="0081716B" w:rsidRDefault="0031040D" w:rsidP="000550F9">
      <w:pPr>
        <w:pStyle w:val="FootnoteText"/>
        <w:tabs>
          <w:tab w:val="clear" w:pos="1247"/>
          <w:tab w:val="left" w:pos="624"/>
          <w:tab w:val="left" w:pos="709"/>
        </w:tabs>
        <w:rPr>
          <w:szCs w:val="18"/>
          <w:lang w:val="en-US"/>
        </w:rPr>
      </w:pPr>
      <w:r w:rsidRPr="0081716B">
        <w:rPr>
          <w:rStyle w:val="FootnoteReference"/>
          <w:sz w:val="18"/>
          <w:lang w:val="en-US"/>
        </w:rPr>
        <w:t>25</w:t>
      </w:r>
      <w:r w:rsidRPr="0081716B">
        <w:rPr>
          <w:szCs w:val="18"/>
          <w:lang w:val="en-US"/>
        </w:rPr>
        <w:t xml:space="preserve"> https://www.southsouth-galaxy.org/wp-content/uploads/2020/03/South-South-Cooperation-in-Action-Stories-of-Success.pdf</w:t>
      </w:r>
      <w:r w:rsidR="0081716B" w:rsidRPr="0081716B">
        <w:rPr>
          <w:szCs w:val="18"/>
          <w:lang w:val="en-US"/>
        </w:rPr>
        <w:t>.</w:t>
      </w:r>
    </w:p>
  </w:footnote>
  <w:footnote w:id="30">
    <w:p w14:paraId="07ECF32C" w14:textId="761C6986" w:rsidR="0031040D" w:rsidRPr="0081716B" w:rsidRDefault="0031040D" w:rsidP="000550F9">
      <w:pPr>
        <w:pStyle w:val="FootnoteText"/>
        <w:tabs>
          <w:tab w:val="clear" w:pos="1247"/>
          <w:tab w:val="left" w:pos="624"/>
        </w:tabs>
        <w:rPr>
          <w:szCs w:val="18"/>
          <w:lang w:val="en-US"/>
        </w:rPr>
      </w:pPr>
      <w:r w:rsidRPr="0081716B">
        <w:rPr>
          <w:rStyle w:val="FootnoteReference"/>
          <w:sz w:val="18"/>
          <w:lang w:val="en-US"/>
        </w:rPr>
        <w:t>26</w:t>
      </w:r>
      <w:r w:rsidRPr="0081716B">
        <w:rPr>
          <w:szCs w:val="18"/>
          <w:lang w:val="en-US"/>
        </w:rPr>
        <w:t xml:space="preserve"> https://www.iucn-uk-peatlandprogramme.org/about-us/commission-ecosystem-management/iucn-resolution-43-reporting</w:t>
      </w:r>
      <w:r w:rsidR="0081716B" w:rsidRPr="0081716B">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F41CC" w14:textId="17132EC4" w:rsidR="00205694" w:rsidRDefault="00205694" w:rsidP="00D20A97">
    <w:pPr>
      <w:pStyle w:val="Header-pool"/>
    </w:pPr>
    <w:r w:rsidRPr="009145C3">
      <w:t>UNEP/EA.5/</w:t>
    </w:r>
    <w:r w:rsidR="002C091C">
      <w:t>INF/</w:t>
    </w:r>
    <w:r w:rsidR="003D0F6D">
      <w:t>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39997" w14:textId="65916BB6" w:rsidR="00205694" w:rsidRDefault="00205694" w:rsidP="003011FE">
    <w:pPr>
      <w:pStyle w:val="Header"/>
      <w:jc w:val="right"/>
    </w:pPr>
    <w:r w:rsidRPr="009145C3">
      <w:rPr>
        <w:bCs/>
      </w:rPr>
      <w:t>UNEP/EA.5/</w:t>
    </w:r>
    <w:r w:rsidR="002C091C">
      <w:rPr>
        <w:bCs/>
      </w:rPr>
      <w:t>INF/</w:t>
    </w:r>
    <w:r w:rsidR="003D0F6D">
      <w:rPr>
        <w:bCs/>
      </w:rPr>
      <w:t>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4D893" w14:textId="23E0E7A4" w:rsidR="00205694" w:rsidRPr="00B256F7" w:rsidRDefault="00205694" w:rsidP="00B47FB8">
    <w:pPr>
      <w:pStyle w:val="Header-pool"/>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15:restartNumberingAfterBreak="0">
    <w:nsid w:val="52A66A9D"/>
    <w:multiLevelType w:val="multilevel"/>
    <w:tmpl w:val="635E674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0"/>
  </w:num>
  <w:num w:numId="2">
    <w:abstractNumId w:val="1"/>
  </w:num>
  <w:num w:numId="3">
    <w:abstractNumId w:val="2"/>
    <w:lvlOverride w:ilvl="0">
      <w:lvl w:ilvl="0">
        <w:start w:val="1"/>
        <w:numFmt w:val="decimal"/>
        <w:pStyle w:val="Normalnumber"/>
        <w:lvlText w:val="%1."/>
        <w:lvlJc w:val="left"/>
        <w:pPr>
          <w:tabs>
            <w:tab w:val="num" w:pos="1134"/>
          </w:tabs>
          <w:ind w:left="1247" w:firstLine="0"/>
        </w:pPr>
        <w:rPr>
          <w:rFonts w:hint="default"/>
          <w:i w:val="0"/>
          <w:iCs/>
          <w:color w:val="000000" w:themeColor="text1"/>
        </w:rPr>
      </w:lvl>
    </w:lvlOverride>
    <w:lvlOverride w:ilvl="1">
      <w:lvl w:ilvl="1">
        <w:start w:val="1"/>
        <w:numFmt w:val="lowerLetter"/>
        <w:lvlText w:val="(%2)"/>
        <w:lvlJc w:val="left"/>
        <w:pPr>
          <w:tabs>
            <w:tab w:val="num" w:pos="1134"/>
          </w:tabs>
          <w:ind w:left="1247" w:firstLine="567"/>
        </w:pPr>
        <w:rPr>
          <w:rFonts w:hint="default"/>
          <w:b w:val="0"/>
          <w:bCs/>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isplayBackgroundShape/>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GB" w:vendorID="64" w:dllVersion="4096" w:nlCheck="1" w:checkStyle="0"/>
  <w:activeWritingStyle w:appName="MSWord" w:lang="fr-CA" w:vendorID="64" w:dllVersion="0" w:nlCheck="1" w:checkStyle="0"/>
  <w:activeWritingStyle w:appName="MSWord" w:lang="fr-CH" w:vendorID="64" w:dllVersion="0" w:nlCheck="1" w:checkStyle="0"/>
  <w:activeWritingStyle w:appName="MSWord" w:lang="en-CA"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C33"/>
    <w:rsid w:val="00001469"/>
    <w:rsid w:val="00001C84"/>
    <w:rsid w:val="0000346C"/>
    <w:rsid w:val="000037AD"/>
    <w:rsid w:val="00004091"/>
    <w:rsid w:val="00010488"/>
    <w:rsid w:val="00010B0C"/>
    <w:rsid w:val="000136BD"/>
    <w:rsid w:val="00013B50"/>
    <w:rsid w:val="00013D09"/>
    <w:rsid w:val="000149E6"/>
    <w:rsid w:val="00016122"/>
    <w:rsid w:val="00017A68"/>
    <w:rsid w:val="000205DD"/>
    <w:rsid w:val="00021234"/>
    <w:rsid w:val="000247B0"/>
    <w:rsid w:val="00024FEE"/>
    <w:rsid w:val="00025488"/>
    <w:rsid w:val="00026997"/>
    <w:rsid w:val="00031FF6"/>
    <w:rsid w:val="000323ED"/>
    <w:rsid w:val="00033E0B"/>
    <w:rsid w:val="00035EDE"/>
    <w:rsid w:val="00036563"/>
    <w:rsid w:val="00036DEE"/>
    <w:rsid w:val="00037E73"/>
    <w:rsid w:val="000446CB"/>
    <w:rsid w:val="00045A3B"/>
    <w:rsid w:val="00045C29"/>
    <w:rsid w:val="00046869"/>
    <w:rsid w:val="00046D00"/>
    <w:rsid w:val="000509B4"/>
    <w:rsid w:val="00051BC6"/>
    <w:rsid w:val="00052580"/>
    <w:rsid w:val="000550F9"/>
    <w:rsid w:val="00057AB6"/>
    <w:rsid w:val="0006035B"/>
    <w:rsid w:val="00063B01"/>
    <w:rsid w:val="00065523"/>
    <w:rsid w:val="00070024"/>
    <w:rsid w:val="00071886"/>
    <w:rsid w:val="00072313"/>
    <w:rsid w:val="000742BC"/>
    <w:rsid w:val="0007452F"/>
    <w:rsid w:val="00074CCA"/>
    <w:rsid w:val="00075A93"/>
    <w:rsid w:val="000802E0"/>
    <w:rsid w:val="00081381"/>
    <w:rsid w:val="000817E2"/>
    <w:rsid w:val="00082A0C"/>
    <w:rsid w:val="00083504"/>
    <w:rsid w:val="000840D1"/>
    <w:rsid w:val="000847E6"/>
    <w:rsid w:val="00084B1E"/>
    <w:rsid w:val="00084D5B"/>
    <w:rsid w:val="000852A4"/>
    <w:rsid w:val="00086B5C"/>
    <w:rsid w:val="000875A6"/>
    <w:rsid w:val="00095BE1"/>
    <w:rsid w:val="0009640C"/>
    <w:rsid w:val="00096A17"/>
    <w:rsid w:val="00097CE9"/>
    <w:rsid w:val="000A0123"/>
    <w:rsid w:val="000A0BF9"/>
    <w:rsid w:val="000A1C6A"/>
    <w:rsid w:val="000A1DF9"/>
    <w:rsid w:val="000A33B2"/>
    <w:rsid w:val="000A57B5"/>
    <w:rsid w:val="000A75DE"/>
    <w:rsid w:val="000A7AED"/>
    <w:rsid w:val="000B02DD"/>
    <w:rsid w:val="000B22A2"/>
    <w:rsid w:val="000B22BE"/>
    <w:rsid w:val="000B2392"/>
    <w:rsid w:val="000B2B9A"/>
    <w:rsid w:val="000B2BAE"/>
    <w:rsid w:val="000B38DE"/>
    <w:rsid w:val="000B3C1B"/>
    <w:rsid w:val="000B4951"/>
    <w:rsid w:val="000B6AF9"/>
    <w:rsid w:val="000B7A70"/>
    <w:rsid w:val="000B7EE1"/>
    <w:rsid w:val="000C1775"/>
    <w:rsid w:val="000C1E13"/>
    <w:rsid w:val="000C208B"/>
    <w:rsid w:val="000C2A52"/>
    <w:rsid w:val="000C3C27"/>
    <w:rsid w:val="000C3E44"/>
    <w:rsid w:val="000C558C"/>
    <w:rsid w:val="000C5763"/>
    <w:rsid w:val="000C5DA5"/>
    <w:rsid w:val="000C683C"/>
    <w:rsid w:val="000C77EF"/>
    <w:rsid w:val="000C783A"/>
    <w:rsid w:val="000D041D"/>
    <w:rsid w:val="000D04D6"/>
    <w:rsid w:val="000D2592"/>
    <w:rsid w:val="000D2B20"/>
    <w:rsid w:val="000D2DE2"/>
    <w:rsid w:val="000D33C0"/>
    <w:rsid w:val="000D3BFE"/>
    <w:rsid w:val="000D5014"/>
    <w:rsid w:val="000D5F10"/>
    <w:rsid w:val="000D6941"/>
    <w:rsid w:val="000D6D9E"/>
    <w:rsid w:val="000D736B"/>
    <w:rsid w:val="000D7A49"/>
    <w:rsid w:val="000E3A82"/>
    <w:rsid w:val="000E6495"/>
    <w:rsid w:val="000E752D"/>
    <w:rsid w:val="000F067B"/>
    <w:rsid w:val="000F22F1"/>
    <w:rsid w:val="000F37D3"/>
    <w:rsid w:val="000F395A"/>
    <w:rsid w:val="000F6BDE"/>
    <w:rsid w:val="001010C2"/>
    <w:rsid w:val="00101813"/>
    <w:rsid w:val="001041F3"/>
    <w:rsid w:val="001044B9"/>
    <w:rsid w:val="00106D62"/>
    <w:rsid w:val="00107780"/>
    <w:rsid w:val="00110862"/>
    <w:rsid w:val="0011200E"/>
    <w:rsid w:val="00116097"/>
    <w:rsid w:val="001202E3"/>
    <w:rsid w:val="001203F0"/>
    <w:rsid w:val="00122140"/>
    <w:rsid w:val="00123699"/>
    <w:rsid w:val="00124B75"/>
    <w:rsid w:val="00124EC6"/>
    <w:rsid w:val="00126F38"/>
    <w:rsid w:val="001279DD"/>
    <w:rsid w:val="0013059D"/>
    <w:rsid w:val="00130CBE"/>
    <w:rsid w:val="001311E8"/>
    <w:rsid w:val="00132073"/>
    <w:rsid w:val="001324D1"/>
    <w:rsid w:val="001335FE"/>
    <w:rsid w:val="00133904"/>
    <w:rsid w:val="00137C33"/>
    <w:rsid w:val="00141238"/>
    <w:rsid w:val="00141492"/>
    <w:rsid w:val="00141A55"/>
    <w:rsid w:val="001431FE"/>
    <w:rsid w:val="001446A3"/>
    <w:rsid w:val="00147AD5"/>
    <w:rsid w:val="001508EF"/>
    <w:rsid w:val="00152AD9"/>
    <w:rsid w:val="00154466"/>
    <w:rsid w:val="0015530A"/>
    <w:rsid w:val="00155395"/>
    <w:rsid w:val="001556C8"/>
    <w:rsid w:val="00157EC1"/>
    <w:rsid w:val="00160D74"/>
    <w:rsid w:val="0016608E"/>
    <w:rsid w:val="0016724A"/>
    <w:rsid w:val="00167D02"/>
    <w:rsid w:val="00170859"/>
    <w:rsid w:val="00170BE2"/>
    <w:rsid w:val="001738A4"/>
    <w:rsid w:val="00173B61"/>
    <w:rsid w:val="0017596C"/>
    <w:rsid w:val="0018033E"/>
    <w:rsid w:val="00181109"/>
    <w:rsid w:val="0018141E"/>
    <w:rsid w:val="001819F7"/>
    <w:rsid w:val="00181EC8"/>
    <w:rsid w:val="001826A6"/>
    <w:rsid w:val="00184349"/>
    <w:rsid w:val="00184D48"/>
    <w:rsid w:val="00186227"/>
    <w:rsid w:val="00187E36"/>
    <w:rsid w:val="00193CEE"/>
    <w:rsid w:val="001956CC"/>
    <w:rsid w:val="001957F2"/>
    <w:rsid w:val="00195C5D"/>
    <w:rsid w:val="00195F33"/>
    <w:rsid w:val="00196F85"/>
    <w:rsid w:val="00197582"/>
    <w:rsid w:val="001A5506"/>
    <w:rsid w:val="001A724C"/>
    <w:rsid w:val="001B1617"/>
    <w:rsid w:val="001B3AE2"/>
    <w:rsid w:val="001B504B"/>
    <w:rsid w:val="001B62CA"/>
    <w:rsid w:val="001B66F3"/>
    <w:rsid w:val="001B71C4"/>
    <w:rsid w:val="001C0488"/>
    <w:rsid w:val="001C0DF6"/>
    <w:rsid w:val="001C1019"/>
    <w:rsid w:val="001C1EA7"/>
    <w:rsid w:val="001C2B40"/>
    <w:rsid w:val="001C2B6B"/>
    <w:rsid w:val="001D13D1"/>
    <w:rsid w:val="001D2265"/>
    <w:rsid w:val="001D287C"/>
    <w:rsid w:val="001D2C42"/>
    <w:rsid w:val="001D3874"/>
    <w:rsid w:val="001D4870"/>
    <w:rsid w:val="001D6573"/>
    <w:rsid w:val="001D7E75"/>
    <w:rsid w:val="001E20C5"/>
    <w:rsid w:val="001E2E2E"/>
    <w:rsid w:val="001E41A6"/>
    <w:rsid w:val="001E56D2"/>
    <w:rsid w:val="001E7D56"/>
    <w:rsid w:val="001F0AFC"/>
    <w:rsid w:val="001F0D96"/>
    <w:rsid w:val="001F18C2"/>
    <w:rsid w:val="001F40D0"/>
    <w:rsid w:val="001F5B2E"/>
    <w:rsid w:val="001F600A"/>
    <w:rsid w:val="001F6E5D"/>
    <w:rsid w:val="001F75DE"/>
    <w:rsid w:val="00200D58"/>
    <w:rsid w:val="002013BE"/>
    <w:rsid w:val="0020296F"/>
    <w:rsid w:val="00203E1F"/>
    <w:rsid w:val="0020437B"/>
    <w:rsid w:val="00205694"/>
    <w:rsid w:val="002063A4"/>
    <w:rsid w:val="0020756C"/>
    <w:rsid w:val="0021145B"/>
    <w:rsid w:val="00211C6F"/>
    <w:rsid w:val="00212117"/>
    <w:rsid w:val="002148AA"/>
    <w:rsid w:val="00217024"/>
    <w:rsid w:val="00221C36"/>
    <w:rsid w:val="002233F8"/>
    <w:rsid w:val="00224D4A"/>
    <w:rsid w:val="00226E6A"/>
    <w:rsid w:val="00231027"/>
    <w:rsid w:val="00231A23"/>
    <w:rsid w:val="00235D9E"/>
    <w:rsid w:val="0023755E"/>
    <w:rsid w:val="00240323"/>
    <w:rsid w:val="00240757"/>
    <w:rsid w:val="0024150B"/>
    <w:rsid w:val="00241CEF"/>
    <w:rsid w:val="0024348F"/>
    <w:rsid w:val="00243D36"/>
    <w:rsid w:val="00245F38"/>
    <w:rsid w:val="00246974"/>
    <w:rsid w:val="00247707"/>
    <w:rsid w:val="0025253F"/>
    <w:rsid w:val="00253694"/>
    <w:rsid w:val="00253CC4"/>
    <w:rsid w:val="00254537"/>
    <w:rsid w:val="00254A20"/>
    <w:rsid w:val="0026018E"/>
    <w:rsid w:val="002608D0"/>
    <w:rsid w:val="00261979"/>
    <w:rsid w:val="00262C9E"/>
    <w:rsid w:val="002632A0"/>
    <w:rsid w:val="00271E8D"/>
    <w:rsid w:val="00276673"/>
    <w:rsid w:val="00277E0A"/>
    <w:rsid w:val="0028019F"/>
    <w:rsid w:val="00285E7D"/>
    <w:rsid w:val="00286740"/>
    <w:rsid w:val="00287769"/>
    <w:rsid w:val="00287E06"/>
    <w:rsid w:val="00290122"/>
    <w:rsid w:val="002929D8"/>
    <w:rsid w:val="00292AC3"/>
    <w:rsid w:val="00292CB0"/>
    <w:rsid w:val="002948CA"/>
    <w:rsid w:val="00294D02"/>
    <w:rsid w:val="002978BA"/>
    <w:rsid w:val="002A074D"/>
    <w:rsid w:val="002A237D"/>
    <w:rsid w:val="002A2A18"/>
    <w:rsid w:val="002A4741"/>
    <w:rsid w:val="002A4B66"/>
    <w:rsid w:val="002A4C53"/>
    <w:rsid w:val="002A504D"/>
    <w:rsid w:val="002A5CFF"/>
    <w:rsid w:val="002B0672"/>
    <w:rsid w:val="002B0B29"/>
    <w:rsid w:val="002B18ED"/>
    <w:rsid w:val="002B247F"/>
    <w:rsid w:val="002B416E"/>
    <w:rsid w:val="002B5A06"/>
    <w:rsid w:val="002B6135"/>
    <w:rsid w:val="002B6E65"/>
    <w:rsid w:val="002B727F"/>
    <w:rsid w:val="002B7A81"/>
    <w:rsid w:val="002B7FF8"/>
    <w:rsid w:val="002C091C"/>
    <w:rsid w:val="002C1008"/>
    <w:rsid w:val="002C145D"/>
    <w:rsid w:val="002C2902"/>
    <w:rsid w:val="002C2C3E"/>
    <w:rsid w:val="002C3690"/>
    <w:rsid w:val="002C3CB5"/>
    <w:rsid w:val="002C533E"/>
    <w:rsid w:val="002C58FF"/>
    <w:rsid w:val="002C5F25"/>
    <w:rsid w:val="002C67AE"/>
    <w:rsid w:val="002D027F"/>
    <w:rsid w:val="002D25C1"/>
    <w:rsid w:val="002D412F"/>
    <w:rsid w:val="002D6483"/>
    <w:rsid w:val="002D774E"/>
    <w:rsid w:val="002D7A85"/>
    <w:rsid w:val="002D7B60"/>
    <w:rsid w:val="002E2C79"/>
    <w:rsid w:val="002E3F01"/>
    <w:rsid w:val="002E48A2"/>
    <w:rsid w:val="002E56AD"/>
    <w:rsid w:val="002F3233"/>
    <w:rsid w:val="002F3A35"/>
    <w:rsid w:val="002F4761"/>
    <w:rsid w:val="002F5C79"/>
    <w:rsid w:val="002F65AD"/>
    <w:rsid w:val="002F681A"/>
    <w:rsid w:val="002F6C76"/>
    <w:rsid w:val="002F7306"/>
    <w:rsid w:val="00300DF1"/>
    <w:rsid w:val="003011FE"/>
    <w:rsid w:val="0030136C"/>
    <w:rsid w:val="003014CB"/>
    <w:rsid w:val="003019E2"/>
    <w:rsid w:val="00301B12"/>
    <w:rsid w:val="00301D8F"/>
    <w:rsid w:val="00304849"/>
    <w:rsid w:val="003053FE"/>
    <w:rsid w:val="0031040D"/>
    <w:rsid w:val="00310FF6"/>
    <w:rsid w:val="0031157A"/>
    <w:rsid w:val="00311590"/>
    <w:rsid w:val="0031413F"/>
    <w:rsid w:val="003148BB"/>
    <w:rsid w:val="00314E06"/>
    <w:rsid w:val="00316D86"/>
    <w:rsid w:val="00317414"/>
    <w:rsid w:val="00317858"/>
    <w:rsid w:val="00317976"/>
    <w:rsid w:val="00323476"/>
    <w:rsid w:val="00324FE3"/>
    <w:rsid w:val="003255E4"/>
    <w:rsid w:val="00326A58"/>
    <w:rsid w:val="00330FB0"/>
    <w:rsid w:val="00332E12"/>
    <w:rsid w:val="00334689"/>
    <w:rsid w:val="00335447"/>
    <w:rsid w:val="00343456"/>
    <w:rsid w:val="0034367F"/>
    <w:rsid w:val="003437EB"/>
    <w:rsid w:val="003443DC"/>
    <w:rsid w:val="00347BF3"/>
    <w:rsid w:val="00351D17"/>
    <w:rsid w:val="00352686"/>
    <w:rsid w:val="00352A5E"/>
    <w:rsid w:val="00353B01"/>
    <w:rsid w:val="00355D36"/>
    <w:rsid w:val="00355EA9"/>
    <w:rsid w:val="00355F79"/>
    <w:rsid w:val="00356B1F"/>
    <w:rsid w:val="003578DE"/>
    <w:rsid w:val="00361BAE"/>
    <w:rsid w:val="0036549B"/>
    <w:rsid w:val="00365FCE"/>
    <w:rsid w:val="003667A6"/>
    <w:rsid w:val="0036775E"/>
    <w:rsid w:val="00373B92"/>
    <w:rsid w:val="003744AD"/>
    <w:rsid w:val="00376DED"/>
    <w:rsid w:val="003770FF"/>
    <w:rsid w:val="00377D33"/>
    <w:rsid w:val="00380B0B"/>
    <w:rsid w:val="003824BC"/>
    <w:rsid w:val="00384034"/>
    <w:rsid w:val="00386775"/>
    <w:rsid w:val="003876F8"/>
    <w:rsid w:val="003901AD"/>
    <w:rsid w:val="00391447"/>
    <w:rsid w:val="00393B24"/>
    <w:rsid w:val="00394054"/>
    <w:rsid w:val="003941DD"/>
    <w:rsid w:val="00396257"/>
    <w:rsid w:val="00396BB3"/>
    <w:rsid w:val="00397EB8"/>
    <w:rsid w:val="003A13C5"/>
    <w:rsid w:val="003A2A20"/>
    <w:rsid w:val="003A2C63"/>
    <w:rsid w:val="003A2D2A"/>
    <w:rsid w:val="003A4FD0"/>
    <w:rsid w:val="003A5CD1"/>
    <w:rsid w:val="003A69D1"/>
    <w:rsid w:val="003A7705"/>
    <w:rsid w:val="003A77F1"/>
    <w:rsid w:val="003B1545"/>
    <w:rsid w:val="003B2AD2"/>
    <w:rsid w:val="003B36D0"/>
    <w:rsid w:val="003B3FBB"/>
    <w:rsid w:val="003B501E"/>
    <w:rsid w:val="003C0BF6"/>
    <w:rsid w:val="003C2753"/>
    <w:rsid w:val="003C409D"/>
    <w:rsid w:val="003C48F9"/>
    <w:rsid w:val="003C4ACB"/>
    <w:rsid w:val="003C4B69"/>
    <w:rsid w:val="003C4D8D"/>
    <w:rsid w:val="003C5BA6"/>
    <w:rsid w:val="003C5E77"/>
    <w:rsid w:val="003C5EF3"/>
    <w:rsid w:val="003C68F5"/>
    <w:rsid w:val="003C7A17"/>
    <w:rsid w:val="003D071C"/>
    <w:rsid w:val="003D08D1"/>
    <w:rsid w:val="003D0DC9"/>
    <w:rsid w:val="003D0F6D"/>
    <w:rsid w:val="003D1C6A"/>
    <w:rsid w:val="003D1FD9"/>
    <w:rsid w:val="003D2304"/>
    <w:rsid w:val="003D2314"/>
    <w:rsid w:val="003D2801"/>
    <w:rsid w:val="003D5604"/>
    <w:rsid w:val="003D7A6D"/>
    <w:rsid w:val="003E2FE8"/>
    <w:rsid w:val="003E315B"/>
    <w:rsid w:val="003E69E3"/>
    <w:rsid w:val="003E77BE"/>
    <w:rsid w:val="003E77E7"/>
    <w:rsid w:val="003F0E85"/>
    <w:rsid w:val="003F13F5"/>
    <w:rsid w:val="003F1403"/>
    <w:rsid w:val="003F1496"/>
    <w:rsid w:val="003F2C13"/>
    <w:rsid w:val="003F2F75"/>
    <w:rsid w:val="003F5834"/>
    <w:rsid w:val="003F5979"/>
    <w:rsid w:val="003F69DA"/>
    <w:rsid w:val="003F6D94"/>
    <w:rsid w:val="003F7219"/>
    <w:rsid w:val="0040258A"/>
    <w:rsid w:val="00403FE2"/>
    <w:rsid w:val="00405821"/>
    <w:rsid w:val="00406E44"/>
    <w:rsid w:val="0040783F"/>
    <w:rsid w:val="00410C55"/>
    <w:rsid w:val="00411942"/>
    <w:rsid w:val="00411B27"/>
    <w:rsid w:val="00412E2F"/>
    <w:rsid w:val="00413F9B"/>
    <w:rsid w:val="00414B6E"/>
    <w:rsid w:val="0041673C"/>
    <w:rsid w:val="00416854"/>
    <w:rsid w:val="00417725"/>
    <w:rsid w:val="00420D92"/>
    <w:rsid w:val="0042145B"/>
    <w:rsid w:val="004224CC"/>
    <w:rsid w:val="0042264F"/>
    <w:rsid w:val="0042297E"/>
    <w:rsid w:val="004239A8"/>
    <w:rsid w:val="00424FD0"/>
    <w:rsid w:val="0042538A"/>
    <w:rsid w:val="00425C85"/>
    <w:rsid w:val="00425E23"/>
    <w:rsid w:val="0042675C"/>
    <w:rsid w:val="00426F92"/>
    <w:rsid w:val="0042798C"/>
    <w:rsid w:val="004302CF"/>
    <w:rsid w:val="0043228C"/>
    <w:rsid w:val="004329EB"/>
    <w:rsid w:val="0043404F"/>
    <w:rsid w:val="00435B01"/>
    <w:rsid w:val="004365E7"/>
    <w:rsid w:val="0043682B"/>
    <w:rsid w:val="00437F26"/>
    <w:rsid w:val="00444097"/>
    <w:rsid w:val="00445487"/>
    <w:rsid w:val="00447486"/>
    <w:rsid w:val="004479AD"/>
    <w:rsid w:val="00450720"/>
    <w:rsid w:val="00452611"/>
    <w:rsid w:val="0045413D"/>
    <w:rsid w:val="00454769"/>
    <w:rsid w:val="004600EE"/>
    <w:rsid w:val="004601D8"/>
    <w:rsid w:val="004606A5"/>
    <w:rsid w:val="0046283A"/>
    <w:rsid w:val="00462898"/>
    <w:rsid w:val="004637E6"/>
    <w:rsid w:val="0046488C"/>
    <w:rsid w:val="0046645A"/>
    <w:rsid w:val="00466991"/>
    <w:rsid w:val="00466E40"/>
    <w:rsid w:val="004671AC"/>
    <w:rsid w:val="00467344"/>
    <w:rsid w:val="00470128"/>
    <w:rsid w:val="0047064C"/>
    <w:rsid w:val="00470696"/>
    <w:rsid w:val="0047119D"/>
    <w:rsid w:val="00473417"/>
    <w:rsid w:val="004762CE"/>
    <w:rsid w:val="004763D9"/>
    <w:rsid w:val="00476892"/>
    <w:rsid w:val="00476E04"/>
    <w:rsid w:val="00483037"/>
    <w:rsid w:val="004831FD"/>
    <w:rsid w:val="00490023"/>
    <w:rsid w:val="004907F5"/>
    <w:rsid w:val="004910B5"/>
    <w:rsid w:val="00495028"/>
    <w:rsid w:val="004A1532"/>
    <w:rsid w:val="004A2A9E"/>
    <w:rsid w:val="004A3285"/>
    <w:rsid w:val="004A33F7"/>
    <w:rsid w:val="004A3EE5"/>
    <w:rsid w:val="004A42E1"/>
    <w:rsid w:val="004B162C"/>
    <w:rsid w:val="004B25B1"/>
    <w:rsid w:val="004B316E"/>
    <w:rsid w:val="004B3DC7"/>
    <w:rsid w:val="004B5B56"/>
    <w:rsid w:val="004B6014"/>
    <w:rsid w:val="004B7609"/>
    <w:rsid w:val="004C11F4"/>
    <w:rsid w:val="004C16E3"/>
    <w:rsid w:val="004C1F16"/>
    <w:rsid w:val="004C239B"/>
    <w:rsid w:val="004C3650"/>
    <w:rsid w:val="004C3DBE"/>
    <w:rsid w:val="004C4976"/>
    <w:rsid w:val="004C5C96"/>
    <w:rsid w:val="004C6799"/>
    <w:rsid w:val="004D06A4"/>
    <w:rsid w:val="004D2D36"/>
    <w:rsid w:val="004D4614"/>
    <w:rsid w:val="004D6E70"/>
    <w:rsid w:val="004E0753"/>
    <w:rsid w:val="004E0C51"/>
    <w:rsid w:val="004E131A"/>
    <w:rsid w:val="004E1A11"/>
    <w:rsid w:val="004E1AF7"/>
    <w:rsid w:val="004E1CB4"/>
    <w:rsid w:val="004E437E"/>
    <w:rsid w:val="004E4804"/>
    <w:rsid w:val="004E6294"/>
    <w:rsid w:val="004E76DD"/>
    <w:rsid w:val="004E7AB3"/>
    <w:rsid w:val="004E7D1B"/>
    <w:rsid w:val="004F02F1"/>
    <w:rsid w:val="004F0FA0"/>
    <w:rsid w:val="004F1A81"/>
    <w:rsid w:val="004F1D9E"/>
    <w:rsid w:val="004F2639"/>
    <w:rsid w:val="004F2731"/>
    <w:rsid w:val="004F3F76"/>
    <w:rsid w:val="004F748A"/>
    <w:rsid w:val="004F7B5B"/>
    <w:rsid w:val="005006F0"/>
    <w:rsid w:val="00500D2E"/>
    <w:rsid w:val="005040B8"/>
    <w:rsid w:val="005131E2"/>
    <w:rsid w:val="0051433C"/>
    <w:rsid w:val="00514EB0"/>
    <w:rsid w:val="005178CD"/>
    <w:rsid w:val="00520C38"/>
    <w:rsid w:val="005218D9"/>
    <w:rsid w:val="00521CDB"/>
    <w:rsid w:val="00522166"/>
    <w:rsid w:val="00522F82"/>
    <w:rsid w:val="0052356D"/>
    <w:rsid w:val="005243FF"/>
    <w:rsid w:val="005244BF"/>
    <w:rsid w:val="00524FC1"/>
    <w:rsid w:val="005253E9"/>
    <w:rsid w:val="00527CBC"/>
    <w:rsid w:val="005308B6"/>
    <w:rsid w:val="00530ABA"/>
    <w:rsid w:val="00530BCC"/>
    <w:rsid w:val="00531744"/>
    <w:rsid w:val="00531849"/>
    <w:rsid w:val="005338B0"/>
    <w:rsid w:val="0053399A"/>
    <w:rsid w:val="00534CEE"/>
    <w:rsid w:val="005354BB"/>
    <w:rsid w:val="00536186"/>
    <w:rsid w:val="00537186"/>
    <w:rsid w:val="005371ED"/>
    <w:rsid w:val="0053751C"/>
    <w:rsid w:val="00540722"/>
    <w:rsid w:val="00540927"/>
    <w:rsid w:val="00541CDC"/>
    <w:rsid w:val="0054425B"/>
    <w:rsid w:val="00544CBB"/>
    <w:rsid w:val="0054629C"/>
    <w:rsid w:val="00550999"/>
    <w:rsid w:val="005531E8"/>
    <w:rsid w:val="00553D88"/>
    <w:rsid w:val="0055401C"/>
    <w:rsid w:val="00555247"/>
    <w:rsid w:val="00557167"/>
    <w:rsid w:val="00562927"/>
    <w:rsid w:val="005638B4"/>
    <w:rsid w:val="00564259"/>
    <w:rsid w:val="00565960"/>
    <w:rsid w:val="00565E67"/>
    <w:rsid w:val="00566C1E"/>
    <w:rsid w:val="00567989"/>
    <w:rsid w:val="00570EE0"/>
    <w:rsid w:val="0057315F"/>
    <w:rsid w:val="00573325"/>
    <w:rsid w:val="00573881"/>
    <w:rsid w:val="00574D2E"/>
    <w:rsid w:val="00576104"/>
    <w:rsid w:val="005762B5"/>
    <w:rsid w:val="00576E40"/>
    <w:rsid w:val="00583171"/>
    <w:rsid w:val="00583A44"/>
    <w:rsid w:val="005871F3"/>
    <w:rsid w:val="00590F3C"/>
    <w:rsid w:val="00592538"/>
    <w:rsid w:val="00595A67"/>
    <w:rsid w:val="0059615C"/>
    <w:rsid w:val="005963F5"/>
    <w:rsid w:val="005973D6"/>
    <w:rsid w:val="005A1C15"/>
    <w:rsid w:val="005A3093"/>
    <w:rsid w:val="005A4889"/>
    <w:rsid w:val="005A5910"/>
    <w:rsid w:val="005A6900"/>
    <w:rsid w:val="005B0F3A"/>
    <w:rsid w:val="005B16B0"/>
    <w:rsid w:val="005B353A"/>
    <w:rsid w:val="005B378C"/>
    <w:rsid w:val="005B728E"/>
    <w:rsid w:val="005B7FC6"/>
    <w:rsid w:val="005C08B5"/>
    <w:rsid w:val="005C2934"/>
    <w:rsid w:val="005C2AA7"/>
    <w:rsid w:val="005C2D28"/>
    <w:rsid w:val="005C3370"/>
    <w:rsid w:val="005C3481"/>
    <w:rsid w:val="005C4FF9"/>
    <w:rsid w:val="005C5831"/>
    <w:rsid w:val="005C67C8"/>
    <w:rsid w:val="005C726A"/>
    <w:rsid w:val="005D0249"/>
    <w:rsid w:val="005D083F"/>
    <w:rsid w:val="005D0E1C"/>
    <w:rsid w:val="005D2799"/>
    <w:rsid w:val="005D3FBC"/>
    <w:rsid w:val="005D4B8E"/>
    <w:rsid w:val="005D4BB8"/>
    <w:rsid w:val="005D604A"/>
    <w:rsid w:val="005D6E8C"/>
    <w:rsid w:val="005D7587"/>
    <w:rsid w:val="005E258E"/>
    <w:rsid w:val="005E2FB5"/>
    <w:rsid w:val="005E3054"/>
    <w:rsid w:val="005E4FBB"/>
    <w:rsid w:val="005E7D5C"/>
    <w:rsid w:val="005F02DC"/>
    <w:rsid w:val="005F04E3"/>
    <w:rsid w:val="005F100C"/>
    <w:rsid w:val="005F10F3"/>
    <w:rsid w:val="005F4DBB"/>
    <w:rsid w:val="005F650D"/>
    <w:rsid w:val="005F68DA"/>
    <w:rsid w:val="005F6D43"/>
    <w:rsid w:val="00602704"/>
    <w:rsid w:val="00603BDA"/>
    <w:rsid w:val="00604C97"/>
    <w:rsid w:val="006073F8"/>
    <w:rsid w:val="0060773B"/>
    <w:rsid w:val="00612B2F"/>
    <w:rsid w:val="006136C1"/>
    <w:rsid w:val="00614F2E"/>
    <w:rsid w:val="006155DC"/>
    <w:rsid w:val="006157B5"/>
    <w:rsid w:val="00615E9C"/>
    <w:rsid w:val="006220B7"/>
    <w:rsid w:val="00623468"/>
    <w:rsid w:val="0062474D"/>
    <w:rsid w:val="00625D32"/>
    <w:rsid w:val="00625FAC"/>
    <w:rsid w:val="006268BF"/>
    <w:rsid w:val="00626FC6"/>
    <w:rsid w:val="006303B4"/>
    <w:rsid w:val="00630C72"/>
    <w:rsid w:val="00630ECC"/>
    <w:rsid w:val="00631860"/>
    <w:rsid w:val="00631A75"/>
    <w:rsid w:val="006325F1"/>
    <w:rsid w:val="00633D3D"/>
    <w:rsid w:val="00635D38"/>
    <w:rsid w:val="006367C6"/>
    <w:rsid w:val="00641703"/>
    <w:rsid w:val="006431A6"/>
    <w:rsid w:val="00644EE7"/>
    <w:rsid w:val="006459F6"/>
    <w:rsid w:val="00645E55"/>
    <w:rsid w:val="006462E7"/>
    <w:rsid w:val="006501AD"/>
    <w:rsid w:val="00650D47"/>
    <w:rsid w:val="00651BFA"/>
    <w:rsid w:val="0065301D"/>
    <w:rsid w:val="00653243"/>
    <w:rsid w:val="00653B68"/>
    <w:rsid w:val="00654475"/>
    <w:rsid w:val="00654613"/>
    <w:rsid w:val="006566F0"/>
    <w:rsid w:val="00657946"/>
    <w:rsid w:val="00665A4B"/>
    <w:rsid w:val="00666A56"/>
    <w:rsid w:val="006675F8"/>
    <w:rsid w:val="006702A1"/>
    <w:rsid w:val="00671FD3"/>
    <w:rsid w:val="006721BF"/>
    <w:rsid w:val="006751D1"/>
    <w:rsid w:val="00675BB6"/>
    <w:rsid w:val="00675D42"/>
    <w:rsid w:val="00675F0E"/>
    <w:rsid w:val="00676C44"/>
    <w:rsid w:val="00677E3A"/>
    <w:rsid w:val="0068148B"/>
    <w:rsid w:val="00681AB6"/>
    <w:rsid w:val="00682D3F"/>
    <w:rsid w:val="00682FA5"/>
    <w:rsid w:val="0068387F"/>
    <w:rsid w:val="006851BF"/>
    <w:rsid w:val="0068536E"/>
    <w:rsid w:val="00687C9F"/>
    <w:rsid w:val="0069292A"/>
    <w:rsid w:val="00692E2A"/>
    <w:rsid w:val="0069376A"/>
    <w:rsid w:val="00696135"/>
    <w:rsid w:val="00696355"/>
    <w:rsid w:val="006968E8"/>
    <w:rsid w:val="006972B1"/>
    <w:rsid w:val="006A0D4D"/>
    <w:rsid w:val="006A2A87"/>
    <w:rsid w:val="006A4073"/>
    <w:rsid w:val="006A670C"/>
    <w:rsid w:val="006A76F2"/>
    <w:rsid w:val="006A782F"/>
    <w:rsid w:val="006A7BEF"/>
    <w:rsid w:val="006B08EA"/>
    <w:rsid w:val="006B16E0"/>
    <w:rsid w:val="006B429C"/>
    <w:rsid w:val="006B5992"/>
    <w:rsid w:val="006B606C"/>
    <w:rsid w:val="006B77A0"/>
    <w:rsid w:val="006C256B"/>
    <w:rsid w:val="006C4D2C"/>
    <w:rsid w:val="006C621E"/>
    <w:rsid w:val="006C69BC"/>
    <w:rsid w:val="006C6EA3"/>
    <w:rsid w:val="006C7BEA"/>
    <w:rsid w:val="006D1BB2"/>
    <w:rsid w:val="006D2288"/>
    <w:rsid w:val="006D4E6C"/>
    <w:rsid w:val="006D6288"/>
    <w:rsid w:val="006D7EFB"/>
    <w:rsid w:val="006E0261"/>
    <w:rsid w:val="006E0778"/>
    <w:rsid w:val="006E0C87"/>
    <w:rsid w:val="006E2662"/>
    <w:rsid w:val="006E30A3"/>
    <w:rsid w:val="006E372A"/>
    <w:rsid w:val="006E5931"/>
    <w:rsid w:val="006E6366"/>
    <w:rsid w:val="006E6672"/>
    <w:rsid w:val="006E6722"/>
    <w:rsid w:val="006E6FE7"/>
    <w:rsid w:val="006E7C29"/>
    <w:rsid w:val="006F0AD6"/>
    <w:rsid w:val="006F0FEE"/>
    <w:rsid w:val="006F2248"/>
    <w:rsid w:val="006F7597"/>
    <w:rsid w:val="00700DD2"/>
    <w:rsid w:val="00700DF0"/>
    <w:rsid w:val="007022A4"/>
    <w:rsid w:val="00702311"/>
    <w:rsid w:val="007027B9"/>
    <w:rsid w:val="00704206"/>
    <w:rsid w:val="00704EE4"/>
    <w:rsid w:val="007051BC"/>
    <w:rsid w:val="007056CA"/>
    <w:rsid w:val="00705C1C"/>
    <w:rsid w:val="00705C26"/>
    <w:rsid w:val="00706576"/>
    <w:rsid w:val="007152D1"/>
    <w:rsid w:val="0071560B"/>
    <w:rsid w:val="007158AA"/>
    <w:rsid w:val="00715E88"/>
    <w:rsid w:val="00716975"/>
    <w:rsid w:val="007223F6"/>
    <w:rsid w:val="00722464"/>
    <w:rsid w:val="00723133"/>
    <w:rsid w:val="00723136"/>
    <w:rsid w:val="0072522E"/>
    <w:rsid w:val="007256BD"/>
    <w:rsid w:val="00725BF6"/>
    <w:rsid w:val="00725D00"/>
    <w:rsid w:val="00726879"/>
    <w:rsid w:val="007269B3"/>
    <w:rsid w:val="007310EC"/>
    <w:rsid w:val="00731F50"/>
    <w:rsid w:val="007326AE"/>
    <w:rsid w:val="00732764"/>
    <w:rsid w:val="0073468C"/>
    <w:rsid w:val="00734CAA"/>
    <w:rsid w:val="00735021"/>
    <w:rsid w:val="00735CE7"/>
    <w:rsid w:val="00735F6F"/>
    <w:rsid w:val="00737292"/>
    <w:rsid w:val="0073754E"/>
    <w:rsid w:val="00737608"/>
    <w:rsid w:val="007415EB"/>
    <w:rsid w:val="007419D2"/>
    <w:rsid w:val="00743865"/>
    <w:rsid w:val="007444C6"/>
    <w:rsid w:val="00744D86"/>
    <w:rsid w:val="00745900"/>
    <w:rsid w:val="00752BEB"/>
    <w:rsid w:val="0075376A"/>
    <w:rsid w:val="00753FC2"/>
    <w:rsid w:val="007544B3"/>
    <w:rsid w:val="0075533C"/>
    <w:rsid w:val="0075552F"/>
    <w:rsid w:val="0075612A"/>
    <w:rsid w:val="0075616B"/>
    <w:rsid w:val="00757410"/>
    <w:rsid w:val="00757581"/>
    <w:rsid w:val="007611A0"/>
    <w:rsid w:val="007614A7"/>
    <w:rsid w:val="007620B5"/>
    <w:rsid w:val="007632BA"/>
    <w:rsid w:val="0076383D"/>
    <w:rsid w:val="00765C0A"/>
    <w:rsid w:val="0076725D"/>
    <w:rsid w:val="00767BFF"/>
    <w:rsid w:val="007701CA"/>
    <w:rsid w:val="00770BDD"/>
    <w:rsid w:val="00770E5E"/>
    <w:rsid w:val="00772DB0"/>
    <w:rsid w:val="00772E79"/>
    <w:rsid w:val="00773A31"/>
    <w:rsid w:val="00774912"/>
    <w:rsid w:val="00774DBE"/>
    <w:rsid w:val="007776D7"/>
    <w:rsid w:val="00785E25"/>
    <w:rsid w:val="00786786"/>
    <w:rsid w:val="0079092B"/>
    <w:rsid w:val="00790E70"/>
    <w:rsid w:val="00792E92"/>
    <w:rsid w:val="00793B16"/>
    <w:rsid w:val="00795ECE"/>
    <w:rsid w:val="00796D3F"/>
    <w:rsid w:val="007970BA"/>
    <w:rsid w:val="007A0520"/>
    <w:rsid w:val="007A10FC"/>
    <w:rsid w:val="007A1288"/>
    <w:rsid w:val="007A15F0"/>
    <w:rsid w:val="007A1683"/>
    <w:rsid w:val="007A38C4"/>
    <w:rsid w:val="007A4665"/>
    <w:rsid w:val="007A5C12"/>
    <w:rsid w:val="007A7CB0"/>
    <w:rsid w:val="007B01D7"/>
    <w:rsid w:val="007B3DA6"/>
    <w:rsid w:val="007B5A04"/>
    <w:rsid w:val="007B68A3"/>
    <w:rsid w:val="007B69B7"/>
    <w:rsid w:val="007C1574"/>
    <w:rsid w:val="007C1C05"/>
    <w:rsid w:val="007C2541"/>
    <w:rsid w:val="007C43EC"/>
    <w:rsid w:val="007C5083"/>
    <w:rsid w:val="007D05BD"/>
    <w:rsid w:val="007D21D0"/>
    <w:rsid w:val="007D270F"/>
    <w:rsid w:val="007D276B"/>
    <w:rsid w:val="007D3D99"/>
    <w:rsid w:val="007D5E40"/>
    <w:rsid w:val="007D66A8"/>
    <w:rsid w:val="007D763A"/>
    <w:rsid w:val="007E003F"/>
    <w:rsid w:val="007E03F2"/>
    <w:rsid w:val="007E181F"/>
    <w:rsid w:val="007E1B31"/>
    <w:rsid w:val="007E32BD"/>
    <w:rsid w:val="007E4EFC"/>
    <w:rsid w:val="007E64DA"/>
    <w:rsid w:val="007E7820"/>
    <w:rsid w:val="007F07BB"/>
    <w:rsid w:val="007F166E"/>
    <w:rsid w:val="007F5F01"/>
    <w:rsid w:val="00800172"/>
    <w:rsid w:val="008007E9"/>
    <w:rsid w:val="00802E67"/>
    <w:rsid w:val="008107E4"/>
    <w:rsid w:val="0081384A"/>
    <w:rsid w:val="008143DF"/>
    <w:rsid w:val="008164F2"/>
    <w:rsid w:val="0081716B"/>
    <w:rsid w:val="008178EE"/>
    <w:rsid w:val="00821395"/>
    <w:rsid w:val="0082439F"/>
    <w:rsid w:val="0082492B"/>
    <w:rsid w:val="0082511B"/>
    <w:rsid w:val="00825852"/>
    <w:rsid w:val="00827713"/>
    <w:rsid w:val="00827821"/>
    <w:rsid w:val="00830DAA"/>
    <w:rsid w:val="00830E26"/>
    <w:rsid w:val="00831250"/>
    <w:rsid w:val="00832C42"/>
    <w:rsid w:val="008361B7"/>
    <w:rsid w:val="00836E41"/>
    <w:rsid w:val="0083748A"/>
    <w:rsid w:val="00840087"/>
    <w:rsid w:val="0084206E"/>
    <w:rsid w:val="00842432"/>
    <w:rsid w:val="0084322C"/>
    <w:rsid w:val="00843576"/>
    <w:rsid w:val="0084370B"/>
    <w:rsid w:val="00843890"/>
    <w:rsid w:val="00843B64"/>
    <w:rsid w:val="008457E3"/>
    <w:rsid w:val="00846334"/>
    <w:rsid w:val="00846864"/>
    <w:rsid w:val="008478FC"/>
    <w:rsid w:val="00850932"/>
    <w:rsid w:val="00852423"/>
    <w:rsid w:val="00855DDF"/>
    <w:rsid w:val="0085633D"/>
    <w:rsid w:val="008618BC"/>
    <w:rsid w:val="00861C1F"/>
    <w:rsid w:val="00861C3D"/>
    <w:rsid w:val="008642D9"/>
    <w:rsid w:val="00867BFF"/>
    <w:rsid w:val="00872018"/>
    <w:rsid w:val="00874422"/>
    <w:rsid w:val="00874981"/>
    <w:rsid w:val="00874C02"/>
    <w:rsid w:val="0087546D"/>
    <w:rsid w:val="00875880"/>
    <w:rsid w:val="0087795A"/>
    <w:rsid w:val="008806F0"/>
    <w:rsid w:val="008808D6"/>
    <w:rsid w:val="00881897"/>
    <w:rsid w:val="0088393E"/>
    <w:rsid w:val="00883B03"/>
    <w:rsid w:val="0088480A"/>
    <w:rsid w:val="00885466"/>
    <w:rsid w:val="00885632"/>
    <w:rsid w:val="00885EC2"/>
    <w:rsid w:val="00886781"/>
    <w:rsid w:val="0088757A"/>
    <w:rsid w:val="0089313B"/>
    <w:rsid w:val="008957DD"/>
    <w:rsid w:val="00897D98"/>
    <w:rsid w:val="008A0534"/>
    <w:rsid w:val="008A19F2"/>
    <w:rsid w:val="008A64F2"/>
    <w:rsid w:val="008A6DF2"/>
    <w:rsid w:val="008A7807"/>
    <w:rsid w:val="008A784E"/>
    <w:rsid w:val="008B008E"/>
    <w:rsid w:val="008B02A1"/>
    <w:rsid w:val="008B15FB"/>
    <w:rsid w:val="008B1A64"/>
    <w:rsid w:val="008B22E0"/>
    <w:rsid w:val="008B2B9B"/>
    <w:rsid w:val="008B4CC9"/>
    <w:rsid w:val="008C1039"/>
    <w:rsid w:val="008C53EC"/>
    <w:rsid w:val="008C5C26"/>
    <w:rsid w:val="008C6F06"/>
    <w:rsid w:val="008D0E3F"/>
    <w:rsid w:val="008D29C6"/>
    <w:rsid w:val="008D3DBC"/>
    <w:rsid w:val="008D4997"/>
    <w:rsid w:val="008D4B29"/>
    <w:rsid w:val="008D672B"/>
    <w:rsid w:val="008D7C99"/>
    <w:rsid w:val="008D7D2E"/>
    <w:rsid w:val="008E0FCB"/>
    <w:rsid w:val="008E2454"/>
    <w:rsid w:val="008E51EC"/>
    <w:rsid w:val="008E57B6"/>
    <w:rsid w:val="008E6246"/>
    <w:rsid w:val="008E6922"/>
    <w:rsid w:val="008E7D83"/>
    <w:rsid w:val="008F1BAC"/>
    <w:rsid w:val="008F294F"/>
    <w:rsid w:val="008F4204"/>
    <w:rsid w:val="008F429D"/>
    <w:rsid w:val="00900CED"/>
    <w:rsid w:val="00901E64"/>
    <w:rsid w:val="0090237D"/>
    <w:rsid w:val="00903B50"/>
    <w:rsid w:val="00903C8C"/>
    <w:rsid w:val="00905C01"/>
    <w:rsid w:val="00905D25"/>
    <w:rsid w:val="00910100"/>
    <w:rsid w:val="00912F1F"/>
    <w:rsid w:val="0091412A"/>
    <w:rsid w:val="009145C3"/>
    <w:rsid w:val="00915044"/>
    <w:rsid w:val="0091627F"/>
    <w:rsid w:val="00916A4D"/>
    <w:rsid w:val="0091759D"/>
    <w:rsid w:val="009178DC"/>
    <w:rsid w:val="009206A3"/>
    <w:rsid w:val="0092178C"/>
    <w:rsid w:val="009226F8"/>
    <w:rsid w:val="009227FC"/>
    <w:rsid w:val="0092384E"/>
    <w:rsid w:val="009260F8"/>
    <w:rsid w:val="0092698A"/>
    <w:rsid w:val="009308F4"/>
    <w:rsid w:val="00930B88"/>
    <w:rsid w:val="009317F3"/>
    <w:rsid w:val="0093224F"/>
    <w:rsid w:val="00934C0A"/>
    <w:rsid w:val="0093541F"/>
    <w:rsid w:val="00937B83"/>
    <w:rsid w:val="00937E04"/>
    <w:rsid w:val="009405E7"/>
    <w:rsid w:val="00940DCC"/>
    <w:rsid w:val="0094133B"/>
    <w:rsid w:val="0094155F"/>
    <w:rsid w:val="0094179A"/>
    <w:rsid w:val="0094181E"/>
    <w:rsid w:val="00941B2C"/>
    <w:rsid w:val="0094459E"/>
    <w:rsid w:val="00944DBC"/>
    <w:rsid w:val="009459AB"/>
    <w:rsid w:val="00946827"/>
    <w:rsid w:val="009476FA"/>
    <w:rsid w:val="00950977"/>
    <w:rsid w:val="00951A7B"/>
    <w:rsid w:val="00954B6C"/>
    <w:rsid w:val="00954D2B"/>
    <w:rsid w:val="00955FB8"/>
    <w:rsid w:val="009564A6"/>
    <w:rsid w:val="00956AD6"/>
    <w:rsid w:val="00956C2F"/>
    <w:rsid w:val="0096097B"/>
    <w:rsid w:val="00960E83"/>
    <w:rsid w:val="009629C9"/>
    <w:rsid w:val="00966B01"/>
    <w:rsid w:val="00967621"/>
    <w:rsid w:val="00967888"/>
    <w:rsid w:val="00967E6A"/>
    <w:rsid w:val="00967EEA"/>
    <w:rsid w:val="009706F6"/>
    <w:rsid w:val="009719C6"/>
    <w:rsid w:val="00971ED1"/>
    <w:rsid w:val="0097218B"/>
    <w:rsid w:val="0097235C"/>
    <w:rsid w:val="0097318B"/>
    <w:rsid w:val="00973D81"/>
    <w:rsid w:val="00974AA1"/>
    <w:rsid w:val="009770E6"/>
    <w:rsid w:val="009805DF"/>
    <w:rsid w:val="0098266A"/>
    <w:rsid w:val="009847ED"/>
    <w:rsid w:val="00985E29"/>
    <w:rsid w:val="0099016F"/>
    <w:rsid w:val="00991CD6"/>
    <w:rsid w:val="009922E9"/>
    <w:rsid w:val="00992CAF"/>
    <w:rsid w:val="00993186"/>
    <w:rsid w:val="00993B19"/>
    <w:rsid w:val="00994222"/>
    <w:rsid w:val="009958BF"/>
    <w:rsid w:val="00996CCE"/>
    <w:rsid w:val="0099729B"/>
    <w:rsid w:val="009A3F61"/>
    <w:rsid w:val="009A7BF4"/>
    <w:rsid w:val="009B00DA"/>
    <w:rsid w:val="009B065A"/>
    <w:rsid w:val="009B4A0F"/>
    <w:rsid w:val="009B5220"/>
    <w:rsid w:val="009B5C3E"/>
    <w:rsid w:val="009B608C"/>
    <w:rsid w:val="009B71DB"/>
    <w:rsid w:val="009C11D2"/>
    <w:rsid w:val="009C29B0"/>
    <w:rsid w:val="009C3B95"/>
    <w:rsid w:val="009C4B3E"/>
    <w:rsid w:val="009C6778"/>
    <w:rsid w:val="009C6C70"/>
    <w:rsid w:val="009C6E8B"/>
    <w:rsid w:val="009C74F7"/>
    <w:rsid w:val="009D0B63"/>
    <w:rsid w:val="009D1A85"/>
    <w:rsid w:val="009D2E4B"/>
    <w:rsid w:val="009D59C3"/>
    <w:rsid w:val="009D645E"/>
    <w:rsid w:val="009D6738"/>
    <w:rsid w:val="009D7CE9"/>
    <w:rsid w:val="009E0C9E"/>
    <w:rsid w:val="009E307E"/>
    <w:rsid w:val="009E31AF"/>
    <w:rsid w:val="009E33BF"/>
    <w:rsid w:val="009E349A"/>
    <w:rsid w:val="009E3BED"/>
    <w:rsid w:val="009E64B0"/>
    <w:rsid w:val="009E71C2"/>
    <w:rsid w:val="009F4063"/>
    <w:rsid w:val="009F5862"/>
    <w:rsid w:val="009F6D59"/>
    <w:rsid w:val="009F7DB4"/>
    <w:rsid w:val="00A01488"/>
    <w:rsid w:val="00A01D59"/>
    <w:rsid w:val="00A02E57"/>
    <w:rsid w:val="00A0501C"/>
    <w:rsid w:val="00A065A0"/>
    <w:rsid w:val="00A074FD"/>
    <w:rsid w:val="00A07870"/>
    <w:rsid w:val="00A07F19"/>
    <w:rsid w:val="00A100C2"/>
    <w:rsid w:val="00A1348D"/>
    <w:rsid w:val="00A13AB9"/>
    <w:rsid w:val="00A1454C"/>
    <w:rsid w:val="00A14AB4"/>
    <w:rsid w:val="00A232EE"/>
    <w:rsid w:val="00A2587C"/>
    <w:rsid w:val="00A26A5A"/>
    <w:rsid w:val="00A27947"/>
    <w:rsid w:val="00A300AF"/>
    <w:rsid w:val="00A31278"/>
    <w:rsid w:val="00A3176E"/>
    <w:rsid w:val="00A32030"/>
    <w:rsid w:val="00A324E1"/>
    <w:rsid w:val="00A332BE"/>
    <w:rsid w:val="00A33593"/>
    <w:rsid w:val="00A33597"/>
    <w:rsid w:val="00A35A13"/>
    <w:rsid w:val="00A36095"/>
    <w:rsid w:val="00A37902"/>
    <w:rsid w:val="00A409B4"/>
    <w:rsid w:val="00A4175F"/>
    <w:rsid w:val="00A421C3"/>
    <w:rsid w:val="00A427F3"/>
    <w:rsid w:val="00A43600"/>
    <w:rsid w:val="00A43CFE"/>
    <w:rsid w:val="00A44411"/>
    <w:rsid w:val="00A44FB7"/>
    <w:rsid w:val="00A469FA"/>
    <w:rsid w:val="00A46E8C"/>
    <w:rsid w:val="00A477F9"/>
    <w:rsid w:val="00A50EC0"/>
    <w:rsid w:val="00A5372F"/>
    <w:rsid w:val="00A53A03"/>
    <w:rsid w:val="00A5530D"/>
    <w:rsid w:val="00A55B01"/>
    <w:rsid w:val="00A561DE"/>
    <w:rsid w:val="00A565B3"/>
    <w:rsid w:val="00A56B5B"/>
    <w:rsid w:val="00A602FB"/>
    <w:rsid w:val="00A603FF"/>
    <w:rsid w:val="00A61917"/>
    <w:rsid w:val="00A61E24"/>
    <w:rsid w:val="00A62908"/>
    <w:rsid w:val="00A63259"/>
    <w:rsid w:val="00A6418D"/>
    <w:rsid w:val="00A6461E"/>
    <w:rsid w:val="00A64E64"/>
    <w:rsid w:val="00A652F6"/>
    <w:rsid w:val="00A657DD"/>
    <w:rsid w:val="00A65C40"/>
    <w:rsid w:val="00A666A6"/>
    <w:rsid w:val="00A66DDB"/>
    <w:rsid w:val="00A675FD"/>
    <w:rsid w:val="00A700F1"/>
    <w:rsid w:val="00A706CA"/>
    <w:rsid w:val="00A70F0A"/>
    <w:rsid w:val="00A72437"/>
    <w:rsid w:val="00A73B8A"/>
    <w:rsid w:val="00A73E07"/>
    <w:rsid w:val="00A7425B"/>
    <w:rsid w:val="00A751BA"/>
    <w:rsid w:val="00A80557"/>
    <w:rsid w:val="00A80611"/>
    <w:rsid w:val="00A83EDC"/>
    <w:rsid w:val="00A8490D"/>
    <w:rsid w:val="00A85C78"/>
    <w:rsid w:val="00A9108E"/>
    <w:rsid w:val="00A9173A"/>
    <w:rsid w:val="00A921CF"/>
    <w:rsid w:val="00A92991"/>
    <w:rsid w:val="00A930B9"/>
    <w:rsid w:val="00A94A8A"/>
    <w:rsid w:val="00A952F8"/>
    <w:rsid w:val="00A96318"/>
    <w:rsid w:val="00A967C7"/>
    <w:rsid w:val="00AA1622"/>
    <w:rsid w:val="00AA1FB0"/>
    <w:rsid w:val="00AA223F"/>
    <w:rsid w:val="00AA408D"/>
    <w:rsid w:val="00AA4ECA"/>
    <w:rsid w:val="00AA675C"/>
    <w:rsid w:val="00AA78AA"/>
    <w:rsid w:val="00AA7AB2"/>
    <w:rsid w:val="00AB0224"/>
    <w:rsid w:val="00AB3817"/>
    <w:rsid w:val="00AB4676"/>
    <w:rsid w:val="00AB5340"/>
    <w:rsid w:val="00AB7D49"/>
    <w:rsid w:val="00AC0A89"/>
    <w:rsid w:val="00AC1A88"/>
    <w:rsid w:val="00AC28E8"/>
    <w:rsid w:val="00AC290A"/>
    <w:rsid w:val="00AC303F"/>
    <w:rsid w:val="00AC3354"/>
    <w:rsid w:val="00AC3991"/>
    <w:rsid w:val="00AC4166"/>
    <w:rsid w:val="00AC420D"/>
    <w:rsid w:val="00AC5C44"/>
    <w:rsid w:val="00AC7C96"/>
    <w:rsid w:val="00AD0740"/>
    <w:rsid w:val="00AD592C"/>
    <w:rsid w:val="00AD597C"/>
    <w:rsid w:val="00AD5D2C"/>
    <w:rsid w:val="00AE237D"/>
    <w:rsid w:val="00AE3165"/>
    <w:rsid w:val="00AE35A0"/>
    <w:rsid w:val="00AE424F"/>
    <w:rsid w:val="00AE45E6"/>
    <w:rsid w:val="00AE502A"/>
    <w:rsid w:val="00AE52C8"/>
    <w:rsid w:val="00AF2E4D"/>
    <w:rsid w:val="00AF43B5"/>
    <w:rsid w:val="00AF63F4"/>
    <w:rsid w:val="00AF713B"/>
    <w:rsid w:val="00AF7C07"/>
    <w:rsid w:val="00B0020B"/>
    <w:rsid w:val="00B01EDD"/>
    <w:rsid w:val="00B02436"/>
    <w:rsid w:val="00B049EB"/>
    <w:rsid w:val="00B04B0E"/>
    <w:rsid w:val="00B05C7B"/>
    <w:rsid w:val="00B06CE2"/>
    <w:rsid w:val="00B10CB7"/>
    <w:rsid w:val="00B10DD6"/>
    <w:rsid w:val="00B111AE"/>
    <w:rsid w:val="00B143D5"/>
    <w:rsid w:val="00B14A1E"/>
    <w:rsid w:val="00B15C5C"/>
    <w:rsid w:val="00B16D82"/>
    <w:rsid w:val="00B22C93"/>
    <w:rsid w:val="00B24AD0"/>
    <w:rsid w:val="00B256F7"/>
    <w:rsid w:val="00B26339"/>
    <w:rsid w:val="00B27589"/>
    <w:rsid w:val="00B2781C"/>
    <w:rsid w:val="00B27D22"/>
    <w:rsid w:val="00B30EC4"/>
    <w:rsid w:val="00B3150A"/>
    <w:rsid w:val="00B32A82"/>
    <w:rsid w:val="00B32BAF"/>
    <w:rsid w:val="00B3564D"/>
    <w:rsid w:val="00B365B3"/>
    <w:rsid w:val="00B405B7"/>
    <w:rsid w:val="00B42174"/>
    <w:rsid w:val="00B42D6C"/>
    <w:rsid w:val="00B42EA1"/>
    <w:rsid w:val="00B436B4"/>
    <w:rsid w:val="00B4410E"/>
    <w:rsid w:val="00B47FB8"/>
    <w:rsid w:val="00B506A2"/>
    <w:rsid w:val="00B5216C"/>
    <w:rsid w:val="00B52222"/>
    <w:rsid w:val="00B54F23"/>
    <w:rsid w:val="00B54FE7"/>
    <w:rsid w:val="00B56BAE"/>
    <w:rsid w:val="00B57116"/>
    <w:rsid w:val="00B63DDF"/>
    <w:rsid w:val="00B6455E"/>
    <w:rsid w:val="00B64B1B"/>
    <w:rsid w:val="00B65EE9"/>
    <w:rsid w:val="00B66607"/>
    <w:rsid w:val="00B66901"/>
    <w:rsid w:val="00B71E6D"/>
    <w:rsid w:val="00B72070"/>
    <w:rsid w:val="00B73BAF"/>
    <w:rsid w:val="00B74421"/>
    <w:rsid w:val="00B7588A"/>
    <w:rsid w:val="00B75A40"/>
    <w:rsid w:val="00B779E1"/>
    <w:rsid w:val="00B8112C"/>
    <w:rsid w:val="00B81428"/>
    <w:rsid w:val="00B8587D"/>
    <w:rsid w:val="00B8694A"/>
    <w:rsid w:val="00B91EB3"/>
    <w:rsid w:val="00B91EE1"/>
    <w:rsid w:val="00B92273"/>
    <w:rsid w:val="00B9437C"/>
    <w:rsid w:val="00BA0090"/>
    <w:rsid w:val="00BA0B08"/>
    <w:rsid w:val="00BA1A67"/>
    <w:rsid w:val="00BA22C6"/>
    <w:rsid w:val="00BA3DED"/>
    <w:rsid w:val="00BA430A"/>
    <w:rsid w:val="00BA432B"/>
    <w:rsid w:val="00BA66FE"/>
    <w:rsid w:val="00BA6928"/>
    <w:rsid w:val="00BA6CD9"/>
    <w:rsid w:val="00BA794F"/>
    <w:rsid w:val="00BB1EAA"/>
    <w:rsid w:val="00BB29D2"/>
    <w:rsid w:val="00BB4364"/>
    <w:rsid w:val="00BB488E"/>
    <w:rsid w:val="00BB5CAD"/>
    <w:rsid w:val="00BB6490"/>
    <w:rsid w:val="00BB6AF8"/>
    <w:rsid w:val="00BB719D"/>
    <w:rsid w:val="00BC11BC"/>
    <w:rsid w:val="00BC13D9"/>
    <w:rsid w:val="00BC305A"/>
    <w:rsid w:val="00BC358F"/>
    <w:rsid w:val="00BC6682"/>
    <w:rsid w:val="00BC7DF5"/>
    <w:rsid w:val="00BD03FB"/>
    <w:rsid w:val="00BD0A0C"/>
    <w:rsid w:val="00BD35F6"/>
    <w:rsid w:val="00BD441C"/>
    <w:rsid w:val="00BD4A48"/>
    <w:rsid w:val="00BD4BB4"/>
    <w:rsid w:val="00BD61A7"/>
    <w:rsid w:val="00BD63E8"/>
    <w:rsid w:val="00BD6824"/>
    <w:rsid w:val="00BD79BC"/>
    <w:rsid w:val="00BD7DBC"/>
    <w:rsid w:val="00BE1341"/>
    <w:rsid w:val="00BE1448"/>
    <w:rsid w:val="00BE1FAF"/>
    <w:rsid w:val="00BE2099"/>
    <w:rsid w:val="00BE5441"/>
    <w:rsid w:val="00BE5B5F"/>
    <w:rsid w:val="00BE6728"/>
    <w:rsid w:val="00BE7989"/>
    <w:rsid w:val="00BE7B49"/>
    <w:rsid w:val="00BE7EAC"/>
    <w:rsid w:val="00BF0298"/>
    <w:rsid w:val="00BF261B"/>
    <w:rsid w:val="00BF2D79"/>
    <w:rsid w:val="00BF3DEF"/>
    <w:rsid w:val="00BF40BB"/>
    <w:rsid w:val="00BF42CF"/>
    <w:rsid w:val="00BF768F"/>
    <w:rsid w:val="00BF775F"/>
    <w:rsid w:val="00C019DA"/>
    <w:rsid w:val="00C02454"/>
    <w:rsid w:val="00C03777"/>
    <w:rsid w:val="00C03C8E"/>
    <w:rsid w:val="00C053C1"/>
    <w:rsid w:val="00C05624"/>
    <w:rsid w:val="00C0597A"/>
    <w:rsid w:val="00C06D0D"/>
    <w:rsid w:val="00C06D16"/>
    <w:rsid w:val="00C1021F"/>
    <w:rsid w:val="00C11E05"/>
    <w:rsid w:val="00C11F5D"/>
    <w:rsid w:val="00C12F0A"/>
    <w:rsid w:val="00C131C2"/>
    <w:rsid w:val="00C1373B"/>
    <w:rsid w:val="00C14003"/>
    <w:rsid w:val="00C15510"/>
    <w:rsid w:val="00C155D7"/>
    <w:rsid w:val="00C16D71"/>
    <w:rsid w:val="00C175D2"/>
    <w:rsid w:val="00C20A06"/>
    <w:rsid w:val="00C214B7"/>
    <w:rsid w:val="00C2221D"/>
    <w:rsid w:val="00C22CF3"/>
    <w:rsid w:val="00C23F60"/>
    <w:rsid w:val="00C24E6B"/>
    <w:rsid w:val="00C25BBB"/>
    <w:rsid w:val="00C25DF6"/>
    <w:rsid w:val="00C26F55"/>
    <w:rsid w:val="00C30C63"/>
    <w:rsid w:val="00C3201F"/>
    <w:rsid w:val="00C32DB9"/>
    <w:rsid w:val="00C36B8B"/>
    <w:rsid w:val="00C370B3"/>
    <w:rsid w:val="00C40833"/>
    <w:rsid w:val="00C415C1"/>
    <w:rsid w:val="00C41F43"/>
    <w:rsid w:val="00C42646"/>
    <w:rsid w:val="00C4362C"/>
    <w:rsid w:val="00C469C6"/>
    <w:rsid w:val="00C46B98"/>
    <w:rsid w:val="00C47DBF"/>
    <w:rsid w:val="00C47E2F"/>
    <w:rsid w:val="00C5101E"/>
    <w:rsid w:val="00C52555"/>
    <w:rsid w:val="00C52868"/>
    <w:rsid w:val="00C552FF"/>
    <w:rsid w:val="00C558DA"/>
    <w:rsid w:val="00C55AF3"/>
    <w:rsid w:val="00C56384"/>
    <w:rsid w:val="00C56EEE"/>
    <w:rsid w:val="00C60F54"/>
    <w:rsid w:val="00C61104"/>
    <w:rsid w:val="00C63B91"/>
    <w:rsid w:val="00C724B1"/>
    <w:rsid w:val="00C727A1"/>
    <w:rsid w:val="00C75BCD"/>
    <w:rsid w:val="00C76058"/>
    <w:rsid w:val="00C803DB"/>
    <w:rsid w:val="00C80DFB"/>
    <w:rsid w:val="00C83FD1"/>
    <w:rsid w:val="00C841D4"/>
    <w:rsid w:val="00C84759"/>
    <w:rsid w:val="00C84865"/>
    <w:rsid w:val="00C90360"/>
    <w:rsid w:val="00C90A1C"/>
    <w:rsid w:val="00C91BA1"/>
    <w:rsid w:val="00C92213"/>
    <w:rsid w:val="00C92FC5"/>
    <w:rsid w:val="00C93977"/>
    <w:rsid w:val="00C93C91"/>
    <w:rsid w:val="00C9672C"/>
    <w:rsid w:val="00C974F9"/>
    <w:rsid w:val="00CA40B9"/>
    <w:rsid w:val="00CA498A"/>
    <w:rsid w:val="00CA4AEB"/>
    <w:rsid w:val="00CA6C7F"/>
    <w:rsid w:val="00CB0B2F"/>
    <w:rsid w:val="00CC0244"/>
    <w:rsid w:val="00CC09FF"/>
    <w:rsid w:val="00CC10A6"/>
    <w:rsid w:val="00CC41E1"/>
    <w:rsid w:val="00CC5BD2"/>
    <w:rsid w:val="00CD051D"/>
    <w:rsid w:val="00CD1DB4"/>
    <w:rsid w:val="00CD30FA"/>
    <w:rsid w:val="00CD4CD8"/>
    <w:rsid w:val="00CD5EB8"/>
    <w:rsid w:val="00CD611E"/>
    <w:rsid w:val="00CD7044"/>
    <w:rsid w:val="00CD7D76"/>
    <w:rsid w:val="00CE042C"/>
    <w:rsid w:val="00CE06D4"/>
    <w:rsid w:val="00CE08B9"/>
    <w:rsid w:val="00CE524C"/>
    <w:rsid w:val="00CE66F2"/>
    <w:rsid w:val="00CE7F3B"/>
    <w:rsid w:val="00CF1312"/>
    <w:rsid w:val="00CF141F"/>
    <w:rsid w:val="00CF2885"/>
    <w:rsid w:val="00CF2EC2"/>
    <w:rsid w:val="00CF4777"/>
    <w:rsid w:val="00D067BB"/>
    <w:rsid w:val="00D0794F"/>
    <w:rsid w:val="00D07E2F"/>
    <w:rsid w:val="00D13377"/>
    <w:rsid w:val="00D1352A"/>
    <w:rsid w:val="00D16261"/>
    <w:rsid w:val="00D169AF"/>
    <w:rsid w:val="00D20743"/>
    <w:rsid w:val="00D20A97"/>
    <w:rsid w:val="00D20B71"/>
    <w:rsid w:val="00D21CEA"/>
    <w:rsid w:val="00D25249"/>
    <w:rsid w:val="00D25612"/>
    <w:rsid w:val="00D26201"/>
    <w:rsid w:val="00D2636F"/>
    <w:rsid w:val="00D273D8"/>
    <w:rsid w:val="00D3332A"/>
    <w:rsid w:val="00D34694"/>
    <w:rsid w:val="00D362E5"/>
    <w:rsid w:val="00D37ED5"/>
    <w:rsid w:val="00D4304F"/>
    <w:rsid w:val="00D44032"/>
    <w:rsid w:val="00D44066"/>
    <w:rsid w:val="00D44172"/>
    <w:rsid w:val="00D46BBE"/>
    <w:rsid w:val="00D46EBA"/>
    <w:rsid w:val="00D5084B"/>
    <w:rsid w:val="00D52615"/>
    <w:rsid w:val="00D53B36"/>
    <w:rsid w:val="00D5469A"/>
    <w:rsid w:val="00D54BD8"/>
    <w:rsid w:val="00D55590"/>
    <w:rsid w:val="00D56F33"/>
    <w:rsid w:val="00D57DAE"/>
    <w:rsid w:val="00D57F76"/>
    <w:rsid w:val="00D6007F"/>
    <w:rsid w:val="00D611BA"/>
    <w:rsid w:val="00D63502"/>
    <w:rsid w:val="00D6376A"/>
    <w:rsid w:val="00D63B8C"/>
    <w:rsid w:val="00D64C5B"/>
    <w:rsid w:val="00D66172"/>
    <w:rsid w:val="00D67E84"/>
    <w:rsid w:val="00D70E8C"/>
    <w:rsid w:val="00D713C8"/>
    <w:rsid w:val="00D71819"/>
    <w:rsid w:val="00D720EE"/>
    <w:rsid w:val="00D7393D"/>
    <w:rsid w:val="00D739CC"/>
    <w:rsid w:val="00D73EC0"/>
    <w:rsid w:val="00D75DEB"/>
    <w:rsid w:val="00D807B5"/>
    <w:rsid w:val="00D8093D"/>
    <w:rsid w:val="00D809A8"/>
    <w:rsid w:val="00D8108C"/>
    <w:rsid w:val="00D82A1E"/>
    <w:rsid w:val="00D82E8E"/>
    <w:rsid w:val="00D83811"/>
    <w:rsid w:val="00D842AE"/>
    <w:rsid w:val="00D84473"/>
    <w:rsid w:val="00D859CE"/>
    <w:rsid w:val="00D91202"/>
    <w:rsid w:val="00D9211C"/>
    <w:rsid w:val="00D92DE0"/>
    <w:rsid w:val="00D92FEF"/>
    <w:rsid w:val="00D93346"/>
    <w:rsid w:val="00D93A0F"/>
    <w:rsid w:val="00DA0C7D"/>
    <w:rsid w:val="00DA1522"/>
    <w:rsid w:val="00DA1BCA"/>
    <w:rsid w:val="00DA67D0"/>
    <w:rsid w:val="00DB48B5"/>
    <w:rsid w:val="00DB6055"/>
    <w:rsid w:val="00DB6141"/>
    <w:rsid w:val="00DC1ACC"/>
    <w:rsid w:val="00DC302E"/>
    <w:rsid w:val="00DC30BA"/>
    <w:rsid w:val="00DC46DE"/>
    <w:rsid w:val="00DC46FF"/>
    <w:rsid w:val="00DC5254"/>
    <w:rsid w:val="00DC57F3"/>
    <w:rsid w:val="00DC78E7"/>
    <w:rsid w:val="00DC7C7C"/>
    <w:rsid w:val="00DC7E4E"/>
    <w:rsid w:val="00DD0970"/>
    <w:rsid w:val="00DD1A4F"/>
    <w:rsid w:val="00DD1A78"/>
    <w:rsid w:val="00DD3107"/>
    <w:rsid w:val="00DD5B24"/>
    <w:rsid w:val="00DD7C2C"/>
    <w:rsid w:val="00DE1DEE"/>
    <w:rsid w:val="00DE2F1E"/>
    <w:rsid w:val="00DE3AD2"/>
    <w:rsid w:val="00DE4927"/>
    <w:rsid w:val="00DE5B9C"/>
    <w:rsid w:val="00DF0692"/>
    <w:rsid w:val="00DF2034"/>
    <w:rsid w:val="00DF29A7"/>
    <w:rsid w:val="00DF4151"/>
    <w:rsid w:val="00DF48B4"/>
    <w:rsid w:val="00DF518F"/>
    <w:rsid w:val="00DF7225"/>
    <w:rsid w:val="00E003F4"/>
    <w:rsid w:val="00E00645"/>
    <w:rsid w:val="00E00C53"/>
    <w:rsid w:val="00E00C8A"/>
    <w:rsid w:val="00E00F6B"/>
    <w:rsid w:val="00E01397"/>
    <w:rsid w:val="00E01B0E"/>
    <w:rsid w:val="00E03078"/>
    <w:rsid w:val="00E04407"/>
    <w:rsid w:val="00E048CD"/>
    <w:rsid w:val="00E056E5"/>
    <w:rsid w:val="00E06797"/>
    <w:rsid w:val="00E073F1"/>
    <w:rsid w:val="00E07672"/>
    <w:rsid w:val="00E1186A"/>
    <w:rsid w:val="00E1265B"/>
    <w:rsid w:val="00E13A0F"/>
    <w:rsid w:val="00E13B48"/>
    <w:rsid w:val="00E1404F"/>
    <w:rsid w:val="00E14B32"/>
    <w:rsid w:val="00E1771D"/>
    <w:rsid w:val="00E21C83"/>
    <w:rsid w:val="00E2320D"/>
    <w:rsid w:val="00E23953"/>
    <w:rsid w:val="00E239E0"/>
    <w:rsid w:val="00E23E20"/>
    <w:rsid w:val="00E24ADA"/>
    <w:rsid w:val="00E252CE"/>
    <w:rsid w:val="00E301F2"/>
    <w:rsid w:val="00E31CA8"/>
    <w:rsid w:val="00E32AB7"/>
    <w:rsid w:val="00E32F59"/>
    <w:rsid w:val="00E332FA"/>
    <w:rsid w:val="00E333FC"/>
    <w:rsid w:val="00E33558"/>
    <w:rsid w:val="00E33EF3"/>
    <w:rsid w:val="00E35026"/>
    <w:rsid w:val="00E35355"/>
    <w:rsid w:val="00E362D0"/>
    <w:rsid w:val="00E3727E"/>
    <w:rsid w:val="00E37A69"/>
    <w:rsid w:val="00E37CB1"/>
    <w:rsid w:val="00E40D83"/>
    <w:rsid w:val="00E4175B"/>
    <w:rsid w:val="00E42F10"/>
    <w:rsid w:val="00E43CD6"/>
    <w:rsid w:val="00E4602E"/>
    <w:rsid w:val="00E464DC"/>
    <w:rsid w:val="00E46D9A"/>
    <w:rsid w:val="00E4742B"/>
    <w:rsid w:val="00E51AAF"/>
    <w:rsid w:val="00E51EC2"/>
    <w:rsid w:val="00E52063"/>
    <w:rsid w:val="00E5257E"/>
    <w:rsid w:val="00E55881"/>
    <w:rsid w:val="00E55D2D"/>
    <w:rsid w:val="00E565FF"/>
    <w:rsid w:val="00E57A3C"/>
    <w:rsid w:val="00E6096B"/>
    <w:rsid w:val="00E61828"/>
    <w:rsid w:val="00E627C7"/>
    <w:rsid w:val="00E63BE7"/>
    <w:rsid w:val="00E65388"/>
    <w:rsid w:val="00E6600C"/>
    <w:rsid w:val="00E662AF"/>
    <w:rsid w:val="00E71CBD"/>
    <w:rsid w:val="00E72AB5"/>
    <w:rsid w:val="00E76963"/>
    <w:rsid w:val="00E769DA"/>
    <w:rsid w:val="00E76A58"/>
    <w:rsid w:val="00E7711D"/>
    <w:rsid w:val="00E80935"/>
    <w:rsid w:val="00E80E4C"/>
    <w:rsid w:val="00E85B7D"/>
    <w:rsid w:val="00E90288"/>
    <w:rsid w:val="00E9121B"/>
    <w:rsid w:val="00E927B9"/>
    <w:rsid w:val="00E92F94"/>
    <w:rsid w:val="00E96398"/>
    <w:rsid w:val="00E96A8D"/>
    <w:rsid w:val="00EA0AE2"/>
    <w:rsid w:val="00EA1219"/>
    <w:rsid w:val="00EA2A3F"/>
    <w:rsid w:val="00EA39E5"/>
    <w:rsid w:val="00EA4772"/>
    <w:rsid w:val="00EA69D1"/>
    <w:rsid w:val="00EB0283"/>
    <w:rsid w:val="00EB0B94"/>
    <w:rsid w:val="00EB6401"/>
    <w:rsid w:val="00EB7B34"/>
    <w:rsid w:val="00EC0C13"/>
    <w:rsid w:val="00EC131A"/>
    <w:rsid w:val="00EC3B8E"/>
    <w:rsid w:val="00EC3D02"/>
    <w:rsid w:val="00EC441C"/>
    <w:rsid w:val="00EC5A46"/>
    <w:rsid w:val="00EC5B5C"/>
    <w:rsid w:val="00EC5BA2"/>
    <w:rsid w:val="00EC63E2"/>
    <w:rsid w:val="00EC6AE7"/>
    <w:rsid w:val="00ED2369"/>
    <w:rsid w:val="00ED256E"/>
    <w:rsid w:val="00ED430A"/>
    <w:rsid w:val="00ED5B88"/>
    <w:rsid w:val="00ED6112"/>
    <w:rsid w:val="00ED7E7D"/>
    <w:rsid w:val="00EE11FC"/>
    <w:rsid w:val="00EE15BC"/>
    <w:rsid w:val="00EE1B02"/>
    <w:rsid w:val="00EE5051"/>
    <w:rsid w:val="00EE6485"/>
    <w:rsid w:val="00EE6587"/>
    <w:rsid w:val="00EE6C21"/>
    <w:rsid w:val="00EE78CF"/>
    <w:rsid w:val="00EE7CE6"/>
    <w:rsid w:val="00EF0D1F"/>
    <w:rsid w:val="00EF1F05"/>
    <w:rsid w:val="00EF22B3"/>
    <w:rsid w:val="00EF2984"/>
    <w:rsid w:val="00EF2E5E"/>
    <w:rsid w:val="00EF3C06"/>
    <w:rsid w:val="00EF4CFC"/>
    <w:rsid w:val="00EF5A4C"/>
    <w:rsid w:val="00EF61B8"/>
    <w:rsid w:val="00EF6DD2"/>
    <w:rsid w:val="00EF717F"/>
    <w:rsid w:val="00F000BB"/>
    <w:rsid w:val="00F00BA7"/>
    <w:rsid w:val="00F0370A"/>
    <w:rsid w:val="00F03B69"/>
    <w:rsid w:val="00F03E65"/>
    <w:rsid w:val="00F067AF"/>
    <w:rsid w:val="00F06B6C"/>
    <w:rsid w:val="00F07A50"/>
    <w:rsid w:val="00F10EDF"/>
    <w:rsid w:val="00F10FFC"/>
    <w:rsid w:val="00F113DA"/>
    <w:rsid w:val="00F1158E"/>
    <w:rsid w:val="00F1161B"/>
    <w:rsid w:val="00F1245B"/>
    <w:rsid w:val="00F13355"/>
    <w:rsid w:val="00F159AB"/>
    <w:rsid w:val="00F1666E"/>
    <w:rsid w:val="00F20C39"/>
    <w:rsid w:val="00F22180"/>
    <w:rsid w:val="00F266A4"/>
    <w:rsid w:val="00F27A51"/>
    <w:rsid w:val="00F30AC9"/>
    <w:rsid w:val="00F3174F"/>
    <w:rsid w:val="00F32DF2"/>
    <w:rsid w:val="00F33FF4"/>
    <w:rsid w:val="00F34628"/>
    <w:rsid w:val="00F35375"/>
    <w:rsid w:val="00F35867"/>
    <w:rsid w:val="00F37DC8"/>
    <w:rsid w:val="00F425FF"/>
    <w:rsid w:val="00F42D1B"/>
    <w:rsid w:val="00F435F9"/>
    <w:rsid w:val="00F439B3"/>
    <w:rsid w:val="00F45C00"/>
    <w:rsid w:val="00F52573"/>
    <w:rsid w:val="00F52A70"/>
    <w:rsid w:val="00F53931"/>
    <w:rsid w:val="00F54121"/>
    <w:rsid w:val="00F56117"/>
    <w:rsid w:val="00F56CF0"/>
    <w:rsid w:val="00F57709"/>
    <w:rsid w:val="00F65098"/>
    <w:rsid w:val="00F650C3"/>
    <w:rsid w:val="00F6525B"/>
    <w:rsid w:val="00F65D85"/>
    <w:rsid w:val="00F65EA9"/>
    <w:rsid w:val="00F66098"/>
    <w:rsid w:val="00F700D9"/>
    <w:rsid w:val="00F7141A"/>
    <w:rsid w:val="00F756C8"/>
    <w:rsid w:val="00F75964"/>
    <w:rsid w:val="00F760B6"/>
    <w:rsid w:val="00F8091E"/>
    <w:rsid w:val="00F850B9"/>
    <w:rsid w:val="00F8615C"/>
    <w:rsid w:val="00F87A8D"/>
    <w:rsid w:val="00F87DAB"/>
    <w:rsid w:val="00F90180"/>
    <w:rsid w:val="00F90BCF"/>
    <w:rsid w:val="00F913AC"/>
    <w:rsid w:val="00F919B8"/>
    <w:rsid w:val="00F91EB3"/>
    <w:rsid w:val="00F93223"/>
    <w:rsid w:val="00F94A40"/>
    <w:rsid w:val="00F96251"/>
    <w:rsid w:val="00F969E5"/>
    <w:rsid w:val="00FA0259"/>
    <w:rsid w:val="00FA0463"/>
    <w:rsid w:val="00FA068F"/>
    <w:rsid w:val="00FA27C5"/>
    <w:rsid w:val="00FA5625"/>
    <w:rsid w:val="00FA5B66"/>
    <w:rsid w:val="00FA6BB0"/>
    <w:rsid w:val="00FA7082"/>
    <w:rsid w:val="00FA7AC9"/>
    <w:rsid w:val="00FB07A3"/>
    <w:rsid w:val="00FB34D5"/>
    <w:rsid w:val="00FB3D3A"/>
    <w:rsid w:val="00FB6907"/>
    <w:rsid w:val="00FC01B7"/>
    <w:rsid w:val="00FC175B"/>
    <w:rsid w:val="00FC34C7"/>
    <w:rsid w:val="00FC3576"/>
    <w:rsid w:val="00FC5B35"/>
    <w:rsid w:val="00FC5C15"/>
    <w:rsid w:val="00FC6B80"/>
    <w:rsid w:val="00FC704E"/>
    <w:rsid w:val="00FC7A1E"/>
    <w:rsid w:val="00FD33A3"/>
    <w:rsid w:val="00FD39CF"/>
    <w:rsid w:val="00FD3A30"/>
    <w:rsid w:val="00FD497B"/>
    <w:rsid w:val="00FD4FB6"/>
    <w:rsid w:val="00FD5860"/>
    <w:rsid w:val="00FE352D"/>
    <w:rsid w:val="00FE3F9C"/>
    <w:rsid w:val="00FE40EB"/>
    <w:rsid w:val="00FE4D02"/>
    <w:rsid w:val="00FE65F3"/>
    <w:rsid w:val="00FE7D62"/>
    <w:rsid w:val="00FF207F"/>
    <w:rsid w:val="00FF236E"/>
    <w:rsid w:val="00FF2A9A"/>
    <w:rsid w:val="00FF3819"/>
    <w:rsid w:val="00FF3D46"/>
    <w:rsid w:val="00FF72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CD8BF8"/>
  <w15:docId w15:val="{A3DF2F54-7BBF-43D8-9040-4E899363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uiPriority w:val="9"/>
    <w:qFormat/>
    <w:rsid w:val="000D6941"/>
    <w:pPr>
      <w:spacing w:after="120"/>
      <w:ind w:left="1247" w:hanging="680"/>
      <w:outlineLvl w:val="2"/>
    </w:pPr>
    <w:rPr>
      <w:b/>
    </w:rPr>
  </w:style>
  <w:style w:type="paragraph" w:styleId="Heading4">
    <w:name w:val="heading 4"/>
    <w:basedOn w:val="Heading3"/>
    <w:next w:val="Normalnumber"/>
    <w:link w:val="Heading4Char"/>
    <w:uiPriority w:val="9"/>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uiPriority w:val="39"/>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D93346"/>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qFormat/>
    <w:rsid w:val="000037AD"/>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F42D1B"/>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1C2B40"/>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D52615"/>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C2B40"/>
    <w:pPr>
      <w:keepNext/>
      <w:keepLines/>
      <w:tabs>
        <w:tab w:val="right" w:pos="851"/>
      </w:tabs>
      <w:suppressAutoHyphens/>
      <w:spacing w:before="120"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2A4B66"/>
    <w:pPr>
      <w:tabs>
        <w:tab w:val="left" w:pos="1247"/>
      </w:tabs>
    </w:pPr>
    <w:rPr>
      <w:lang w:val="en-GB"/>
    </w:rPr>
  </w:style>
  <w:style w:type="paragraph" w:customStyle="1" w:styleId="Footer-pool">
    <w:name w:val="Footer-pool"/>
    <w:basedOn w:val="Normalpool"/>
    <w:next w:val="Normalpool"/>
    <w:rsid w:val="00D52615"/>
    <w:pPr>
      <w:spacing w:before="60" w:after="120"/>
    </w:pPr>
    <w:rPr>
      <w:b/>
      <w:sz w:val="18"/>
    </w:rPr>
  </w:style>
  <w:style w:type="paragraph" w:customStyle="1" w:styleId="Header-pool">
    <w:name w:val="Header-pool"/>
    <w:basedOn w:val="Normalpool"/>
    <w:next w:val="Normalpool"/>
    <w:rsid w:val="002A4B66"/>
    <w:pPr>
      <w:pBdr>
        <w:bottom w:val="single" w:sz="4" w:space="1" w:color="auto"/>
      </w:pBdr>
      <w:spacing w:after="120"/>
    </w:pPr>
    <w:rPr>
      <w:b/>
      <w:sz w:val="18"/>
    </w:rPr>
  </w:style>
  <w:style w:type="character" w:styleId="FootnoteReference">
    <w:name w:val="footnote reference"/>
    <w:aliases w:val="ftref,16 Point,Superscript 6 Point,number,SUPERS,Footnote Reference Superscript,(Ref. de nota al pie),fr,Ref,de nota al pie,註腳內容,de nota al pie + (Asian) MS Mincho,Footnotes refss,JFR-Fußnotenzeichen,-E Fußnotenzeichen,BVI fnr,UNEG"/>
    <w:basedOn w:val="DefaultParagraphFont"/>
    <w:uiPriority w:val="99"/>
    <w:qFormat/>
    <w:rsid w:val="00301D8F"/>
    <w:rPr>
      <w:rFonts w:ascii="Times New Roman" w:hAnsi="Times New Roman"/>
      <w:color w:val="auto"/>
      <w:sz w:val="20"/>
      <w:szCs w:val="18"/>
      <w:vertAlign w:val="superscript"/>
    </w:rPr>
  </w:style>
  <w:style w:type="paragraph" w:styleId="FootnoteText">
    <w:name w:val="footnote text"/>
    <w:aliases w:val="Fußnotentextf, Char1,Geneva 9,Font: Geneva 9,Boston 10,f,-E Fußnotentext,Fußnotentext Ursprung,-E Fußnotentext1,-E Fußnotentext2,-E Fußnotentext3,Fußnotentext Char1,Fußnotentext Char Char,Fußnotentext Char1 Char Char,Char1,DNV-FT,FOOTNOTES"/>
    <w:basedOn w:val="Normalpool"/>
    <w:link w:val="FootnoteTextChar"/>
    <w:uiPriority w:val="99"/>
    <w:qFormat/>
    <w:rsid w:val="000D6941"/>
    <w:pPr>
      <w:spacing w:before="20" w:after="40"/>
      <w:ind w:left="1247"/>
    </w:pPr>
    <w:rPr>
      <w:sz w:val="18"/>
    </w:rPr>
  </w:style>
  <w:style w:type="table" w:styleId="TableGrid">
    <w:name w:val="Table Grid"/>
    <w:basedOn w:val="TableNormal"/>
    <w:uiPriority w:val="39"/>
    <w:rsid w:val="00137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55DDF"/>
    <w:rPr>
      <w:sz w:val="18"/>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310FF6"/>
    <w:pPr>
      <w:spacing w:before="60"/>
      <w:ind w:right="4536"/>
    </w:pPr>
  </w:style>
  <w:style w:type="paragraph" w:customStyle="1" w:styleId="BBTitle">
    <w:name w:val="BB_Title"/>
    <w:basedOn w:val="Normalpool"/>
    <w:qFormat/>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4"/>
      </w:numPr>
    </w:pPr>
  </w:style>
  <w:style w:type="paragraph" w:customStyle="1" w:styleId="NormalNonumber">
    <w:name w:val="Normal_No_number"/>
    <w:basedOn w:val="Normalpool"/>
    <w:rsid w:val="007B01D7"/>
    <w:pPr>
      <w:tabs>
        <w:tab w:val="clear" w:pos="1247"/>
        <w:tab w:val="left" w:pos="624"/>
      </w:tabs>
      <w:spacing w:after="120"/>
      <w:ind w:left="1247"/>
    </w:pPr>
  </w:style>
  <w:style w:type="paragraph" w:customStyle="1" w:styleId="Normalnumber">
    <w:name w:val="Normal_number"/>
    <w:basedOn w:val="Normalpool"/>
    <w:link w:val="NormalnumberChar"/>
    <w:qFormat/>
    <w:rsid w:val="0031040D"/>
    <w:pPr>
      <w:numPr>
        <w:numId w:val="3"/>
      </w:numPr>
      <w:tabs>
        <w:tab w:val="clear" w:pos="1247"/>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uiPriority w:val="39"/>
    <w:rsid w:val="000D6941"/>
    <w:pPr>
      <w:tabs>
        <w:tab w:val="right" w:leader="dot" w:pos="9486"/>
      </w:tabs>
      <w:spacing w:before="240"/>
      <w:ind w:left="1814" w:hanging="567"/>
    </w:pPr>
    <w:rPr>
      <w:bCs/>
    </w:rPr>
  </w:style>
  <w:style w:type="paragraph" w:styleId="TOC2">
    <w:name w:val="toc 2"/>
    <w:basedOn w:val="Normalpool"/>
    <w:next w:val="Normalpool"/>
    <w:uiPriority w:val="39"/>
    <w:rsid w:val="000D6941"/>
    <w:pPr>
      <w:tabs>
        <w:tab w:val="right" w:leader="dot" w:pos="9486"/>
      </w:tabs>
      <w:ind w:left="2381" w:hanging="567"/>
    </w:pPr>
  </w:style>
  <w:style w:type="paragraph" w:styleId="TOC3">
    <w:name w:val="toc 3"/>
    <w:basedOn w:val="Normalpool"/>
    <w:next w:val="Normalpool"/>
    <w:uiPriority w:val="39"/>
    <w:rsid w:val="000D6941"/>
    <w:pPr>
      <w:tabs>
        <w:tab w:val="right" w:leader="dot" w:pos="9486"/>
      </w:tabs>
      <w:ind w:left="2948" w:hanging="567"/>
    </w:pPr>
    <w:rPr>
      <w:iCs/>
    </w:rPr>
  </w:style>
  <w:style w:type="paragraph" w:styleId="TOC4">
    <w:name w:val="toc 4"/>
    <w:basedOn w:val="Normalpool"/>
    <w:next w:val="Normalpool"/>
    <w:uiPriority w:val="39"/>
    <w:rsid w:val="000D6941"/>
    <w:pPr>
      <w:tabs>
        <w:tab w:val="left" w:pos="1000"/>
        <w:tab w:val="right" w:leader="dot" w:pos="9486"/>
      </w:tabs>
      <w:ind w:left="3515" w:hanging="567"/>
    </w:pPr>
    <w:rPr>
      <w:szCs w:val="18"/>
    </w:rPr>
  </w:style>
  <w:style w:type="paragraph" w:styleId="TOC5">
    <w:name w:val="toc 5"/>
    <w:basedOn w:val="Normal"/>
    <w:next w:val="Normal"/>
    <w:autoRedefine/>
    <w:uiPriority w:val="39"/>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rPr>
  </w:style>
  <w:style w:type="paragraph" w:customStyle="1" w:styleId="ZZAnxtitle">
    <w:name w:val="ZZ_Anx_title"/>
    <w:basedOn w:val="Normalpool"/>
    <w:rsid w:val="00160D74"/>
    <w:pPr>
      <w:spacing w:before="360" w:after="120"/>
      <w:ind w:left="1247"/>
    </w:pPr>
    <w:rPr>
      <w:b/>
      <w:bCs/>
      <w:sz w:val="28"/>
      <w:szCs w:val="26"/>
    </w:rPr>
  </w:style>
  <w:style w:type="paragraph" w:styleId="BalloonText">
    <w:name w:val="Balloon Text"/>
    <w:basedOn w:val="Normal"/>
    <w:link w:val="BalloonTextChar"/>
    <w:uiPriority w:val="99"/>
    <w:rsid w:val="000B7EE1"/>
    <w:rPr>
      <w:rFonts w:ascii="Tahoma" w:hAnsi="Tahoma" w:cs="Tahoma"/>
      <w:sz w:val="16"/>
      <w:szCs w:val="16"/>
    </w:rPr>
  </w:style>
  <w:style w:type="character" w:customStyle="1" w:styleId="BalloonTextChar">
    <w:name w:val="Balloon Text Char"/>
    <w:basedOn w:val="DefaultParagraphFont"/>
    <w:link w:val="BalloonText"/>
    <w:uiPriority w:val="99"/>
    <w:rsid w:val="000B7EE1"/>
    <w:rPr>
      <w:rFonts w:ascii="Tahoma" w:hAnsi="Tahoma" w:cs="Tahoma"/>
      <w:sz w:val="16"/>
      <w:szCs w:val="16"/>
      <w:lang w:val="fr-FR"/>
    </w:rPr>
  </w:style>
  <w:style w:type="paragraph" w:styleId="Revision">
    <w:name w:val="Revision"/>
    <w:hidden/>
    <w:uiPriority w:val="99"/>
    <w:semiHidden/>
    <w:rsid w:val="00095BE1"/>
    <w:rPr>
      <w:lang w:val="fr-FR"/>
    </w:rPr>
  </w:style>
  <w:style w:type="character" w:customStyle="1" w:styleId="FootnoteTextChar">
    <w:name w:val="Footnote Text Char"/>
    <w:aliases w:val="Fußnotentextf Char, Char1 Char,Geneva 9 Char,Font: Geneva 9 Char,Boston 10 Char,f Char,-E Fußnotentext Char,Fußnotentext Ursprung Char,-E Fußnotentext1 Char,-E Fußnotentext2 Char,-E Fußnotentext3 Char,Fußnotentext Char1 Char"/>
    <w:basedOn w:val="DefaultParagraphFont"/>
    <w:link w:val="FootnoteText"/>
    <w:uiPriority w:val="99"/>
    <w:qFormat/>
    <w:rsid w:val="00F53931"/>
    <w:rPr>
      <w:sz w:val="18"/>
      <w:lang w:val="fr-FR"/>
    </w:rPr>
  </w:style>
  <w:style w:type="character" w:customStyle="1" w:styleId="CH2Char">
    <w:name w:val="CH2 Char"/>
    <w:link w:val="CH2"/>
    <w:locked/>
    <w:rsid w:val="00F42D1B"/>
    <w:rPr>
      <w:b/>
      <w:sz w:val="24"/>
      <w:szCs w:val="24"/>
      <w:lang w:val="en-GB"/>
    </w:rPr>
  </w:style>
  <w:style w:type="character" w:customStyle="1" w:styleId="NormalnumberChar">
    <w:name w:val="Normal_number Char"/>
    <w:link w:val="Normalnumber"/>
    <w:locked/>
    <w:rsid w:val="0031040D"/>
    <w:rPr>
      <w:lang w:val="en-GB"/>
    </w:rPr>
  </w:style>
  <w:style w:type="character" w:styleId="CommentReference">
    <w:name w:val="annotation reference"/>
    <w:basedOn w:val="DefaultParagraphFont"/>
    <w:uiPriority w:val="99"/>
    <w:rsid w:val="00C03777"/>
    <w:rPr>
      <w:sz w:val="16"/>
      <w:szCs w:val="16"/>
    </w:rPr>
  </w:style>
  <w:style w:type="paragraph" w:styleId="CommentText">
    <w:name w:val="annotation text"/>
    <w:basedOn w:val="Normal"/>
    <w:link w:val="CommentTextChar"/>
    <w:uiPriority w:val="99"/>
    <w:rsid w:val="00C03777"/>
  </w:style>
  <w:style w:type="character" w:customStyle="1" w:styleId="CommentTextChar">
    <w:name w:val="Comment Text Char"/>
    <w:basedOn w:val="DefaultParagraphFont"/>
    <w:link w:val="CommentText"/>
    <w:uiPriority w:val="99"/>
    <w:rsid w:val="00C03777"/>
    <w:rPr>
      <w:lang w:val="fr-FR"/>
    </w:rPr>
  </w:style>
  <w:style w:type="paragraph" w:styleId="CommentSubject">
    <w:name w:val="annotation subject"/>
    <w:basedOn w:val="CommentText"/>
    <w:next w:val="CommentText"/>
    <w:link w:val="CommentSubjectChar"/>
    <w:uiPriority w:val="99"/>
    <w:rsid w:val="00C03777"/>
    <w:rPr>
      <w:b/>
      <w:bCs/>
    </w:rPr>
  </w:style>
  <w:style w:type="character" w:customStyle="1" w:styleId="CommentSubjectChar">
    <w:name w:val="Comment Subject Char"/>
    <w:basedOn w:val="CommentTextChar"/>
    <w:link w:val="CommentSubject"/>
    <w:uiPriority w:val="99"/>
    <w:rsid w:val="00C03777"/>
    <w:rPr>
      <w:b/>
      <w:bCs/>
      <w:lang w:val="fr-FR"/>
    </w:rPr>
  </w:style>
  <w:style w:type="character" w:styleId="Emphasis">
    <w:name w:val="Emphasis"/>
    <w:basedOn w:val="DefaultParagraphFont"/>
    <w:qFormat/>
    <w:rsid w:val="000B22BE"/>
    <w:rPr>
      <w:i/>
      <w:iCs/>
    </w:rPr>
  </w:style>
  <w:style w:type="paragraph" w:styleId="ListParagraph">
    <w:name w:val="List Paragraph"/>
    <w:aliases w:val="Main numbered paragraph,Numbered List Paragraph,Akapit z listą BS,List Square,Lapis Bulleted List,No Spacing1,List Paragraph Char Char Char,Indicator Text,Numbered Para 1,Bullet 1,List Paragraph12,Table of contents numbered,Graphic,lp1,l"/>
    <w:basedOn w:val="Normal"/>
    <w:link w:val="ListParagraphChar"/>
    <w:uiPriority w:val="1"/>
    <w:qFormat/>
    <w:rsid w:val="00C15510"/>
    <w:pPr>
      <w:ind w:left="720"/>
      <w:contextualSpacing/>
    </w:pPr>
  </w:style>
  <w:style w:type="character" w:customStyle="1" w:styleId="NormalpoolChar">
    <w:name w:val="Normal_pool Char"/>
    <w:link w:val="Normalpool"/>
    <w:locked/>
    <w:rsid w:val="002A4B66"/>
    <w:rPr>
      <w:lang w:val="en-GB"/>
    </w:rPr>
  </w:style>
  <w:style w:type="character" w:styleId="FollowedHyperlink">
    <w:name w:val="FollowedHyperlink"/>
    <w:basedOn w:val="DefaultParagraphFont"/>
    <w:uiPriority w:val="99"/>
    <w:semiHidden/>
    <w:unhideWhenUsed/>
    <w:rsid w:val="007C1574"/>
    <w:rPr>
      <w:color w:val="954F72" w:themeColor="followedHyperlink"/>
      <w:u w:val="single"/>
    </w:rPr>
  </w:style>
  <w:style w:type="numbering" w:customStyle="1" w:styleId="NoList1">
    <w:name w:val="No List1"/>
    <w:next w:val="NoList"/>
    <w:uiPriority w:val="99"/>
    <w:semiHidden/>
    <w:unhideWhenUsed/>
    <w:rsid w:val="001311E8"/>
  </w:style>
  <w:style w:type="numbering" w:customStyle="1" w:styleId="NoList2">
    <w:name w:val="No List2"/>
    <w:next w:val="NoList"/>
    <w:uiPriority w:val="99"/>
    <w:semiHidden/>
    <w:unhideWhenUsed/>
    <w:rsid w:val="00E23953"/>
  </w:style>
  <w:style w:type="character" w:customStyle="1" w:styleId="Heading1Char">
    <w:name w:val="Heading 1 Char"/>
    <w:basedOn w:val="DefaultParagraphFont"/>
    <w:link w:val="Heading1"/>
    <w:uiPriority w:val="9"/>
    <w:rsid w:val="00E23953"/>
    <w:rPr>
      <w:b/>
      <w:sz w:val="28"/>
      <w:lang w:val="en-GB"/>
    </w:rPr>
  </w:style>
  <w:style w:type="character" w:customStyle="1" w:styleId="Heading2Char">
    <w:name w:val="Heading 2 Char"/>
    <w:basedOn w:val="DefaultParagraphFont"/>
    <w:link w:val="Heading2"/>
    <w:uiPriority w:val="9"/>
    <w:rsid w:val="00E23953"/>
    <w:rPr>
      <w:b/>
      <w:sz w:val="24"/>
      <w:szCs w:val="24"/>
      <w:lang w:val="en-GB"/>
    </w:rPr>
  </w:style>
  <w:style w:type="character" w:customStyle="1" w:styleId="Heading3Char">
    <w:name w:val="Heading 3 Char"/>
    <w:basedOn w:val="DefaultParagraphFont"/>
    <w:link w:val="Heading3"/>
    <w:uiPriority w:val="9"/>
    <w:rsid w:val="00E23953"/>
    <w:rPr>
      <w:b/>
      <w:lang w:val="en-GB"/>
    </w:rPr>
  </w:style>
  <w:style w:type="character" w:customStyle="1" w:styleId="Heading4Char">
    <w:name w:val="Heading 4 Char"/>
    <w:basedOn w:val="DefaultParagraphFont"/>
    <w:link w:val="Heading4"/>
    <w:uiPriority w:val="9"/>
    <w:rsid w:val="00E23953"/>
    <w:rPr>
      <w:b/>
      <w:lang w:val="en-GB"/>
    </w:rPr>
  </w:style>
  <w:style w:type="character" w:customStyle="1" w:styleId="Heading5Char">
    <w:name w:val="Heading 5 Char"/>
    <w:basedOn w:val="DefaultParagraphFont"/>
    <w:link w:val="Heading5"/>
    <w:rsid w:val="00E23953"/>
    <w:rPr>
      <w:rFonts w:ascii="Univers" w:hAnsi="Univers"/>
      <w:b/>
      <w:sz w:val="24"/>
      <w:lang w:val="en-GB"/>
    </w:rPr>
  </w:style>
  <w:style w:type="character" w:customStyle="1" w:styleId="Heading6Char">
    <w:name w:val="Heading 6 Char"/>
    <w:basedOn w:val="DefaultParagraphFont"/>
    <w:link w:val="Heading6"/>
    <w:rsid w:val="00E23953"/>
    <w:rPr>
      <w:b/>
      <w:bCs/>
      <w:sz w:val="24"/>
      <w:lang w:val="en-GB"/>
    </w:rPr>
  </w:style>
  <w:style w:type="character" w:customStyle="1" w:styleId="Heading7Char">
    <w:name w:val="Heading 7 Char"/>
    <w:basedOn w:val="DefaultParagraphFont"/>
    <w:link w:val="Heading7"/>
    <w:rsid w:val="00E23953"/>
    <w:rPr>
      <w:snapToGrid w:val="0"/>
      <w:u w:val="single"/>
    </w:rPr>
  </w:style>
  <w:style w:type="character" w:customStyle="1" w:styleId="Heading8Char">
    <w:name w:val="Heading 8 Char"/>
    <w:basedOn w:val="DefaultParagraphFont"/>
    <w:link w:val="Heading8"/>
    <w:rsid w:val="00E23953"/>
    <w:rPr>
      <w:snapToGrid w:val="0"/>
      <w:u w:val="single"/>
    </w:rPr>
  </w:style>
  <w:style w:type="character" w:customStyle="1" w:styleId="Heading9Char">
    <w:name w:val="Heading 9 Char"/>
    <w:basedOn w:val="DefaultParagraphFont"/>
    <w:link w:val="Heading9"/>
    <w:rsid w:val="00E23953"/>
    <w:rPr>
      <w:snapToGrid w:val="0"/>
      <w:u w:val="single"/>
    </w:rPr>
  </w:style>
  <w:style w:type="numbering" w:customStyle="1" w:styleId="NoList11">
    <w:name w:val="No List11"/>
    <w:next w:val="NoList"/>
    <w:uiPriority w:val="99"/>
    <w:semiHidden/>
    <w:unhideWhenUsed/>
    <w:rsid w:val="00E23953"/>
  </w:style>
  <w:style w:type="table" w:customStyle="1" w:styleId="Tabledocright1">
    <w:name w:val="Table_doc_right1"/>
    <w:basedOn w:val="TableNormal"/>
    <w:rsid w:val="00E2395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E23953"/>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
    <w:name w:val="Table Grid1"/>
    <w:basedOn w:val="TableNormal"/>
    <w:next w:val="TableGrid"/>
    <w:uiPriority w:val="39"/>
    <w:rsid w:val="00E2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E23953"/>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FooterChar1">
    <w:name w:val="Footer Char1"/>
    <w:basedOn w:val="DefaultParagraphFont"/>
    <w:uiPriority w:val="99"/>
    <w:semiHidden/>
    <w:rsid w:val="00E23953"/>
  </w:style>
  <w:style w:type="character" w:customStyle="1" w:styleId="HeaderChar">
    <w:name w:val="Header Char"/>
    <w:basedOn w:val="DefaultParagraphFont"/>
    <w:link w:val="Header"/>
    <w:rsid w:val="00E23953"/>
    <w:rPr>
      <w:b/>
      <w:sz w:val="18"/>
      <w:lang w:val="en-GB"/>
    </w:rPr>
  </w:style>
  <w:style w:type="numbering" w:customStyle="1" w:styleId="Normallist1">
    <w:name w:val="Normal_list1"/>
    <w:basedOn w:val="NoList"/>
    <w:rsid w:val="00E23953"/>
  </w:style>
  <w:style w:type="numbering" w:customStyle="1" w:styleId="NoList111">
    <w:name w:val="No List111"/>
    <w:next w:val="NoList"/>
    <w:uiPriority w:val="99"/>
    <w:semiHidden/>
    <w:unhideWhenUsed/>
    <w:rsid w:val="00E23953"/>
  </w:style>
  <w:style w:type="paragraph" w:styleId="BodyText">
    <w:name w:val="Body Text"/>
    <w:basedOn w:val="Normal"/>
    <w:link w:val="BodyTextChar"/>
    <w:uiPriority w:val="1"/>
    <w:qFormat/>
    <w:rsid w:val="009922E9"/>
    <w:pPr>
      <w:widowControl w:val="0"/>
      <w:autoSpaceDE w:val="0"/>
      <w:autoSpaceDN w:val="0"/>
    </w:pPr>
    <w:rPr>
      <w:lang w:eastAsia="en-GB" w:bidi="en-GB"/>
    </w:rPr>
  </w:style>
  <w:style w:type="character" w:customStyle="1" w:styleId="BodyTextChar">
    <w:name w:val="Body Text Char"/>
    <w:basedOn w:val="DefaultParagraphFont"/>
    <w:link w:val="BodyText"/>
    <w:uiPriority w:val="1"/>
    <w:rsid w:val="009922E9"/>
    <w:rPr>
      <w:lang w:val="en-GB" w:eastAsia="en-GB" w:bidi="en-GB"/>
    </w:rPr>
  </w:style>
  <w:style w:type="paragraph" w:styleId="TOCHeading">
    <w:name w:val="TOC Heading"/>
    <w:basedOn w:val="Heading1"/>
    <w:next w:val="Normal"/>
    <w:uiPriority w:val="39"/>
    <w:unhideWhenUsed/>
    <w:qFormat/>
    <w:rsid w:val="009922E9"/>
    <w:pPr>
      <w:keepLines/>
      <w:spacing w:after="0"/>
      <w:ind w:left="0" w:firstLine="0"/>
      <w:outlineLvl w:val="9"/>
    </w:pPr>
    <w:rPr>
      <w:rFonts w:asciiTheme="majorHAnsi" w:eastAsiaTheme="majorEastAsia" w:hAnsiTheme="majorHAnsi" w:cstheme="majorBidi"/>
      <w:b w:val="0"/>
      <w:color w:val="2F5496" w:themeColor="accent1" w:themeShade="BF"/>
      <w:sz w:val="32"/>
      <w:szCs w:val="32"/>
      <w:lang w:val="en-US"/>
    </w:rPr>
  </w:style>
  <w:style w:type="character" w:customStyle="1" w:styleId="ListParagraphChar">
    <w:name w:val="List Paragraph Char"/>
    <w:aliases w:val="Main numbered paragraph Char,Numbered List Paragraph Char,Akapit z listą BS Char,List Square Char,Lapis Bulleted List Char,No Spacing1 Char,List Paragraph Char Char Char Char,Indicator Text Char,Numbered Para 1 Char,Bullet 1 Char"/>
    <w:link w:val="ListParagraph"/>
    <w:uiPriority w:val="34"/>
    <w:qFormat/>
    <w:rsid w:val="009922E9"/>
    <w:rPr>
      <w:lang w:val="en-GB"/>
    </w:rPr>
  </w:style>
  <w:style w:type="paragraph" w:styleId="NormalWeb">
    <w:name w:val="Normal (Web)"/>
    <w:basedOn w:val="Normal"/>
    <w:uiPriority w:val="99"/>
    <w:unhideWhenUsed/>
    <w:rsid w:val="009922E9"/>
    <w:pPr>
      <w:tabs>
        <w:tab w:val="clear" w:pos="1247"/>
        <w:tab w:val="clear" w:pos="1814"/>
        <w:tab w:val="clear" w:pos="2381"/>
        <w:tab w:val="clear" w:pos="2948"/>
        <w:tab w:val="clear" w:pos="3515"/>
      </w:tabs>
      <w:spacing w:before="100" w:beforeAutospacing="1" w:after="100" w:afterAutospacing="1"/>
    </w:pPr>
    <w:rPr>
      <w:sz w:val="24"/>
      <w:szCs w:val="24"/>
      <w:lang w:eastAsia="it-IT"/>
    </w:rPr>
  </w:style>
  <w:style w:type="paragraph" w:styleId="PlainText">
    <w:name w:val="Plain Text"/>
    <w:basedOn w:val="Normal"/>
    <w:link w:val="PlainTextChar"/>
    <w:uiPriority w:val="99"/>
    <w:unhideWhenUsed/>
    <w:rsid w:val="009922E9"/>
    <w:pPr>
      <w:tabs>
        <w:tab w:val="clear" w:pos="1247"/>
        <w:tab w:val="clear" w:pos="1814"/>
        <w:tab w:val="clear" w:pos="2381"/>
        <w:tab w:val="clear" w:pos="2948"/>
        <w:tab w:val="clear" w:pos="3515"/>
      </w:tabs>
    </w:pPr>
    <w:rPr>
      <w:rFonts w:ascii="Calibri" w:hAnsi="Calibri" w:cstheme="minorBidi"/>
      <w:sz w:val="24"/>
      <w:szCs w:val="21"/>
      <w:lang w:eastAsia="it-IT"/>
    </w:rPr>
  </w:style>
  <w:style w:type="character" w:customStyle="1" w:styleId="PlainTextChar">
    <w:name w:val="Plain Text Char"/>
    <w:basedOn w:val="DefaultParagraphFont"/>
    <w:link w:val="PlainText"/>
    <w:uiPriority w:val="99"/>
    <w:rsid w:val="009922E9"/>
    <w:rPr>
      <w:rFonts w:ascii="Calibri" w:hAnsi="Calibri" w:cstheme="minorBidi"/>
      <w:sz w:val="24"/>
      <w:szCs w:val="21"/>
      <w:lang w:val="en-GB" w:eastAsia="it-IT"/>
    </w:rPr>
  </w:style>
  <w:style w:type="paragraph" w:styleId="EndnoteText">
    <w:name w:val="endnote text"/>
    <w:basedOn w:val="Normal"/>
    <w:link w:val="EndnoteTextChar"/>
    <w:uiPriority w:val="99"/>
    <w:semiHidden/>
    <w:unhideWhenUsed/>
    <w:rsid w:val="009922E9"/>
    <w:pPr>
      <w:tabs>
        <w:tab w:val="clear" w:pos="1247"/>
        <w:tab w:val="clear" w:pos="1814"/>
        <w:tab w:val="clear" w:pos="2381"/>
        <w:tab w:val="clear" w:pos="2948"/>
        <w:tab w:val="clear" w:pos="3515"/>
      </w:tabs>
    </w:pPr>
    <w:rPr>
      <w:lang w:val="it-IT" w:eastAsia="it-IT"/>
    </w:rPr>
  </w:style>
  <w:style w:type="character" w:customStyle="1" w:styleId="EndnoteTextChar">
    <w:name w:val="Endnote Text Char"/>
    <w:basedOn w:val="DefaultParagraphFont"/>
    <w:link w:val="EndnoteText"/>
    <w:uiPriority w:val="99"/>
    <w:semiHidden/>
    <w:rsid w:val="009922E9"/>
    <w:rPr>
      <w:lang w:val="it-IT" w:eastAsia="it-IT"/>
    </w:rPr>
  </w:style>
  <w:style w:type="character" w:styleId="EndnoteReference">
    <w:name w:val="endnote reference"/>
    <w:basedOn w:val="DefaultParagraphFont"/>
    <w:uiPriority w:val="99"/>
    <w:semiHidden/>
    <w:unhideWhenUsed/>
    <w:rsid w:val="009922E9"/>
    <w:rPr>
      <w:vertAlign w:val="superscript"/>
    </w:rPr>
  </w:style>
  <w:style w:type="character" w:customStyle="1" w:styleId="UnresolvedMention3">
    <w:name w:val="Unresolved Mention3"/>
    <w:basedOn w:val="DefaultParagraphFont"/>
    <w:uiPriority w:val="99"/>
    <w:semiHidden/>
    <w:unhideWhenUsed/>
    <w:rsid w:val="009922E9"/>
    <w:rPr>
      <w:color w:val="605E5C"/>
      <w:shd w:val="clear" w:color="auto" w:fill="E1DFDD"/>
    </w:rPr>
  </w:style>
  <w:style w:type="character" w:styleId="UnresolvedMention">
    <w:name w:val="Unresolved Mention"/>
    <w:basedOn w:val="DefaultParagraphFont"/>
    <w:uiPriority w:val="99"/>
    <w:semiHidden/>
    <w:unhideWhenUsed/>
    <w:rsid w:val="009922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2517">
      <w:bodyDiv w:val="1"/>
      <w:marLeft w:val="0"/>
      <w:marRight w:val="0"/>
      <w:marTop w:val="0"/>
      <w:marBottom w:val="0"/>
      <w:divBdr>
        <w:top w:val="none" w:sz="0" w:space="0" w:color="auto"/>
        <w:left w:val="none" w:sz="0" w:space="0" w:color="auto"/>
        <w:bottom w:val="none" w:sz="0" w:space="0" w:color="auto"/>
        <w:right w:val="none" w:sz="0" w:space="0" w:color="auto"/>
      </w:divBdr>
    </w:div>
    <w:div w:id="40981948">
      <w:bodyDiv w:val="1"/>
      <w:marLeft w:val="0"/>
      <w:marRight w:val="0"/>
      <w:marTop w:val="0"/>
      <w:marBottom w:val="0"/>
      <w:divBdr>
        <w:top w:val="none" w:sz="0" w:space="0" w:color="auto"/>
        <w:left w:val="none" w:sz="0" w:space="0" w:color="auto"/>
        <w:bottom w:val="none" w:sz="0" w:space="0" w:color="auto"/>
        <w:right w:val="none" w:sz="0" w:space="0" w:color="auto"/>
      </w:divBdr>
    </w:div>
    <w:div w:id="171646360">
      <w:bodyDiv w:val="1"/>
      <w:marLeft w:val="0"/>
      <w:marRight w:val="0"/>
      <w:marTop w:val="0"/>
      <w:marBottom w:val="0"/>
      <w:divBdr>
        <w:top w:val="none" w:sz="0" w:space="0" w:color="auto"/>
        <w:left w:val="none" w:sz="0" w:space="0" w:color="auto"/>
        <w:bottom w:val="none" w:sz="0" w:space="0" w:color="auto"/>
        <w:right w:val="none" w:sz="0" w:space="0" w:color="auto"/>
      </w:divBdr>
    </w:div>
    <w:div w:id="171838267">
      <w:bodyDiv w:val="1"/>
      <w:marLeft w:val="0"/>
      <w:marRight w:val="0"/>
      <w:marTop w:val="0"/>
      <w:marBottom w:val="0"/>
      <w:divBdr>
        <w:top w:val="none" w:sz="0" w:space="0" w:color="auto"/>
        <w:left w:val="none" w:sz="0" w:space="0" w:color="auto"/>
        <w:bottom w:val="none" w:sz="0" w:space="0" w:color="auto"/>
        <w:right w:val="none" w:sz="0" w:space="0" w:color="auto"/>
      </w:divBdr>
    </w:div>
    <w:div w:id="212232601">
      <w:bodyDiv w:val="1"/>
      <w:marLeft w:val="0"/>
      <w:marRight w:val="0"/>
      <w:marTop w:val="0"/>
      <w:marBottom w:val="0"/>
      <w:divBdr>
        <w:top w:val="none" w:sz="0" w:space="0" w:color="auto"/>
        <w:left w:val="none" w:sz="0" w:space="0" w:color="auto"/>
        <w:bottom w:val="none" w:sz="0" w:space="0" w:color="auto"/>
        <w:right w:val="none" w:sz="0" w:space="0" w:color="auto"/>
      </w:divBdr>
    </w:div>
    <w:div w:id="262617499">
      <w:bodyDiv w:val="1"/>
      <w:marLeft w:val="0"/>
      <w:marRight w:val="0"/>
      <w:marTop w:val="0"/>
      <w:marBottom w:val="0"/>
      <w:divBdr>
        <w:top w:val="none" w:sz="0" w:space="0" w:color="auto"/>
        <w:left w:val="none" w:sz="0" w:space="0" w:color="auto"/>
        <w:bottom w:val="none" w:sz="0" w:space="0" w:color="auto"/>
        <w:right w:val="none" w:sz="0" w:space="0" w:color="auto"/>
      </w:divBdr>
    </w:div>
    <w:div w:id="273174426">
      <w:bodyDiv w:val="1"/>
      <w:marLeft w:val="0"/>
      <w:marRight w:val="0"/>
      <w:marTop w:val="0"/>
      <w:marBottom w:val="0"/>
      <w:divBdr>
        <w:top w:val="none" w:sz="0" w:space="0" w:color="auto"/>
        <w:left w:val="none" w:sz="0" w:space="0" w:color="auto"/>
        <w:bottom w:val="none" w:sz="0" w:space="0" w:color="auto"/>
        <w:right w:val="none" w:sz="0" w:space="0" w:color="auto"/>
      </w:divBdr>
      <w:divsChild>
        <w:div w:id="635918022">
          <w:marLeft w:val="0"/>
          <w:marRight w:val="0"/>
          <w:marTop w:val="0"/>
          <w:marBottom w:val="0"/>
          <w:divBdr>
            <w:top w:val="none" w:sz="0" w:space="0" w:color="auto"/>
            <w:left w:val="none" w:sz="0" w:space="0" w:color="auto"/>
            <w:bottom w:val="none" w:sz="0" w:space="0" w:color="auto"/>
            <w:right w:val="none" w:sz="0" w:space="0" w:color="auto"/>
          </w:divBdr>
          <w:divsChild>
            <w:div w:id="1726485650">
              <w:marLeft w:val="0"/>
              <w:marRight w:val="0"/>
              <w:marTop w:val="0"/>
              <w:marBottom w:val="0"/>
              <w:divBdr>
                <w:top w:val="none" w:sz="0" w:space="0" w:color="auto"/>
                <w:left w:val="none" w:sz="0" w:space="0" w:color="auto"/>
                <w:bottom w:val="none" w:sz="0" w:space="0" w:color="auto"/>
                <w:right w:val="none" w:sz="0" w:space="0" w:color="auto"/>
              </w:divBdr>
              <w:divsChild>
                <w:div w:id="128465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42250">
      <w:bodyDiv w:val="1"/>
      <w:marLeft w:val="0"/>
      <w:marRight w:val="0"/>
      <w:marTop w:val="0"/>
      <w:marBottom w:val="0"/>
      <w:divBdr>
        <w:top w:val="none" w:sz="0" w:space="0" w:color="auto"/>
        <w:left w:val="none" w:sz="0" w:space="0" w:color="auto"/>
        <w:bottom w:val="none" w:sz="0" w:space="0" w:color="auto"/>
        <w:right w:val="none" w:sz="0" w:space="0" w:color="auto"/>
      </w:divBdr>
    </w:div>
    <w:div w:id="333725324">
      <w:bodyDiv w:val="1"/>
      <w:marLeft w:val="0"/>
      <w:marRight w:val="0"/>
      <w:marTop w:val="0"/>
      <w:marBottom w:val="0"/>
      <w:divBdr>
        <w:top w:val="none" w:sz="0" w:space="0" w:color="auto"/>
        <w:left w:val="none" w:sz="0" w:space="0" w:color="auto"/>
        <w:bottom w:val="none" w:sz="0" w:space="0" w:color="auto"/>
        <w:right w:val="none" w:sz="0" w:space="0" w:color="auto"/>
      </w:divBdr>
    </w:div>
    <w:div w:id="39015947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395787760">
      <w:bodyDiv w:val="1"/>
      <w:marLeft w:val="0"/>
      <w:marRight w:val="0"/>
      <w:marTop w:val="0"/>
      <w:marBottom w:val="0"/>
      <w:divBdr>
        <w:top w:val="none" w:sz="0" w:space="0" w:color="auto"/>
        <w:left w:val="none" w:sz="0" w:space="0" w:color="auto"/>
        <w:bottom w:val="none" w:sz="0" w:space="0" w:color="auto"/>
        <w:right w:val="none" w:sz="0" w:space="0" w:color="auto"/>
      </w:divBdr>
    </w:div>
    <w:div w:id="505436739">
      <w:bodyDiv w:val="1"/>
      <w:marLeft w:val="0"/>
      <w:marRight w:val="0"/>
      <w:marTop w:val="0"/>
      <w:marBottom w:val="0"/>
      <w:divBdr>
        <w:top w:val="none" w:sz="0" w:space="0" w:color="auto"/>
        <w:left w:val="none" w:sz="0" w:space="0" w:color="auto"/>
        <w:bottom w:val="none" w:sz="0" w:space="0" w:color="auto"/>
        <w:right w:val="none" w:sz="0" w:space="0" w:color="auto"/>
      </w:divBdr>
    </w:div>
    <w:div w:id="529681894">
      <w:bodyDiv w:val="1"/>
      <w:marLeft w:val="0"/>
      <w:marRight w:val="0"/>
      <w:marTop w:val="0"/>
      <w:marBottom w:val="0"/>
      <w:divBdr>
        <w:top w:val="none" w:sz="0" w:space="0" w:color="auto"/>
        <w:left w:val="none" w:sz="0" w:space="0" w:color="auto"/>
        <w:bottom w:val="none" w:sz="0" w:space="0" w:color="auto"/>
        <w:right w:val="none" w:sz="0" w:space="0" w:color="auto"/>
      </w:divBdr>
    </w:div>
    <w:div w:id="585774767">
      <w:bodyDiv w:val="1"/>
      <w:marLeft w:val="0"/>
      <w:marRight w:val="0"/>
      <w:marTop w:val="0"/>
      <w:marBottom w:val="0"/>
      <w:divBdr>
        <w:top w:val="none" w:sz="0" w:space="0" w:color="auto"/>
        <w:left w:val="none" w:sz="0" w:space="0" w:color="auto"/>
        <w:bottom w:val="none" w:sz="0" w:space="0" w:color="auto"/>
        <w:right w:val="none" w:sz="0" w:space="0" w:color="auto"/>
      </w:divBdr>
    </w:div>
    <w:div w:id="614361271">
      <w:bodyDiv w:val="1"/>
      <w:marLeft w:val="0"/>
      <w:marRight w:val="0"/>
      <w:marTop w:val="0"/>
      <w:marBottom w:val="0"/>
      <w:divBdr>
        <w:top w:val="none" w:sz="0" w:space="0" w:color="auto"/>
        <w:left w:val="none" w:sz="0" w:space="0" w:color="auto"/>
        <w:bottom w:val="none" w:sz="0" w:space="0" w:color="auto"/>
        <w:right w:val="none" w:sz="0" w:space="0" w:color="auto"/>
      </w:divBdr>
    </w:div>
    <w:div w:id="786655460">
      <w:bodyDiv w:val="1"/>
      <w:marLeft w:val="0"/>
      <w:marRight w:val="0"/>
      <w:marTop w:val="0"/>
      <w:marBottom w:val="0"/>
      <w:divBdr>
        <w:top w:val="none" w:sz="0" w:space="0" w:color="auto"/>
        <w:left w:val="none" w:sz="0" w:space="0" w:color="auto"/>
        <w:bottom w:val="none" w:sz="0" w:space="0" w:color="auto"/>
        <w:right w:val="none" w:sz="0" w:space="0" w:color="auto"/>
      </w:divBdr>
    </w:div>
    <w:div w:id="811943248">
      <w:bodyDiv w:val="1"/>
      <w:marLeft w:val="0"/>
      <w:marRight w:val="0"/>
      <w:marTop w:val="0"/>
      <w:marBottom w:val="0"/>
      <w:divBdr>
        <w:top w:val="none" w:sz="0" w:space="0" w:color="auto"/>
        <w:left w:val="none" w:sz="0" w:space="0" w:color="auto"/>
        <w:bottom w:val="none" w:sz="0" w:space="0" w:color="auto"/>
        <w:right w:val="none" w:sz="0" w:space="0" w:color="auto"/>
      </w:divBdr>
    </w:div>
    <w:div w:id="1019819004">
      <w:bodyDiv w:val="1"/>
      <w:marLeft w:val="0"/>
      <w:marRight w:val="0"/>
      <w:marTop w:val="0"/>
      <w:marBottom w:val="0"/>
      <w:divBdr>
        <w:top w:val="none" w:sz="0" w:space="0" w:color="auto"/>
        <w:left w:val="none" w:sz="0" w:space="0" w:color="auto"/>
        <w:bottom w:val="none" w:sz="0" w:space="0" w:color="auto"/>
        <w:right w:val="none" w:sz="0" w:space="0" w:color="auto"/>
      </w:divBdr>
    </w:div>
    <w:div w:id="1025909603">
      <w:bodyDiv w:val="1"/>
      <w:marLeft w:val="0"/>
      <w:marRight w:val="0"/>
      <w:marTop w:val="0"/>
      <w:marBottom w:val="0"/>
      <w:divBdr>
        <w:top w:val="none" w:sz="0" w:space="0" w:color="auto"/>
        <w:left w:val="none" w:sz="0" w:space="0" w:color="auto"/>
        <w:bottom w:val="none" w:sz="0" w:space="0" w:color="auto"/>
        <w:right w:val="none" w:sz="0" w:space="0" w:color="auto"/>
      </w:divBdr>
    </w:div>
    <w:div w:id="1030451147">
      <w:bodyDiv w:val="1"/>
      <w:marLeft w:val="0"/>
      <w:marRight w:val="0"/>
      <w:marTop w:val="0"/>
      <w:marBottom w:val="0"/>
      <w:divBdr>
        <w:top w:val="none" w:sz="0" w:space="0" w:color="auto"/>
        <w:left w:val="none" w:sz="0" w:space="0" w:color="auto"/>
        <w:bottom w:val="none" w:sz="0" w:space="0" w:color="auto"/>
        <w:right w:val="none" w:sz="0" w:space="0" w:color="auto"/>
      </w:divBdr>
    </w:div>
    <w:div w:id="1148667822">
      <w:bodyDiv w:val="1"/>
      <w:marLeft w:val="0"/>
      <w:marRight w:val="0"/>
      <w:marTop w:val="0"/>
      <w:marBottom w:val="0"/>
      <w:divBdr>
        <w:top w:val="none" w:sz="0" w:space="0" w:color="auto"/>
        <w:left w:val="none" w:sz="0" w:space="0" w:color="auto"/>
        <w:bottom w:val="none" w:sz="0" w:space="0" w:color="auto"/>
        <w:right w:val="none" w:sz="0" w:space="0" w:color="auto"/>
      </w:divBdr>
    </w:div>
    <w:div w:id="116401135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2393980">
      <w:bodyDiv w:val="1"/>
      <w:marLeft w:val="0"/>
      <w:marRight w:val="0"/>
      <w:marTop w:val="0"/>
      <w:marBottom w:val="0"/>
      <w:divBdr>
        <w:top w:val="none" w:sz="0" w:space="0" w:color="auto"/>
        <w:left w:val="none" w:sz="0" w:space="0" w:color="auto"/>
        <w:bottom w:val="none" w:sz="0" w:space="0" w:color="auto"/>
        <w:right w:val="none" w:sz="0" w:space="0" w:color="auto"/>
      </w:divBdr>
    </w:div>
    <w:div w:id="1272124462">
      <w:bodyDiv w:val="1"/>
      <w:marLeft w:val="0"/>
      <w:marRight w:val="0"/>
      <w:marTop w:val="0"/>
      <w:marBottom w:val="0"/>
      <w:divBdr>
        <w:top w:val="none" w:sz="0" w:space="0" w:color="auto"/>
        <w:left w:val="none" w:sz="0" w:space="0" w:color="auto"/>
        <w:bottom w:val="none" w:sz="0" w:space="0" w:color="auto"/>
        <w:right w:val="none" w:sz="0" w:space="0" w:color="auto"/>
      </w:divBdr>
    </w:div>
    <w:div w:id="127763568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1107949">
      <w:bodyDiv w:val="1"/>
      <w:marLeft w:val="0"/>
      <w:marRight w:val="0"/>
      <w:marTop w:val="0"/>
      <w:marBottom w:val="0"/>
      <w:divBdr>
        <w:top w:val="none" w:sz="0" w:space="0" w:color="auto"/>
        <w:left w:val="none" w:sz="0" w:space="0" w:color="auto"/>
        <w:bottom w:val="none" w:sz="0" w:space="0" w:color="auto"/>
        <w:right w:val="none" w:sz="0" w:space="0" w:color="auto"/>
      </w:divBdr>
    </w:div>
    <w:div w:id="1375420578">
      <w:bodyDiv w:val="1"/>
      <w:marLeft w:val="0"/>
      <w:marRight w:val="0"/>
      <w:marTop w:val="0"/>
      <w:marBottom w:val="0"/>
      <w:divBdr>
        <w:top w:val="none" w:sz="0" w:space="0" w:color="auto"/>
        <w:left w:val="none" w:sz="0" w:space="0" w:color="auto"/>
        <w:bottom w:val="none" w:sz="0" w:space="0" w:color="auto"/>
        <w:right w:val="none" w:sz="0" w:space="0" w:color="auto"/>
      </w:divBdr>
    </w:div>
    <w:div w:id="1427263912">
      <w:bodyDiv w:val="1"/>
      <w:marLeft w:val="0"/>
      <w:marRight w:val="0"/>
      <w:marTop w:val="0"/>
      <w:marBottom w:val="0"/>
      <w:divBdr>
        <w:top w:val="none" w:sz="0" w:space="0" w:color="auto"/>
        <w:left w:val="none" w:sz="0" w:space="0" w:color="auto"/>
        <w:bottom w:val="none" w:sz="0" w:space="0" w:color="auto"/>
        <w:right w:val="none" w:sz="0" w:space="0" w:color="auto"/>
      </w:divBdr>
    </w:div>
    <w:div w:id="1511993813">
      <w:bodyDiv w:val="1"/>
      <w:marLeft w:val="0"/>
      <w:marRight w:val="0"/>
      <w:marTop w:val="0"/>
      <w:marBottom w:val="0"/>
      <w:divBdr>
        <w:top w:val="none" w:sz="0" w:space="0" w:color="auto"/>
        <w:left w:val="none" w:sz="0" w:space="0" w:color="auto"/>
        <w:bottom w:val="none" w:sz="0" w:space="0" w:color="auto"/>
        <w:right w:val="none" w:sz="0" w:space="0" w:color="auto"/>
      </w:divBdr>
    </w:div>
    <w:div w:id="1544825979">
      <w:bodyDiv w:val="1"/>
      <w:marLeft w:val="0"/>
      <w:marRight w:val="0"/>
      <w:marTop w:val="0"/>
      <w:marBottom w:val="0"/>
      <w:divBdr>
        <w:top w:val="none" w:sz="0" w:space="0" w:color="auto"/>
        <w:left w:val="none" w:sz="0" w:space="0" w:color="auto"/>
        <w:bottom w:val="none" w:sz="0" w:space="0" w:color="auto"/>
        <w:right w:val="none" w:sz="0" w:space="0" w:color="auto"/>
      </w:divBdr>
    </w:div>
    <w:div w:id="1612930986">
      <w:bodyDiv w:val="1"/>
      <w:marLeft w:val="0"/>
      <w:marRight w:val="0"/>
      <w:marTop w:val="0"/>
      <w:marBottom w:val="0"/>
      <w:divBdr>
        <w:top w:val="none" w:sz="0" w:space="0" w:color="auto"/>
        <w:left w:val="none" w:sz="0" w:space="0" w:color="auto"/>
        <w:bottom w:val="none" w:sz="0" w:space="0" w:color="auto"/>
        <w:right w:val="none" w:sz="0" w:space="0" w:color="auto"/>
      </w:divBdr>
    </w:div>
    <w:div w:id="1750888657">
      <w:bodyDiv w:val="1"/>
      <w:marLeft w:val="0"/>
      <w:marRight w:val="0"/>
      <w:marTop w:val="0"/>
      <w:marBottom w:val="0"/>
      <w:divBdr>
        <w:top w:val="none" w:sz="0" w:space="0" w:color="auto"/>
        <w:left w:val="none" w:sz="0" w:space="0" w:color="auto"/>
        <w:bottom w:val="none" w:sz="0" w:space="0" w:color="auto"/>
        <w:right w:val="none" w:sz="0" w:space="0" w:color="auto"/>
      </w:divBdr>
    </w:div>
    <w:div w:id="1767649277">
      <w:bodyDiv w:val="1"/>
      <w:marLeft w:val="0"/>
      <w:marRight w:val="0"/>
      <w:marTop w:val="0"/>
      <w:marBottom w:val="0"/>
      <w:divBdr>
        <w:top w:val="none" w:sz="0" w:space="0" w:color="auto"/>
        <w:left w:val="none" w:sz="0" w:space="0" w:color="auto"/>
        <w:bottom w:val="none" w:sz="0" w:space="0" w:color="auto"/>
        <w:right w:val="none" w:sz="0" w:space="0" w:color="auto"/>
      </w:divBdr>
    </w:div>
    <w:div w:id="1787888077">
      <w:bodyDiv w:val="1"/>
      <w:marLeft w:val="0"/>
      <w:marRight w:val="0"/>
      <w:marTop w:val="0"/>
      <w:marBottom w:val="0"/>
      <w:divBdr>
        <w:top w:val="none" w:sz="0" w:space="0" w:color="auto"/>
        <w:left w:val="none" w:sz="0" w:space="0" w:color="auto"/>
        <w:bottom w:val="none" w:sz="0" w:space="0" w:color="auto"/>
        <w:right w:val="none" w:sz="0" w:space="0" w:color="auto"/>
      </w:divBdr>
    </w:div>
    <w:div w:id="1832943539">
      <w:bodyDiv w:val="1"/>
      <w:marLeft w:val="0"/>
      <w:marRight w:val="0"/>
      <w:marTop w:val="0"/>
      <w:marBottom w:val="0"/>
      <w:divBdr>
        <w:top w:val="none" w:sz="0" w:space="0" w:color="auto"/>
        <w:left w:val="none" w:sz="0" w:space="0" w:color="auto"/>
        <w:bottom w:val="none" w:sz="0" w:space="0" w:color="auto"/>
        <w:right w:val="none" w:sz="0" w:space="0" w:color="auto"/>
      </w:divBdr>
    </w:div>
    <w:div w:id="1874145322">
      <w:bodyDiv w:val="1"/>
      <w:marLeft w:val="0"/>
      <w:marRight w:val="0"/>
      <w:marTop w:val="0"/>
      <w:marBottom w:val="0"/>
      <w:divBdr>
        <w:top w:val="none" w:sz="0" w:space="0" w:color="auto"/>
        <w:left w:val="none" w:sz="0" w:space="0" w:color="auto"/>
        <w:bottom w:val="none" w:sz="0" w:space="0" w:color="auto"/>
        <w:right w:val="none" w:sz="0" w:space="0" w:color="auto"/>
      </w:divBdr>
    </w:div>
    <w:div w:id="2023621878">
      <w:bodyDiv w:val="1"/>
      <w:marLeft w:val="0"/>
      <w:marRight w:val="0"/>
      <w:marTop w:val="0"/>
      <w:marBottom w:val="0"/>
      <w:divBdr>
        <w:top w:val="none" w:sz="0" w:space="0" w:color="auto"/>
        <w:left w:val="none" w:sz="0" w:space="0" w:color="auto"/>
        <w:bottom w:val="none" w:sz="0" w:space="0" w:color="auto"/>
        <w:right w:val="none" w:sz="0" w:space="0" w:color="auto"/>
      </w:divBdr>
    </w:div>
    <w:div w:id="2063746368">
      <w:bodyDiv w:val="1"/>
      <w:marLeft w:val="0"/>
      <w:marRight w:val="0"/>
      <w:marTop w:val="0"/>
      <w:marBottom w:val="0"/>
      <w:divBdr>
        <w:top w:val="none" w:sz="0" w:space="0" w:color="auto"/>
        <w:left w:val="none" w:sz="0" w:space="0" w:color="auto"/>
        <w:bottom w:val="none" w:sz="0" w:space="0" w:color="auto"/>
        <w:right w:val="none" w:sz="0" w:space="0" w:color="auto"/>
      </w:divBdr>
    </w:div>
    <w:div w:id="210398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z-u-g.org/en/news/new-call-for-project-ideas-under-the-international-climate-initiative-iki-with-funding-of-240-million-euros/"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www.andgreen.fund"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decadeonrestoration.org/" TargetMode="External"/><Relationship Id="rId20" Type="http://schemas.openxmlformats.org/officeDocument/2006/relationships/hyperlink" Target="https://unea.unep.org/monitoring/viewoutcome/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tropicalpeatlands.org/event/collecting-and-sharing-status-peatlands-project-initiatives-in-indonesia/"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ucn-uk-peatlandprogramme.org/about-us/commission-ecosystem-management/iucn-resolution-43-report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lobalpeatlands.org/?p=16535" TargetMode="External"/><Relationship Id="rId22" Type="http://schemas.openxmlformats.org/officeDocument/2006/relationships/header" Target="head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bfn.de/fileadmin/BfN/internationalernaturschutz/Dokumente/Peatland_Workshop_2019/Policy_brief_" TargetMode="External"/><Relationship Id="rId7" Type="http://schemas.openxmlformats.org/officeDocument/2006/relationships/hyperlink" Target="https://www.jica.go.jp/english/news/field/2019/20191202_01.html" TargetMode="External"/><Relationship Id="rId2" Type="http://schemas.openxmlformats.org/officeDocument/2006/relationships/hyperlink" Target="https://www.unenvironment.org/news-and-stories/story/south-south-cooperation-peatlands-indonesia-republic-congo-solidify-their" TargetMode="External"/><Relationship Id="rId1" Type="http://schemas.openxmlformats.org/officeDocument/2006/relationships/hyperlink" Target="https://www.international-climate-initiative.com/en/details/project/the-global-peatlands-initiative-assessing-measuring-and-preserving-peat-carbon-18_III_096-3039" TargetMode="External"/><Relationship Id="rId6" Type="http://schemas.openxmlformats.org/officeDocument/2006/relationships/hyperlink" Target="https://www.tropicalpeatlands.org/presentation/towards-a-new-paradigm-for-conservation-and-sustainable-management-of-peatlands-in-peru/" TargetMode="External"/><Relationship Id="rId5" Type="http://schemas.openxmlformats.org/officeDocument/2006/relationships/hyperlink" Target="http://www.fao.org/3/CA8200EN/CA8200EN.pdf" TargetMode="External"/><Relationship Id="rId4" Type="http://schemas.openxmlformats.org/officeDocument/2006/relationships/hyperlink" Target="https://pfbc-cbfp.org/files/docs/news/8-2020/COMMUNIQUE%20FINAL%20DE%20LA%20SESSION%20EXTRAORDINAIRE%20DU%20CONSEIL%20DES%20MINISTRES%20DE%20LA%20COMIFAC%20TENUE%20PAR%20VISIOCONFERENCE%20LE%20JEUDI%2020%20AOUT%20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21483-E708-4C2A-8D07-DCDADBD8994B}">
  <ds:schemaRefs>
    <ds:schemaRef ds:uri="http://schemas.microsoft.com/sharepoint/v3/contenttype/forms"/>
  </ds:schemaRefs>
</ds:datastoreItem>
</file>

<file path=customXml/itemProps2.xml><?xml version="1.0" encoding="utf-8"?>
<ds:datastoreItem xmlns:ds="http://schemas.openxmlformats.org/officeDocument/2006/customXml" ds:itemID="{4408C0EC-7008-43F9-8978-94AE4AD0428D}">
  <ds:schemaRefs>
    <ds:schemaRef ds:uri="http://schemas.microsoft.com/office/infopath/2007/PartnerControls"/>
    <ds:schemaRef ds:uri="http://www.w3.org/XML/1998/namespace"/>
    <ds:schemaRef ds:uri="http://schemas.microsoft.com/office/2006/metadata/properties"/>
    <ds:schemaRef ds:uri="http://schemas.microsoft.com/office/2006/documentManagement/types"/>
    <ds:schemaRef ds:uri="http://purl.org/dc/terms/"/>
    <ds:schemaRef ds:uri="http://purl.org/dc/dcmitype/"/>
    <ds:schemaRef ds:uri="44b29a07-ae0c-4297-aad9-2f7ae2e24b8e"/>
    <ds:schemaRef ds:uri="http://schemas.openxmlformats.org/package/2006/metadata/core-properties"/>
    <ds:schemaRef ds:uri="a591afa8-fd54-42f1-9ea9-749d51e1c00b"/>
    <ds:schemaRef ds:uri="http://purl.org/dc/elements/1.1/"/>
  </ds:schemaRefs>
</ds:datastoreItem>
</file>

<file path=customXml/itemProps3.xml><?xml version="1.0" encoding="utf-8"?>
<ds:datastoreItem xmlns:ds="http://schemas.openxmlformats.org/officeDocument/2006/customXml" ds:itemID="{1D247AD4-7E98-4365-8B78-DD12C3538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6D6D4A-E9B4-4D4E-9434-3B4374A66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2982</Words>
  <Characters>17003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Information on reports and updates by the Technology and Economic Assessment Panel</vt:lpstr>
    </vt:vector>
  </TitlesOfParts>
  <Company>unon</Company>
  <LinksUpToDate>false</LinksUpToDate>
  <CharactersWithSpaces>19946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on reports and updates by the Technology and Economic Assessment Panel</dc:title>
  <dc:subject/>
  <dc:creator>Veronica Gathu</dc:creator>
  <cp:keywords/>
  <cp:lastModifiedBy>Jane Mbau</cp:lastModifiedBy>
  <cp:revision>2</cp:revision>
  <cp:lastPrinted>2020-12-23T11:51:00Z</cp:lastPrinted>
  <dcterms:created xsi:type="dcterms:W3CDTF">2021-01-15T08:31:00Z</dcterms:created>
  <dcterms:modified xsi:type="dcterms:W3CDTF">2021-01-15T08:31:00Z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ies>
</file>